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5257165</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Credicorp Ltd. (the ‘Company’) notifies you as a Material Event that, in its session held on June 5, 2020, the Company’s Annual General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agreed on the following matters:</w:t>
      </w:r>
    </w:p>
    <w:p>
      <w:pPr>
        <w:spacing w:after="0" w:line="21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the Directors of the Company that will hold office for the period 2020 – 2023: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Maite Aranzabal Harreguy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Alexandre Gouvea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Irzio Pinasco Menchelli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Enrique Romero Belismelis</w:t>
      </w:r>
    </w:p>
    <w:p>
      <w:pPr>
        <w:spacing w:after="0" w:line="21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pay the remuneration of the Board of Directors, as follows: (i) an annual remuneration of US$50,000 to each Director; (ii) an annual remuneration of US$40,000 to each Director who is a member of the Audit Committee and to each Director of Credicorp’s subsidiaries who is appointed as an advisor to the Audit Committee of Credicorp; and (iii) a remuneration of US$1,500 for each session attended by each Director serving on one or more of the Committees of the Board other than the Audit Committee.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amend the following Bye-laws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Bye-law 2.6: to add a final paragraph that refers to the shares that are traded on stock exchanges as is the case of Credicorp.</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Bye-law 3.4.2: to add that the instruments which authorize the proxies named by the shareholders to attend the General Shareholders’ Meeting can be received by means of electronic communication.</w:t>
      </w: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Bye-laws 4.11: to increase the number of directors from 8 to 9.</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1"/>
          <w:numId w:val="1"/>
        </w:numPr>
        <w:rPr>
          <w:rFonts w:ascii="Arial" w:cs="Arial" w:eastAsia="Arial" w:hAnsi="Arial"/>
          <w:sz w:val="17"/>
          <w:szCs w:val="17"/>
          <w:color w:val="auto"/>
        </w:rPr>
      </w:pPr>
      <w:r>
        <w:rPr>
          <w:rFonts w:ascii="Arial" w:cs="Arial" w:eastAsia="Arial" w:hAnsi="Arial"/>
          <w:sz w:val="17"/>
          <w:szCs w:val="17"/>
          <w:color w:val="auto"/>
        </w:rPr>
        <w:t>Bye-law 4.15: to clarify that notice of a Board Meeting may be made verbally (personally or by telephone), by post, electronic means or other modes that facilitate communication of notice of a Board meeting to allow a Director to participate in a Board meeting by telephone or through any electronic means that allow all participants to communicate with each other simultaneously and instantaneously.</w:t>
      </w: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Bye-law 4.16.1: to clarify and confirm that the quorum of a meeting of the Board shall be the majority of Directors.</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Gaveglio Aparicio y Asociados Sociedad de Responsabilidad Limitada, a member firm of PricewaterhouseCoopers in Peru, as external auditors of the Company for the financial year 2020, and to delegate the power to set and approve fees for such audit services to the Board of Director (for further delegation to the Audit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399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June 5,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2020-06-08T05:07:29Z</dcterms:created>
  <dcterms:modified xsi:type="dcterms:W3CDTF">2020-06-08T05:07:29Z</dcterms:modified>
</cp:coreProperties>
</file>