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April 2017</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April 27</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accordance with article 28 of the Capital Markets Law approved by Law N° 093-2002-EF and SMV Resolution for Material Events and Reserved Information and Other Communications N° 005-2014-SMV-01, Credicorp Ltd. complies with notifying you of the following Material Event.</w:t>
      </w:r>
    </w:p>
    <w:p>
      <w:pPr>
        <w:spacing w:after="0" w:line="150" w:lineRule="exact"/>
        <w:rPr>
          <w:sz w:val="20"/>
          <w:szCs w:val="20"/>
          <w:color w:val="auto"/>
        </w:rPr>
      </w:pPr>
    </w:p>
    <w:p>
      <w:pPr>
        <w:spacing w:after="0" w:line="210" w:lineRule="auto"/>
        <w:rPr>
          <w:sz w:val="20"/>
          <w:szCs w:val="20"/>
          <w:color w:val="auto"/>
        </w:rPr>
      </w:pPr>
      <w:r>
        <w:rPr>
          <w:rFonts w:ascii="Arial" w:cs="Arial" w:eastAsia="Arial" w:hAnsi="Arial"/>
          <w:sz w:val="18"/>
          <w:szCs w:val="18"/>
          <w:color w:val="auto"/>
        </w:rPr>
        <w:t>Credicorp’s Board of Directors, in its session held on April 26</w:t>
      </w:r>
      <w:r>
        <w:rPr>
          <w:rFonts w:ascii="Arial" w:cs="Arial" w:eastAsia="Arial" w:hAnsi="Arial"/>
          <w:sz w:val="30"/>
          <w:szCs w:val="30"/>
          <w:color w:val="auto"/>
          <w:vertAlign w:val="superscript"/>
        </w:rPr>
        <w:t>th</w:t>
      </w:r>
      <w:r>
        <w:rPr>
          <w:rFonts w:ascii="Arial" w:cs="Arial" w:eastAsia="Arial" w:hAnsi="Arial"/>
          <w:sz w:val="18"/>
          <w:szCs w:val="18"/>
          <w:color w:val="auto"/>
        </w:rPr>
        <w:t>, 2017, agreed unanimously on the following matters in relation to the election, at the Company’s Annual General Meeting of Shareholders, of the new Board who will perform the role from March 2017 to March 2020.</w:t>
      </w:r>
    </w:p>
    <w:p>
      <w:pPr>
        <w:spacing w:after="0" w:line="202"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Appointment of Mr. Dionisio Romero Paoletti as the Chairman of the Board and Mr. Raimundo Morales Dasso as the Vice-Chairman.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Designation of the following directors as members of the Executive Committee: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Dionisio Romero Paoletti (Chairman)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Raimundo Morales Dasso (Vice-Chairman)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Benedicto Cigüeñas Guevara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Fernando Fort Marie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Juan Carlos Verme Giannoni</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Martín Pérez Monteverde</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Designation of the following directors as members of the Audit Committee: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Raimundo Morales Dasso (Chairman)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Benedicto Cigüeñas Guevara (Financial Expert)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Ms. Patricia Lizárraga Guthertz</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Designation of the following directors as members of the Risk Committee: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Benedicto Cigüeñas Guevara (Chairman)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Dionisio Romero Paoletti</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Raimundo Morales Dasso</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Designation of the following directors as members of the Nominations Committee: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Dionisio Romero Paoletti (Chairman)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Raimundo Morales Dasso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Martín Pérez Monteverde</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Designation of the following directors as members of the Compensation Committee: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Dionisio Romero Paoletti (Chairman)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Raimundo Morales Dasso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Juan Carlos Verme Giannoni</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Designation of the following directors as members of the Corporate Governance Committee: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Dionisio Romero Paoletti (Chairman)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Benedicto Cigüeñas Guevara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Juan Carlos Verme Giannoni</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Eduardo Hochschild Beeck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April 27</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2019-12-06T03:59:35Z</dcterms:created>
  <dcterms:modified xsi:type="dcterms:W3CDTF">2019-12-06T03:59:35Z</dcterms:modified>
</cp:coreProperties>
</file>