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480"/>
        <w:spacing w:after="0"/>
        <w:rPr>
          <w:sz w:val="20"/>
          <w:szCs w:val="20"/>
          <w:color w:val="auto"/>
        </w:rPr>
      </w:pPr>
      <w:r>
        <w:rPr>
          <w:rFonts w:ascii="Arial" w:cs="Arial" w:eastAsia="Arial" w:hAnsi="Arial"/>
          <w:sz w:val="22"/>
          <w:szCs w:val="22"/>
          <w:b w:val="1"/>
          <w:bCs w:val="1"/>
          <w:color w:val="auto"/>
        </w:rPr>
        <w:t>FORM 6-K</w:t>
      </w:r>
    </w:p>
    <w:p>
      <w:pPr>
        <w:spacing w:after="0" w:line="200" w:lineRule="exact"/>
        <w:rPr>
          <w:sz w:val="24"/>
          <w:szCs w:val="24"/>
          <w:color w:val="auto"/>
        </w:rPr>
      </w:pPr>
    </w:p>
    <w:p>
      <w:pPr>
        <w:spacing w:after="0" w:line="235"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0" w:lineRule="exact"/>
        <w:rPr>
          <w:sz w:val="24"/>
          <w:szCs w:val="24"/>
          <w:color w:val="auto"/>
        </w:rPr>
      </w:pPr>
    </w:p>
    <w:p>
      <w:pPr>
        <w:spacing w:after="0" w:line="223"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April 2014</w:t>
      </w:r>
    </w:p>
    <w:p>
      <w:pPr>
        <w:spacing w:after="0" w:line="229"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Commission File Number: 001-14014</w:t>
      </w:r>
    </w:p>
    <w:p>
      <w:pPr>
        <w:spacing w:after="0" w:line="200" w:lineRule="exact"/>
        <w:rPr>
          <w:sz w:val="24"/>
          <w:szCs w:val="24"/>
          <w:color w:val="auto"/>
        </w:rPr>
      </w:pPr>
    </w:p>
    <w:p>
      <w:pPr>
        <w:spacing w:after="0" w:line="233" w:lineRule="exact"/>
        <w:rPr>
          <w:sz w:val="24"/>
          <w:szCs w:val="24"/>
          <w:color w:val="auto"/>
        </w:rPr>
      </w:pPr>
    </w:p>
    <w:p>
      <w:pPr>
        <w:jc w:val="center"/>
        <w:ind w:right="-5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820"/>
        <w:spacing w:after="0" w:line="207" w:lineRule="exact"/>
        <w:tabs>
          <w:tab w:leader="none" w:pos="5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578485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90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8, 2014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rPr>
          <w:sz w:val="20"/>
          <w:szCs w:val="20"/>
          <w:color w:val="auto"/>
        </w:rPr>
      </w:pPr>
      <w:r>
        <w:rPr>
          <w:rFonts w:ascii="Arial" w:cs="Arial" w:eastAsia="Arial" w:hAnsi="Arial"/>
          <w:sz w:val="18"/>
          <w:szCs w:val="18"/>
          <w:color w:val="auto"/>
        </w:rPr>
        <w:t>Re.: MATERIAL EVENT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April 8, 2014, Grupo Crédito S.A. and Empresa Financiera Edyficar S.A., subsidiaries of Credicorp Ltd., acquired from International Finance Corporation (IFC) the following stake in Mibanco:</w:t>
      </w:r>
    </w:p>
    <w:p>
      <w:pPr>
        <w:spacing w:after="0" w:line="36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120" w:type="dxa"/>
            <w:vAlign w:val="bottom"/>
          </w:tcPr>
          <w:p>
            <w:pPr>
              <w:jc w:val="right"/>
              <w:ind w:right="1110"/>
              <w:spacing w:after="0"/>
              <w:rPr>
                <w:sz w:val="20"/>
                <w:szCs w:val="20"/>
                <w:color w:val="auto"/>
              </w:rPr>
            </w:pPr>
            <w:r>
              <w:rPr>
                <w:rFonts w:ascii="Arial" w:cs="Arial" w:eastAsia="Arial" w:hAnsi="Arial"/>
                <w:sz w:val="18"/>
                <w:szCs w:val="18"/>
                <w:b w:val="1"/>
                <w:bCs w:val="1"/>
                <w:color w:val="auto"/>
              </w:rPr>
              <w:t>Class A</w:t>
            </w:r>
          </w:p>
        </w:tc>
        <w:tc>
          <w:tcPr>
            <w:tcW w:w="2460" w:type="dxa"/>
            <w:vAlign w:val="bottom"/>
          </w:tcPr>
          <w:p>
            <w:pPr>
              <w:jc w:val="right"/>
              <w:ind w:right="930"/>
              <w:spacing w:after="0"/>
              <w:rPr>
                <w:sz w:val="20"/>
                <w:szCs w:val="20"/>
                <w:color w:val="auto"/>
              </w:rPr>
            </w:pPr>
            <w:r>
              <w:rPr>
                <w:rFonts w:ascii="Arial" w:cs="Arial" w:eastAsia="Arial" w:hAnsi="Arial"/>
                <w:sz w:val="18"/>
                <w:szCs w:val="18"/>
                <w:b w:val="1"/>
                <w:bCs w:val="1"/>
                <w:color w:val="auto"/>
              </w:rPr>
              <w:t>Class B</w:t>
            </w:r>
          </w:p>
        </w:tc>
      </w:tr>
      <w:tr>
        <w:trPr>
          <w:trHeight w:val="225"/>
        </w:trPr>
        <w:tc>
          <w:tcPr>
            <w:tcW w:w="20" w:type="dxa"/>
            <w:vAlign w:val="bottom"/>
          </w:tcPr>
          <w:p>
            <w:pPr>
              <w:spacing w:after="0"/>
              <w:rPr>
                <w:sz w:val="19"/>
                <w:szCs w:val="19"/>
                <w:color w:val="auto"/>
              </w:rPr>
            </w:pPr>
          </w:p>
        </w:tc>
        <w:tc>
          <w:tcPr>
            <w:tcW w:w="3540" w:type="dxa"/>
            <w:vAlign w:val="bottom"/>
          </w:tcPr>
          <w:p>
            <w:pPr>
              <w:ind w:left="1660"/>
              <w:spacing w:after="0"/>
              <w:rPr>
                <w:sz w:val="20"/>
                <w:szCs w:val="20"/>
                <w:color w:val="auto"/>
              </w:rPr>
            </w:pPr>
            <w:r>
              <w:rPr>
                <w:rFonts w:ascii="Arial" w:cs="Arial" w:eastAsia="Arial" w:hAnsi="Arial"/>
                <w:sz w:val="18"/>
                <w:szCs w:val="18"/>
                <w:b w:val="1"/>
                <w:bCs w:val="1"/>
                <w:color w:val="auto"/>
              </w:rPr>
              <w:t>Entity</w:t>
            </w:r>
          </w:p>
        </w:tc>
        <w:tc>
          <w:tcPr>
            <w:tcW w:w="3120" w:type="dxa"/>
            <w:vAlign w:val="bottom"/>
          </w:tcPr>
          <w:p>
            <w:pPr>
              <w:jc w:val="right"/>
              <w:ind w:right="670"/>
              <w:spacing w:after="0"/>
              <w:rPr>
                <w:sz w:val="20"/>
                <w:szCs w:val="20"/>
                <w:color w:val="auto"/>
              </w:rPr>
            </w:pPr>
            <w:r>
              <w:rPr>
                <w:rFonts w:ascii="Arial" w:cs="Arial" w:eastAsia="Arial" w:hAnsi="Arial"/>
                <w:sz w:val="18"/>
                <w:szCs w:val="18"/>
                <w:b w:val="1"/>
                <w:bCs w:val="1"/>
                <w:color w:val="auto"/>
              </w:rPr>
              <w:t>with voting rights</w:t>
            </w:r>
          </w:p>
        </w:tc>
        <w:tc>
          <w:tcPr>
            <w:tcW w:w="2460" w:type="dxa"/>
            <w:vAlign w:val="bottom"/>
          </w:tcPr>
          <w:p>
            <w:pPr>
              <w:jc w:val="right"/>
              <w:ind w:right="350"/>
              <w:spacing w:after="0"/>
              <w:rPr>
                <w:sz w:val="20"/>
                <w:szCs w:val="20"/>
                <w:color w:val="auto"/>
              </w:rPr>
            </w:pPr>
            <w:r>
              <w:rPr>
                <w:rFonts w:ascii="Arial" w:cs="Arial" w:eastAsia="Arial" w:hAnsi="Arial"/>
                <w:sz w:val="18"/>
                <w:szCs w:val="18"/>
                <w:b w:val="1"/>
                <w:bCs w:val="1"/>
                <w:color w:val="auto"/>
              </w:rPr>
              <w:t>without voting rights</w:t>
            </w:r>
          </w:p>
        </w:tc>
      </w:tr>
      <w:tr>
        <w:trPr>
          <w:trHeight w:val="203"/>
        </w:trPr>
        <w:tc>
          <w:tcPr>
            <w:tcW w:w="20" w:type="dxa"/>
            <w:vAlign w:val="bottom"/>
          </w:tcPr>
          <w:p>
            <w:pPr>
              <w:spacing w:after="0"/>
              <w:rPr>
                <w:sz w:val="17"/>
                <w:szCs w:val="17"/>
                <w:color w:val="auto"/>
              </w:rPr>
            </w:pPr>
          </w:p>
        </w:tc>
        <w:tc>
          <w:tcPr>
            <w:tcW w:w="354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Grupo Crédito S.A.</w:t>
            </w:r>
          </w:p>
        </w:tc>
        <w:tc>
          <w:tcPr>
            <w:tcW w:w="3120" w:type="dxa"/>
            <w:vAlign w:val="bottom"/>
            <w:shd w:val="clear" w:color="auto" w:fill="CCFFCC"/>
          </w:tcPr>
          <w:p>
            <w:pPr>
              <w:jc w:val="right"/>
              <w:ind w:right="170"/>
              <w:spacing w:after="0" w:line="202" w:lineRule="exact"/>
              <w:rPr>
                <w:sz w:val="20"/>
                <w:szCs w:val="20"/>
                <w:color w:val="auto"/>
              </w:rPr>
            </w:pPr>
            <w:r>
              <w:rPr>
                <w:rFonts w:ascii="Arial" w:cs="Arial" w:eastAsia="Arial" w:hAnsi="Arial"/>
                <w:sz w:val="18"/>
                <w:szCs w:val="18"/>
                <w:color w:val="auto"/>
              </w:rPr>
              <w:t>21,335,405</w:t>
            </w:r>
          </w:p>
        </w:tc>
        <w:tc>
          <w:tcPr>
            <w:tcW w:w="246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1,146,943</w:t>
            </w:r>
          </w:p>
        </w:tc>
      </w:tr>
      <w:tr>
        <w:trPr>
          <w:trHeight w:val="217"/>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Empresa Financiera Edyficar S.A.</w:t>
            </w:r>
          </w:p>
        </w:tc>
        <w:tc>
          <w:tcPr>
            <w:tcW w:w="3120" w:type="dxa"/>
            <w:vAlign w:val="bottom"/>
          </w:tcPr>
          <w:p>
            <w:pPr>
              <w:jc w:val="right"/>
              <w:ind w:right="170"/>
              <w:spacing w:after="0"/>
              <w:rPr>
                <w:sz w:val="20"/>
                <w:szCs w:val="20"/>
                <w:color w:val="auto"/>
              </w:rPr>
            </w:pPr>
            <w:r>
              <w:rPr>
                <w:rFonts w:ascii="Arial" w:cs="Arial" w:eastAsia="Arial" w:hAnsi="Arial"/>
                <w:sz w:val="18"/>
                <w:szCs w:val="18"/>
                <w:color w:val="auto"/>
              </w:rPr>
              <w:t>6,400,700</w:t>
            </w:r>
          </w:p>
        </w:tc>
        <w:tc>
          <w:tcPr>
            <w:tcW w:w="2460" w:type="dxa"/>
            <w:vAlign w:val="bottom"/>
          </w:tcPr>
          <w:p>
            <w:pPr>
              <w:jc w:val="right"/>
              <w:spacing w:after="0"/>
              <w:rPr>
                <w:sz w:val="20"/>
                <w:szCs w:val="20"/>
                <w:color w:val="auto"/>
              </w:rPr>
            </w:pPr>
            <w:r>
              <w:rPr>
                <w:rFonts w:ascii="Arial" w:cs="Arial" w:eastAsia="Arial" w:hAnsi="Arial"/>
                <w:sz w:val="18"/>
                <w:szCs w:val="18"/>
                <w:color w:val="auto"/>
              </w:rPr>
              <w:t>344,200</w:t>
            </w:r>
          </w:p>
        </w:tc>
      </w:tr>
    </w:tbl>
    <w:p>
      <w:pPr>
        <w:spacing w:after="0" w:line="3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acquisitions were made through the Bolsa de Valores de Lima -BVL (Lima Stock Exchange). Through these transactions Grupo Crédito S.A. and Empresa Financiera Edyficar S.A. acquired 5% and 1.5% stake in Mibanco, respectively. The total amount paid for both transactions amounted to S/. 54,070,408.80, which is equivalent to US$ 19,225,717.82, approximately.</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Furthermore, according to the Capital Markets Law, Credicorp’s subsidiaries will proceed to make a Tender Offer (OPA for its initials in Spanish, Oferta Pública de Adquisición) to minority shareholders of Mibanco within the tenure and procedures stipulated in the Law.</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6350</wp:posOffset>
            </wp:positionV>
            <wp:extent cx="2409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Market Representative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April 9, 2014</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2019-12-06T13:25:01Z</dcterms:created>
  <dcterms:modified xsi:type="dcterms:W3CDTF">2019-12-06T13:25:01Z</dcterms:modified>
</cp:coreProperties>
</file>