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27FF" w14:textId="77777777" w:rsidR="005017AE" w:rsidRDefault="00000000">
      <w:pPr>
        <w:ind w:right="-1040"/>
        <w:jc w:val="center"/>
        <w:rPr>
          <w:sz w:val="20"/>
          <w:szCs w:val="20"/>
        </w:rPr>
      </w:pPr>
      <w:bookmarkStart w:id="0" w:name="page1"/>
      <w:bookmarkEnd w:id="0"/>
      <w:r>
        <w:rPr>
          <w:rFonts w:eastAsia="Times New Roman"/>
          <w:b/>
          <w:bCs/>
          <w:noProof/>
          <w:sz w:val="25"/>
          <w:szCs w:val="25"/>
        </w:rPr>
        <w:drawing>
          <wp:anchor distT="0" distB="0" distL="114300" distR="114300" simplePos="0" relativeHeight="251653632" behindDoc="1" locked="0" layoutInCell="0" allowOverlap="1" wp14:anchorId="23A52279" wp14:editId="11285473">
            <wp:simplePos x="0" y="0"/>
            <wp:positionH relativeFrom="page">
              <wp:posOffset>208280</wp:posOffset>
            </wp:positionH>
            <wp:positionV relativeFrom="page">
              <wp:posOffset>157480</wp:posOffset>
            </wp:positionV>
            <wp:extent cx="7132320" cy="34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132320" cy="34290"/>
                    </a:xfrm>
                    <a:prstGeom prst="rect">
                      <a:avLst/>
                    </a:prstGeom>
                    <a:noFill/>
                  </pic:spPr>
                </pic:pic>
              </a:graphicData>
            </a:graphic>
          </wp:anchor>
        </w:drawing>
      </w:r>
      <w:r>
        <w:rPr>
          <w:rFonts w:eastAsia="Times New Roman"/>
          <w:b/>
          <w:bCs/>
          <w:noProof/>
          <w:sz w:val="25"/>
          <w:szCs w:val="25"/>
        </w:rPr>
        <w:drawing>
          <wp:anchor distT="0" distB="0" distL="114300" distR="114300" simplePos="0" relativeHeight="251654656" behindDoc="1" locked="0" layoutInCell="0" allowOverlap="1" wp14:anchorId="533C871C" wp14:editId="54181403">
            <wp:simplePos x="0" y="0"/>
            <wp:positionH relativeFrom="page">
              <wp:posOffset>208280</wp:posOffset>
            </wp:positionH>
            <wp:positionV relativeFrom="page">
              <wp:posOffset>277495</wp:posOffset>
            </wp:positionV>
            <wp:extent cx="713232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r>
        <w:rPr>
          <w:rFonts w:eastAsia="Times New Roman"/>
          <w:b/>
          <w:bCs/>
          <w:sz w:val="25"/>
          <w:szCs w:val="25"/>
        </w:rPr>
        <w:t>SECURITIES AND EXCHANGE COMMISSION</w:t>
      </w:r>
    </w:p>
    <w:p w14:paraId="148842AC" w14:textId="77777777" w:rsidR="005017AE" w:rsidRDefault="005017AE">
      <w:pPr>
        <w:spacing w:line="35" w:lineRule="exact"/>
        <w:rPr>
          <w:sz w:val="24"/>
          <w:szCs w:val="24"/>
        </w:rPr>
      </w:pPr>
    </w:p>
    <w:p w14:paraId="4A727CA7" w14:textId="77777777" w:rsidR="005017AE" w:rsidRDefault="00000000">
      <w:pPr>
        <w:ind w:right="-1040"/>
        <w:jc w:val="center"/>
        <w:rPr>
          <w:sz w:val="20"/>
          <w:szCs w:val="20"/>
        </w:rPr>
      </w:pPr>
      <w:r>
        <w:rPr>
          <w:rFonts w:eastAsia="Times New Roman"/>
          <w:b/>
          <w:bCs/>
        </w:rPr>
        <w:t>Washington, D.C. 20549</w:t>
      </w:r>
    </w:p>
    <w:p w14:paraId="2524E70A" w14:textId="77777777" w:rsidR="005017AE" w:rsidRDefault="005017AE">
      <w:pPr>
        <w:spacing w:line="162" w:lineRule="exact"/>
        <w:rPr>
          <w:sz w:val="24"/>
          <w:szCs w:val="24"/>
        </w:rPr>
      </w:pPr>
    </w:p>
    <w:p w14:paraId="13C03258" w14:textId="77777777" w:rsidR="005017AE" w:rsidRDefault="00000000">
      <w:pPr>
        <w:ind w:right="-1040"/>
        <w:jc w:val="center"/>
        <w:rPr>
          <w:sz w:val="20"/>
          <w:szCs w:val="20"/>
        </w:rPr>
      </w:pPr>
      <w:r>
        <w:rPr>
          <w:rFonts w:eastAsia="Times New Roman"/>
          <w:b/>
          <w:bCs/>
          <w:sz w:val="32"/>
          <w:szCs w:val="32"/>
        </w:rPr>
        <w:t>FORM 6-K</w:t>
      </w:r>
    </w:p>
    <w:p w14:paraId="4F5806ED" w14:textId="77777777" w:rsidR="005017AE" w:rsidRDefault="005017AE">
      <w:pPr>
        <w:spacing w:line="241" w:lineRule="exact"/>
        <w:rPr>
          <w:sz w:val="24"/>
          <w:szCs w:val="24"/>
        </w:rPr>
      </w:pPr>
    </w:p>
    <w:p w14:paraId="7F0E8B55" w14:textId="77777777" w:rsidR="005017AE" w:rsidRDefault="00000000">
      <w:pPr>
        <w:ind w:right="-1040"/>
        <w:jc w:val="center"/>
        <w:rPr>
          <w:sz w:val="20"/>
          <w:szCs w:val="20"/>
        </w:rPr>
      </w:pPr>
      <w:r>
        <w:rPr>
          <w:rFonts w:eastAsia="Times New Roman"/>
          <w:sz w:val="18"/>
          <w:szCs w:val="18"/>
        </w:rPr>
        <w:t>Report of Foreign Private Issuer</w:t>
      </w:r>
    </w:p>
    <w:p w14:paraId="6C0448E4" w14:textId="77777777" w:rsidR="005017AE" w:rsidRDefault="005017AE">
      <w:pPr>
        <w:spacing w:line="27" w:lineRule="exact"/>
        <w:rPr>
          <w:sz w:val="24"/>
          <w:szCs w:val="24"/>
        </w:rPr>
      </w:pPr>
    </w:p>
    <w:p w14:paraId="7B6D4D55" w14:textId="77777777" w:rsidR="005017AE" w:rsidRDefault="00000000">
      <w:pPr>
        <w:ind w:right="-1040"/>
        <w:jc w:val="center"/>
        <w:rPr>
          <w:sz w:val="20"/>
          <w:szCs w:val="20"/>
        </w:rPr>
      </w:pPr>
      <w:r>
        <w:rPr>
          <w:rFonts w:eastAsia="Times New Roman"/>
          <w:sz w:val="18"/>
          <w:szCs w:val="18"/>
        </w:rPr>
        <w:t>Pursuant to Rule 13a-16 or 15d-16 under the</w:t>
      </w:r>
    </w:p>
    <w:p w14:paraId="2B3CB57C" w14:textId="77777777" w:rsidR="005017AE" w:rsidRDefault="005017AE">
      <w:pPr>
        <w:spacing w:line="9" w:lineRule="exact"/>
        <w:rPr>
          <w:sz w:val="24"/>
          <w:szCs w:val="24"/>
        </w:rPr>
      </w:pPr>
    </w:p>
    <w:p w14:paraId="530B1669" w14:textId="77777777" w:rsidR="005017AE" w:rsidRDefault="00000000">
      <w:pPr>
        <w:ind w:right="-1040"/>
        <w:jc w:val="center"/>
        <w:rPr>
          <w:sz w:val="20"/>
          <w:szCs w:val="20"/>
        </w:rPr>
      </w:pPr>
      <w:r>
        <w:rPr>
          <w:rFonts w:eastAsia="Times New Roman"/>
          <w:sz w:val="18"/>
          <w:szCs w:val="18"/>
        </w:rPr>
        <w:t>Securities Exchange Act of 1934</w:t>
      </w:r>
    </w:p>
    <w:p w14:paraId="6B67951B" w14:textId="77777777" w:rsidR="005017AE" w:rsidRDefault="005017AE">
      <w:pPr>
        <w:spacing w:line="203" w:lineRule="exact"/>
        <w:rPr>
          <w:sz w:val="24"/>
          <w:szCs w:val="24"/>
        </w:rPr>
      </w:pPr>
    </w:p>
    <w:p w14:paraId="7FD01A46" w14:textId="77777777" w:rsidR="005017AE" w:rsidRDefault="00000000">
      <w:pPr>
        <w:ind w:right="-1040"/>
        <w:jc w:val="center"/>
        <w:rPr>
          <w:sz w:val="20"/>
          <w:szCs w:val="20"/>
        </w:rPr>
      </w:pPr>
      <w:r>
        <w:rPr>
          <w:rFonts w:eastAsia="Times New Roman"/>
          <w:b/>
          <w:bCs/>
          <w:sz w:val="18"/>
          <w:szCs w:val="18"/>
        </w:rPr>
        <w:t>For the month of March 2024</w:t>
      </w:r>
    </w:p>
    <w:p w14:paraId="6D8CFE2A" w14:textId="77777777" w:rsidR="005017AE" w:rsidRDefault="005017AE">
      <w:pPr>
        <w:spacing w:line="229" w:lineRule="exact"/>
        <w:rPr>
          <w:sz w:val="24"/>
          <w:szCs w:val="24"/>
        </w:rPr>
      </w:pPr>
    </w:p>
    <w:p w14:paraId="54FF9282" w14:textId="77777777" w:rsidR="005017AE" w:rsidRDefault="00000000">
      <w:pPr>
        <w:ind w:right="-1040"/>
        <w:jc w:val="center"/>
        <w:rPr>
          <w:sz w:val="20"/>
          <w:szCs w:val="20"/>
        </w:rPr>
      </w:pPr>
      <w:r>
        <w:rPr>
          <w:rFonts w:eastAsia="Times New Roman"/>
          <w:sz w:val="18"/>
          <w:szCs w:val="18"/>
        </w:rPr>
        <w:t>Commission File Number: 001-14014</w:t>
      </w:r>
    </w:p>
    <w:p w14:paraId="6BA46BCD" w14:textId="77777777" w:rsidR="005017AE" w:rsidRDefault="005017AE">
      <w:pPr>
        <w:spacing w:line="192" w:lineRule="exact"/>
        <w:rPr>
          <w:sz w:val="24"/>
          <w:szCs w:val="24"/>
        </w:rPr>
      </w:pPr>
    </w:p>
    <w:p w14:paraId="1DC88ADD" w14:textId="77777777" w:rsidR="005017AE" w:rsidRDefault="00000000">
      <w:pPr>
        <w:ind w:right="-1040"/>
        <w:jc w:val="center"/>
        <w:rPr>
          <w:sz w:val="20"/>
          <w:szCs w:val="20"/>
        </w:rPr>
      </w:pPr>
      <w:r>
        <w:rPr>
          <w:rFonts w:eastAsia="Times New Roman"/>
          <w:b/>
          <w:bCs/>
          <w:sz w:val="43"/>
          <w:szCs w:val="43"/>
        </w:rPr>
        <w:t>CREDICORP LTD.</w:t>
      </w:r>
    </w:p>
    <w:p w14:paraId="31840FA3" w14:textId="77777777" w:rsidR="005017AE" w:rsidRDefault="005017AE">
      <w:pPr>
        <w:spacing w:line="58" w:lineRule="exact"/>
        <w:rPr>
          <w:sz w:val="24"/>
          <w:szCs w:val="24"/>
        </w:rPr>
      </w:pPr>
    </w:p>
    <w:p w14:paraId="3258A167" w14:textId="77777777" w:rsidR="005017AE" w:rsidRDefault="00000000">
      <w:pPr>
        <w:ind w:right="-1040"/>
        <w:jc w:val="center"/>
        <w:rPr>
          <w:sz w:val="20"/>
          <w:szCs w:val="20"/>
        </w:rPr>
      </w:pPr>
      <w:r>
        <w:rPr>
          <w:rFonts w:eastAsia="Times New Roman"/>
          <w:sz w:val="18"/>
          <w:szCs w:val="18"/>
        </w:rPr>
        <w:t>(Translation of registrant’s name into English)</w:t>
      </w:r>
    </w:p>
    <w:p w14:paraId="0D34C74F" w14:textId="77777777" w:rsidR="005017AE" w:rsidRDefault="005017AE">
      <w:pPr>
        <w:spacing w:line="201" w:lineRule="exact"/>
        <w:rPr>
          <w:sz w:val="24"/>
          <w:szCs w:val="24"/>
        </w:rPr>
      </w:pPr>
    </w:p>
    <w:p w14:paraId="3CCEE1D7" w14:textId="77777777" w:rsidR="005017AE" w:rsidRDefault="00000000">
      <w:pPr>
        <w:ind w:right="-1040"/>
        <w:jc w:val="center"/>
        <w:rPr>
          <w:sz w:val="20"/>
          <w:szCs w:val="20"/>
        </w:rPr>
      </w:pPr>
      <w:r>
        <w:rPr>
          <w:rFonts w:eastAsia="Times New Roman"/>
          <w:b/>
          <w:bCs/>
          <w:sz w:val="18"/>
          <w:szCs w:val="18"/>
        </w:rPr>
        <w:t>Of our subsidiary</w:t>
      </w:r>
    </w:p>
    <w:p w14:paraId="67BABB29" w14:textId="77777777" w:rsidR="005017AE" w:rsidRDefault="005017AE">
      <w:pPr>
        <w:spacing w:line="31" w:lineRule="exact"/>
        <w:rPr>
          <w:sz w:val="24"/>
          <w:szCs w:val="24"/>
        </w:rPr>
      </w:pPr>
    </w:p>
    <w:p w14:paraId="01AB0DBB" w14:textId="77777777" w:rsidR="005017AE" w:rsidRDefault="00000000">
      <w:pPr>
        <w:ind w:right="-1040"/>
        <w:jc w:val="center"/>
        <w:rPr>
          <w:sz w:val="20"/>
          <w:szCs w:val="20"/>
        </w:rPr>
      </w:pPr>
      <w:r>
        <w:rPr>
          <w:rFonts w:eastAsia="Times New Roman"/>
          <w:b/>
          <w:bCs/>
          <w:sz w:val="18"/>
          <w:szCs w:val="18"/>
        </w:rPr>
        <w:t>Banco de Credito del Peru:</w:t>
      </w:r>
    </w:p>
    <w:p w14:paraId="1A3A7FC0" w14:textId="77777777" w:rsidR="005017AE" w:rsidRDefault="005017AE">
      <w:pPr>
        <w:spacing w:line="9" w:lineRule="exact"/>
        <w:rPr>
          <w:sz w:val="24"/>
          <w:szCs w:val="24"/>
        </w:rPr>
      </w:pPr>
    </w:p>
    <w:p w14:paraId="5143A0CC" w14:textId="77777777" w:rsidR="005017AE" w:rsidRDefault="00000000">
      <w:pPr>
        <w:ind w:right="-1040"/>
        <w:jc w:val="center"/>
        <w:rPr>
          <w:sz w:val="20"/>
          <w:szCs w:val="20"/>
        </w:rPr>
      </w:pPr>
      <w:r>
        <w:rPr>
          <w:rFonts w:eastAsia="Times New Roman"/>
          <w:b/>
          <w:bCs/>
          <w:sz w:val="18"/>
          <w:szCs w:val="18"/>
        </w:rPr>
        <w:t>Calle Centenario 156</w:t>
      </w:r>
    </w:p>
    <w:p w14:paraId="2A7C9DDC" w14:textId="77777777" w:rsidR="005017AE" w:rsidRDefault="005017AE">
      <w:pPr>
        <w:spacing w:line="9" w:lineRule="exact"/>
        <w:rPr>
          <w:sz w:val="24"/>
          <w:szCs w:val="24"/>
        </w:rPr>
      </w:pPr>
    </w:p>
    <w:p w14:paraId="09C0BC0B" w14:textId="77777777" w:rsidR="005017AE" w:rsidRDefault="00000000">
      <w:pPr>
        <w:ind w:right="-1040"/>
        <w:jc w:val="center"/>
        <w:rPr>
          <w:sz w:val="20"/>
          <w:szCs w:val="20"/>
        </w:rPr>
      </w:pPr>
      <w:r>
        <w:rPr>
          <w:rFonts w:eastAsia="Times New Roman"/>
          <w:b/>
          <w:bCs/>
          <w:sz w:val="18"/>
          <w:szCs w:val="18"/>
        </w:rPr>
        <w:t>La Molina</w:t>
      </w:r>
    </w:p>
    <w:p w14:paraId="41FAB189" w14:textId="77777777" w:rsidR="005017AE" w:rsidRDefault="005017AE">
      <w:pPr>
        <w:spacing w:line="9" w:lineRule="exact"/>
        <w:rPr>
          <w:sz w:val="24"/>
          <w:szCs w:val="24"/>
        </w:rPr>
      </w:pPr>
    </w:p>
    <w:p w14:paraId="4979AFCF" w14:textId="77777777" w:rsidR="005017AE" w:rsidRDefault="00000000">
      <w:pPr>
        <w:ind w:right="-1040"/>
        <w:jc w:val="center"/>
        <w:rPr>
          <w:sz w:val="20"/>
          <w:szCs w:val="20"/>
        </w:rPr>
      </w:pPr>
      <w:r>
        <w:rPr>
          <w:rFonts w:eastAsia="Times New Roman"/>
          <w:b/>
          <w:bCs/>
          <w:sz w:val="18"/>
          <w:szCs w:val="18"/>
        </w:rPr>
        <w:t xml:space="preserve">Lima 12, Peru </w:t>
      </w:r>
      <w:r>
        <w:rPr>
          <w:rFonts w:eastAsia="Times New Roman"/>
          <w:sz w:val="18"/>
          <w:szCs w:val="18"/>
        </w:rPr>
        <w:t>(Address of principal executive office)</w:t>
      </w:r>
    </w:p>
    <w:p w14:paraId="5C5A6646" w14:textId="77777777" w:rsidR="005017AE" w:rsidRDefault="005017AE">
      <w:pPr>
        <w:spacing w:line="207" w:lineRule="exact"/>
        <w:rPr>
          <w:sz w:val="24"/>
          <w:szCs w:val="24"/>
        </w:rPr>
      </w:pPr>
    </w:p>
    <w:p w14:paraId="13126F9D" w14:textId="77777777" w:rsidR="005017AE" w:rsidRDefault="00000000">
      <w:pPr>
        <w:ind w:right="-1040"/>
        <w:jc w:val="center"/>
        <w:rPr>
          <w:sz w:val="20"/>
          <w:szCs w:val="20"/>
        </w:rPr>
      </w:pPr>
      <w:r>
        <w:rPr>
          <w:rFonts w:eastAsia="Times New Roman"/>
          <w:sz w:val="17"/>
          <w:szCs w:val="17"/>
        </w:rPr>
        <w:t>Indicate by check mark whether the registrant files or will file annual reports under cover of Form 20-F or Form 40-F.</w:t>
      </w:r>
    </w:p>
    <w:p w14:paraId="455087E4" w14:textId="77777777" w:rsidR="005017AE" w:rsidRDefault="005017AE">
      <w:pPr>
        <w:spacing w:line="196" w:lineRule="exact"/>
        <w:rPr>
          <w:sz w:val="24"/>
          <w:szCs w:val="24"/>
        </w:rPr>
      </w:pPr>
    </w:p>
    <w:p w14:paraId="3D7A15F6" w14:textId="77777777" w:rsidR="005017AE" w:rsidRDefault="00000000">
      <w:pPr>
        <w:spacing w:line="207" w:lineRule="exact"/>
        <w:ind w:left="4560"/>
        <w:rPr>
          <w:sz w:val="20"/>
          <w:szCs w:val="20"/>
        </w:rPr>
      </w:pPr>
      <w:r>
        <w:rPr>
          <w:rFonts w:eastAsia="Times New Roman"/>
          <w:sz w:val="18"/>
          <w:szCs w:val="18"/>
        </w:rPr>
        <w:t xml:space="preserve">Form 20-F </w:t>
      </w:r>
      <w:r>
        <w:rPr>
          <w:rFonts w:ascii="MS PGothic" w:eastAsia="MS PGothic" w:hAnsi="MS PGothic" w:cs="MS PGothic"/>
          <w:sz w:val="18"/>
          <w:szCs w:val="18"/>
        </w:rPr>
        <w:t>☒</w:t>
      </w:r>
      <w:r>
        <w:rPr>
          <w:rFonts w:eastAsia="Times New Roman"/>
          <w:sz w:val="18"/>
          <w:szCs w:val="18"/>
        </w:rPr>
        <w:t xml:space="preserve"> Form 40-F </w:t>
      </w:r>
      <w:r>
        <w:rPr>
          <w:rFonts w:ascii="MS PGothic" w:eastAsia="MS PGothic" w:hAnsi="MS PGothic" w:cs="MS PGothic"/>
          <w:sz w:val="18"/>
          <w:szCs w:val="18"/>
        </w:rPr>
        <w:t>☐</w:t>
      </w:r>
    </w:p>
    <w:p w14:paraId="0FA959EF" w14:textId="77777777" w:rsidR="005017AE" w:rsidRDefault="005017AE">
      <w:pPr>
        <w:spacing w:line="266" w:lineRule="exact"/>
        <w:rPr>
          <w:sz w:val="24"/>
          <w:szCs w:val="24"/>
        </w:rPr>
      </w:pPr>
    </w:p>
    <w:p w14:paraId="6EEBD7F3" w14:textId="77777777" w:rsidR="005017AE" w:rsidRDefault="00000000">
      <w:pPr>
        <w:rPr>
          <w:sz w:val="20"/>
          <w:szCs w:val="20"/>
        </w:rPr>
      </w:pPr>
      <w:r>
        <w:rPr>
          <w:rFonts w:eastAsia="Times New Roman"/>
          <w:sz w:val="18"/>
          <w:szCs w:val="18"/>
        </w:rPr>
        <w:t>Indicate by check mark if the registrant is submitting the Form 6-K in paper as permitted by Regulation S-T Rule 101(b)(1): ____</w:t>
      </w:r>
    </w:p>
    <w:p w14:paraId="68C872F8" w14:textId="77777777" w:rsidR="005017AE" w:rsidRDefault="005017AE">
      <w:pPr>
        <w:spacing w:line="225" w:lineRule="exact"/>
        <w:rPr>
          <w:sz w:val="24"/>
          <w:szCs w:val="24"/>
        </w:rPr>
      </w:pPr>
    </w:p>
    <w:p w14:paraId="6CEF914C" w14:textId="77777777" w:rsidR="005017AE" w:rsidRDefault="00000000">
      <w:pPr>
        <w:rPr>
          <w:sz w:val="20"/>
          <w:szCs w:val="20"/>
        </w:rPr>
      </w:pPr>
      <w:r>
        <w:rPr>
          <w:rFonts w:eastAsia="Times New Roman"/>
          <w:sz w:val="18"/>
          <w:szCs w:val="18"/>
        </w:rPr>
        <w:t>Indicate by check mark if the registrant is submitting the Form 6-K in paper as permitted by Regulation S-T Rule 101(b)(7): ____</w:t>
      </w:r>
    </w:p>
    <w:p w14:paraId="3DA5FE74" w14:textId="77777777" w:rsidR="005017AE" w:rsidRDefault="00000000">
      <w:pPr>
        <w:spacing w:line="20" w:lineRule="exact"/>
        <w:rPr>
          <w:sz w:val="24"/>
          <w:szCs w:val="24"/>
        </w:rPr>
      </w:pPr>
      <w:r>
        <w:rPr>
          <w:noProof/>
          <w:sz w:val="24"/>
          <w:szCs w:val="24"/>
        </w:rPr>
        <w:drawing>
          <wp:anchor distT="0" distB="0" distL="114300" distR="114300" simplePos="0" relativeHeight="251655680" behindDoc="1" locked="0" layoutInCell="0" allowOverlap="1" wp14:anchorId="3AC4A4EF" wp14:editId="24F8499B">
            <wp:simplePos x="0" y="0"/>
            <wp:positionH relativeFrom="column">
              <wp:posOffset>-32385</wp:posOffset>
            </wp:positionH>
            <wp:positionV relativeFrom="paragraph">
              <wp:posOffset>205740</wp:posOffset>
            </wp:positionV>
            <wp:extent cx="713232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14:anchorId="642C7E8C" wp14:editId="19FFA664">
            <wp:simplePos x="0" y="0"/>
            <wp:positionH relativeFrom="column">
              <wp:posOffset>-32385</wp:posOffset>
            </wp:positionH>
            <wp:positionV relativeFrom="paragraph">
              <wp:posOffset>300355</wp:posOffset>
            </wp:positionV>
            <wp:extent cx="7132320" cy="34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132320" cy="3429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14:anchorId="7F9F0285" wp14:editId="1230B15D">
            <wp:simplePos x="0" y="0"/>
            <wp:positionH relativeFrom="column">
              <wp:posOffset>-32385</wp:posOffset>
            </wp:positionH>
            <wp:positionV relativeFrom="paragraph">
              <wp:posOffset>437515</wp:posOffset>
            </wp:positionV>
            <wp:extent cx="7132320" cy="17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14:paraId="241F8D12" w14:textId="77777777" w:rsidR="005017AE" w:rsidRDefault="005017AE">
      <w:pPr>
        <w:sectPr w:rsidR="005017AE" w:rsidSect="000102E2">
          <w:pgSz w:w="11900" w:h="16838"/>
          <w:pgMar w:top="502" w:right="1440" w:bottom="1440" w:left="380" w:header="0" w:footer="0" w:gutter="0"/>
          <w:cols w:space="720" w:equalWidth="0">
            <w:col w:w="10079"/>
          </w:cols>
        </w:sectPr>
      </w:pPr>
    </w:p>
    <w:p w14:paraId="6973B8B7" w14:textId="77777777" w:rsidR="005017AE" w:rsidRDefault="00000000">
      <w:pPr>
        <w:spacing w:line="200" w:lineRule="exact"/>
        <w:rPr>
          <w:sz w:val="20"/>
          <w:szCs w:val="20"/>
        </w:rPr>
      </w:pPr>
      <w:bookmarkStart w:id="1" w:name="page2"/>
      <w:bookmarkEnd w:id="1"/>
      <w:r>
        <w:rPr>
          <w:noProof/>
          <w:sz w:val="20"/>
          <w:szCs w:val="20"/>
        </w:rPr>
        <w:drawing>
          <wp:anchor distT="0" distB="0" distL="114300" distR="114300" simplePos="0" relativeHeight="251658752" behindDoc="1" locked="0" layoutInCell="0" allowOverlap="1" wp14:anchorId="7110F8CD" wp14:editId="3325BD45">
            <wp:simplePos x="0" y="0"/>
            <wp:positionH relativeFrom="page">
              <wp:posOffset>208280</wp:posOffset>
            </wp:positionH>
            <wp:positionV relativeFrom="page">
              <wp:posOffset>88900</wp:posOffset>
            </wp:positionV>
            <wp:extent cx="2408555" cy="1354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408555" cy="1354455"/>
                    </a:xfrm>
                    <a:prstGeom prst="rect">
                      <a:avLst/>
                    </a:prstGeom>
                    <a:noFill/>
                  </pic:spPr>
                </pic:pic>
              </a:graphicData>
            </a:graphic>
          </wp:anchor>
        </w:drawing>
      </w:r>
    </w:p>
    <w:p w14:paraId="178221C5" w14:textId="77777777" w:rsidR="005017AE" w:rsidRDefault="005017AE">
      <w:pPr>
        <w:spacing w:line="200" w:lineRule="exact"/>
        <w:rPr>
          <w:sz w:val="20"/>
          <w:szCs w:val="20"/>
        </w:rPr>
      </w:pPr>
    </w:p>
    <w:p w14:paraId="76563B82" w14:textId="77777777" w:rsidR="005017AE" w:rsidRDefault="005017AE">
      <w:pPr>
        <w:spacing w:line="200" w:lineRule="exact"/>
        <w:rPr>
          <w:sz w:val="20"/>
          <w:szCs w:val="20"/>
        </w:rPr>
      </w:pPr>
    </w:p>
    <w:p w14:paraId="6535EC3A" w14:textId="77777777" w:rsidR="005017AE" w:rsidRDefault="005017AE">
      <w:pPr>
        <w:spacing w:line="200" w:lineRule="exact"/>
        <w:rPr>
          <w:sz w:val="20"/>
          <w:szCs w:val="20"/>
        </w:rPr>
      </w:pPr>
    </w:p>
    <w:p w14:paraId="60B44C9A" w14:textId="77777777" w:rsidR="005017AE" w:rsidRDefault="005017AE">
      <w:pPr>
        <w:spacing w:line="231" w:lineRule="exact"/>
        <w:rPr>
          <w:sz w:val="20"/>
          <w:szCs w:val="20"/>
        </w:rPr>
      </w:pPr>
    </w:p>
    <w:p w14:paraId="7FEBA07C" w14:textId="77777777" w:rsidR="005017AE" w:rsidRDefault="00000000">
      <w:pPr>
        <w:rPr>
          <w:sz w:val="20"/>
          <w:szCs w:val="20"/>
        </w:rPr>
      </w:pPr>
      <w:r>
        <w:rPr>
          <w:rFonts w:eastAsia="Times New Roman"/>
          <w:sz w:val="18"/>
          <w:szCs w:val="18"/>
        </w:rPr>
        <w:t>March 4, 2024</w:t>
      </w:r>
    </w:p>
    <w:p w14:paraId="0D78AE82" w14:textId="77777777" w:rsidR="005017AE" w:rsidRDefault="005017AE">
      <w:pPr>
        <w:spacing w:line="225" w:lineRule="exact"/>
        <w:rPr>
          <w:sz w:val="20"/>
          <w:szCs w:val="20"/>
        </w:rPr>
      </w:pPr>
    </w:p>
    <w:p w14:paraId="69CB75A2" w14:textId="77777777" w:rsidR="005017AE" w:rsidRDefault="00000000">
      <w:pPr>
        <w:rPr>
          <w:sz w:val="20"/>
          <w:szCs w:val="20"/>
        </w:rPr>
      </w:pPr>
      <w:r>
        <w:rPr>
          <w:rFonts w:eastAsia="Times New Roman"/>
          <w:sz w:val="18"/>
          <w:szCs w:val="18"/>
        </w:rPr>
        <w:t>Securities and Exchange Commission - SEC</w:t>
      </w:r>
    </w:p>
    <w:p w14:paraId="3D6CC1D6" w14:textId="77777777" w:rsidR="005017AE" w:rsidRDefault="005017AE">
      <w:pPr>
        <w:spacing w:line="27" w:lineRule="exact"/>
        <w:rPr>
          <w:sz w:val="20"/>
          <w:szCs w:val="20"/>
        </w:rPr>
      </w:pPr>
    </w:p>
    <w:p w14:paraId="1054FD7F" w14:textId="77777777" w:rsidR="005017AE" w:rsidRDefault="00000000">
      <w:pPr>
        <w:rPr>
          <w:sz w:val="20"/>
          <w:szCs w:val="20"/>
        </w:rPr>
      </w:pPr>
      <w:r>
        <w:rPr>
          <w:rFonts w:eastAsia="Times New Roman"/>
          <w:sz w:val="18"/>
          <w:szCs w:val="18"/>
        </w:rPr>
        <w:t>Re.: MATERIAL EVENT</w:t>
      </w:r>
    </w:p>
    <w:p w14:paraId="278DA0F1" w14:textId="77777777" w:rsidR="005017AE" w:rsidRDefault="005017AE">
      <w:pPr>
        <w:spacing w:line="207" w:lineRule="exact"/>
        <w:rPr>
          <w:sz w:val="20"/>
          <w:szCs w:val="20"/>
        </w:rPr>
      </w:pPr>
    </w:p>
    <w:p w14:paraId="7F64130A" w14:textId="77777777" w:rsidR="005017AE" w:rsidRDefault="00000000">
      <w:pPr>
        <w:rPr>
          <w:sz w:val="20"/>
          <w:szCs w:val="20"/>
        </w:rPr>
      </w:pPr>
      <w:r>
        <w:rPr>
          <w:rFonts w:eastAsia="Times New Roman"/>
          <w:sz w:val="18"/>
          <w:szCs w:val="18"/>
        </w:rPr>
        <w:t>Dear Sirs:</w:t>
      </w:r>
    </w:p>
    <w:p w14:paraId="3D3B7080" w14:textId="77777777" w:rsidR="005017AE" w:rsidRDefault="005017AE">
      <w:pPr>
        <w:spacing w:line="225" w:lineRule="exact"/>
        <w:rPr>
          <w:sz w:val="20"/>
          <w:szCs w:val="20"/>
        </w:rPr>
      </w:pPr>
    </w:p>
    <w:p w14:paraId="2C57C0BC" w14:textId="77777777" w:rsidR="005017AE" w:rsidRDefault="00000000">
      <w:pPr>
        <w:spacing w:line="282" w:lineRule="auto"/>
        <w:jc w:val="both"/>
        <w:rPr>
          <w:sz w:val="20"/>
          <w:szCs w:val="20"/>
        </w:rPr>
      </w:pPr>
      <w:r>
        <w:rPr>
          <w:rFonts w:eastAsia="Times New Roman"/>
          <w:sz w:val="18"/>
          <w:szCs w:val="18"/>
        </w:rPr>
        <w:t>As disclosed in the Forms 6-K furnished to the SEC on January 25 and March 1, 2024, the Board of Directors of Credicorp Ltd. (‘Credicorp’) agreed to set the date for the Annual General Meeting of Shareholders for March 27, 2024, at 3:00 p.m. (Peru time) in a virtual meeting.</w:t>
      </w:r>
    </w:p>
    <w:p w14:paraId="3D89A4CB" w14:textId="77777777" w:rsidR="005017AE" w:rsidRDefault="005017AE">
      <w:pPr>
        <w:spacing w:line="162" w:lineRule="exact"/>
        <w:rPr>
          <w:sz w:val="20"/>
          <w:szCs w:val="20"/>
        </w:rPr>
      </w:pPr>
    </w:p>
    <w:p w14:paraId="6483D7EF" w14:textId="30B7F858" w:rsidR="005017AE" w:rsidRDefault="00000000">
      <w:pPr>
        <w:spacing w:line="261" w:lineRule="auto"/>
        <w:jc w:val="both"/>
        <w:rPr>
          <w:sz w:val="20"/>
          <w:szCs w:val="20"/>
        </w:rPr>
      </w:pPr>
      <w:r>
        <w:rPr>
          <w:rFonts w:eastAsia="Times New Roman"/>
          <w:sz w:val="18"/>
          <w:szCs w:val="18"/>
        </w:rPr>
        <w:t xml:space="preserve">In this sense, we hereby notify you as a Material Event, that since March 1, 2024, Credicorp has started the distribution of the documents that support the proposal that will be addressed in the Annual General Meeting of Shareholders. The documents (letter to shareholders and Notice of Annual General Meeting of Shareholders) are available through the following hyperlink: </w:t>
      </w:r>
      <w:hyperlink r:id="rId8" w:history="1">
        <w:r w:rsidRPr="009D34E8">
          <w:rPr>
            <w:rStyle w:val="Hyperlink"/>
            <w:rFonts w:eastAsia="Times New Roman"/>
            <w:sz w:val="18"/>
            <w:szCs w:val="18"/>
          </w:rPr>
          <w:t>https://credicorp.gcs-web.com/annual</w:t>
        </w:r>
        <w:r w:rsidR="009D34E8" w:rsidRPr="009D34E8">
          <w:rPr>
            <w:rStyle w:val="Hyperlink"/>
            <w:rFonts w:eastAsia="Times New Roman"/>
            <w:sz w:val="18"/>
            <w:szCs w:val="18"/>
          </w:rPr>
          <w:t>-</w:t>
        </w:r>
        <w:r w:rsidRPr="009D34E8">
          <w:rPr>
            <w:rStyle w:val="Hyperlink"/>
            <w:rFonts w:eastAsia="Times New Roman"/>
            <w:sz w:val="18"/>
            <w:szCs w:val="18"/>
          </w:rPr>
          <w:t>materials</w:t>
        </w:r>
      </w:hyperlink>
      <w:r>
        <w:rPr>
          <w:rFonts w:eastAsia="Times New Roman"/>
          <w:sz w:val="18"/>
          <w:szCs w:val="18"/>
        </w:rPr>
        <w:t xml:space="preserve"> under the section “Investors” and “Annual Materials and 20-Fs”.</w:t>
      </w:r>
    </w:p>
    <w:p w14:paraId="30FFE403" w14:textId="77777777" w:rsidR="005017AE" w:rsidRDefault="005017AE">
      <w:pPr>
        <w:spacing w:line="180" w:lineRule="exact"/>
        <w:rPr>
          <w:sz w:val="20"/>
          <w:szCs w:val="20"/>
        </w:rPr>
      </w:pPr>
    </w:p>
    <w:p w14:paraId="63DB080D" w14:textId="77777777" w:rsidR="005017AE" w:rsidRDefault="00000000">
      <w:pPr>
        <w:spacing w:line="266" w:lineRule="auto"/>
        <w:jc w:val="both"/>
        <w:rPr>
          <w:sz w:val="20"/>
          <w:szCs w:val="20"/>
        </w:rPr>
      </w:pPr>
      <w:r>
        <w:rPr>
          <w:rFonts w:eastAsia="Times New Roman"/>
          <w:sz w:val="18"/>
          <w:szCs w:val="18"/>
        </w:rPr>
        <w:t>The information in this Form 6-K (including any exhibit hereto and any information available through the hyperlink above)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w:t>
      </w:r>
    </w:p>
    <w:p w14:paraId="64D0C711" w14:textId="77777777" w:rsidR="005017AE" w:rsidRDefault="005017AE">
      <w:pPr>
        <w:spacing w:line="176" w:lineRule="exact"/>
        <w:rPr>
          <w:sz w:val="20"/>
          <w:szCs w:val="20"/>
        </w:rPr>
      </w:pPr>
    </w:p>
    <w:p w14:paraId="3871CA0B" w14:textId="77777777" w:rsidR="005017AE" w:rsidRDefault="00000000">
      <w:pPr>
        <w:rPr>
          <w:sz w:val="20"/>
          <w:szCs w:val="20"/>
        </w:rPr>
      </w:pPr>
      <w:r>
        <w:rPr>
          <w:rFonts w:eastAsia="Times New Roman"/>
          <w:sz w:val="18"/>
          <w:szCs w:val="18"/>
        </w:rPr>
        <w:t>Sincerely,</w:t>
      </w:r>
    </w:p>
    <w:p w14:paraId="0060CCEF" w14:textId="77777777" w:rsidR="005017AE" w:rsidRDefault="005017AE">
      <w:pPr>
        <w:spacing w:line="225" w:lineRule="exact"/>
        <w:rPr>
          <w:sz w:val="20"/>
          <w:szCs w:val="20"/>
        </w:rPr>
      </w:pPr>
    </w:p>
    <w:p w14:paraId="1CA2A480" w14:textId="77777777" w:rsidR="005017AE" w:rsidRDefault="00000000">
      <w:pPr>
        <w:rPr>
          <w:sz w:val="20"/>
          <w:szCs w:val="20"/>
        </w:rPr>
      </w:pPr>
      <w:r>
        <w:rPr>
          <w:rFonts w:eastAsia="Times New Roman"/>
          <w:sz w:val="18"/>
          <w:szCs w:val="18"/>
        </w:rPr>
        <w:t xml:space="preserve">/s/ </w:t>
      </w:r>
      <w:r>
        <w:rPr>
          <w:rFonts w:eastAsia="Times New Roman"/>
          <w:sz w:val="18"/>
          <w:szCs w:val="18"/>
          <w:u w:val="single"/>
        </w:rPr>
        <w:t>Guillermo Morales</w:t>
      </w:r>
    </w:p>
    <w:p w14:paraId="268D7468" w14:textId="77777777" w:rsidR="005017AE" w:rsidRDefault="005017AE">
      <w:pPr>
        <w:spacing w:line="27" w:lineRule="exact"/>
        <w:rPr>
          <w:sz w:val="20"/>
          <w:szCs w:val="20"/>
        </w:rPr>
      </w:pPr>
    </w:p>
    <w:p w14:paraId="1BB77A99" w14:textId="77777777" w:rsidR="005017AE" w:rsidRDefault="00000000">
      <w:pPr>
        <w:rPr>
          <w:sz w:val="20"/>
          <w:szCs w:val="20"/>
        </w:rPr>
      </w:pPr>
      <w:r>
        <w:rPr>
          <w:rFonts w:eastAsia="Times New Roman"/>
          <w:sz w:val="18"/>
          <w:szCs w:val="18"/>
        </w:rPr>
        <w:t>Authorized Representative</w:t>
      </w:r>
    </w:p>
    <w:p w14:paraId="68E6F7A0" w14:textId="77777777" w:rsidR="005017AE" w:rsidRDefault="005017AE">
      <w:pPr>
        <w:spacing w:line="9" w:lineRule="exact"/>
        <w:rPr>
          <w:sz w:val="20"/>
          <w:szCs w:val="20"/>
        </w:rPr>
      </w:pPr>
    </w:p>
    <w:p w14:paraId="7FB6B03B" w14:textId="77777777" w:rsidR="005017AE" w:rsidRDefault="00000000">
      <w:pPr>
        <w:rPr>
          <w:sz w:val="20"/>
          <w:szCs w:val="20"/>
        </w:rPr>
      </w:pPr>
      <w:r>
        <w:rPr>
          <w:rFonts w:eastAsia="Times New Roman"/>
          <w:sz w:val="18"/>
          <w:szCs w:val="18"/>
        </w:rPr>
        <w:t>Credicorp Ltd.</w:t>
      </w:r>
    </w:p>
    <w:p w14:paraId="1E93B1FC" w14:textId="77777777" w:rsidR="005017AE" w:rsidRDefault="00000000">
      <w:pPr>
        <w:spacing w:line="20" w:lineRule="exact"/>
        <w:rPr>
          <w:sz w:val="20"/>
          <w:szCs w:val="20"/>
        </w:rPr>
      </w:pPr>
      <w:r>
        <w:rPr>
          <w:noProof/>
          <w:sz w:val="20"/>
          <w:szCs w:val="20"/>
        </w:rPr>
        <w:drawing>
          <wp:anchor distT="0" distB="0" distL="114300" distR="114300" simplePos="0" relativeHeight="251659776" behindDoc="1" locked="0" layoutInCell="0" allowOverlap="1" wp14:anchorId="49DAD004" wp14:editId="6A6AFC06">
            <wp:simplePos x="0" y="0"/>
            <wp:positionH relativeFrom="column">
              <wp:posOffset>5080</wp:posOffset>
            </wp:positionH>
            <wp:positionV relativeFrom="paragraph">
              <wp:posOffset>245745</wp:posOffset>
            </wp:positionV>
            <wp:extent cx="7132320" cy="17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14:paraId="231FCF6A" w14:textId="77777777" w:rsidR="005017AE" w:rsidRDefault="005017AE">
      <w:pPr>
        <w:sectPr w:rsidR="005017AE" w:rsidSect="000102E2">
          <w:pgSz w:w="11900" w:h="16838"/>
          <w:pgMar w:top="1440" w:right="339" w:bottom="1440" w:left="320" w:header="0" w:footer="0" w:gutter="0"/>
          <w:cols w:space="720" w:equalWidth="0">
            <w:col w:w="11240"/>
          </w:cols>
        </w:sectPr>
      </w:pPr>
    </w:p>
    <w:p w14:paraId="1664D832" w14:textId="77777777" w:rsidR="005017AE" w:rsidRDefault="00000000">
      <w:pPr>
        <w:ind w:right="-439"/>
        <w:jc w:val="center"/>
        <w:rPr>
          <w:sz w:val="20"/>
          <w:szCs w:val="20"/>
        </w:rPr>
      </w:pPr>
      <w:bookmarkStart w:id="2" w:name="page3"/>
      <w:bookmarkEnd w:id="2"/>
      <w:r>
        <w:rPr>
          <w:rFonts w:eastAsia="Times New Roman"/>
          <w:b/>
          <w:bCs/>
          <w:sz w:val="18"/>
          <w:szCs w:val="18"/>
        </w:rPr>
        <w:t>SIGNATURE</w:t>
      </w:r>
    </w:p>
    <w:p w14:paraId="35C6C2F7" w14:textId="77777777" w:rsidR="005017AE" w:rsidRDefault="005017AE">
      <w:pPr>
        <w:spacing w:line="229" w:lineRule="exact"/>
        <w:rPr>
          <w:sz w:val="20"/>
          <w:szCs w:val="20"/>
        </w:rPr>
      </w:pPr>
    </w:p>
    <w:p w14:paraId="25325E8A" w14:textId="77777777" w:rsidR="005017AE" w:rsidRDefault="00000000">
      <w:pPr>
        <w:spacing w:line="282" w:lineRule="auto"/>
        <w:ind w:firstLine="535"/>
        <w:rPr>
          <w:sz w:val="20"/>
          <w:szCs w:val="20"/>
        </w:rPr>
      </w:pPr>
      <w:r>
        <w:rPr>
          <w:rFonts w:eastAsia="Times New Roman"/>
          <w:sz w:val="18"/>
          <w:szCs w:val="18"/>
        </w:rPr>
        <w:t>Pursuant to the requirements of the Securities Exchange Act of 1934, the registrant has duly caused this report to be signed on its behalf by the undersigned, thereunto duly authorized.</w:t>
      </w:r>
    </w:p>
    <w:p w14:paraId="1861A1B0" w14:textId="77777777" w:rsidR="005017AE" w:rsidRDefault="005017AE">
      <w:pPr>
        <w:spacing w:line="162" w:lineRule="exact"/>
        <w:rPr>
          <w:sz w:val="20"/>
          <w:szCs w:val="20"/>
        </w:rPr>
      </w:pPr>
    </w:p>
    <w:p w14:paraId="74849056" w14:textId="77777777" w:rsidR="005017AE" w:rsidRDefault="00000000">
      <w:pPr>
        <w:ind w:left="540"/>
        <w:rPr>
          <w:sz w:val="20"/>
          <w:szCs w:val="20"/>
        </w:rPr>
      </w:pPr>
      <w:r>
        <w:rPr>
          <w:rFonts w:eastAsia="Times New Roman"/>
          <w:sz w:val="18"/>
          <w:szCs w:val="18"/>
        </w:rPr>
        <w:t>Date: March 4, 2024</w:t>
      </w:r>
    </w:p>
    <w:p w14:paraId="1CA22450" w14:textId="77777777" w:rsidR="005017AE" w:rsidRDefault="005017AE">
      <w:pPr>
        <w:spacing w:line="225" w:lineRule="exact"/>
        <w:rPr>
          <w:sz w:val="20"/>
          <w:szCs w:val="20"/>
        </w:rPr>
      </w:pPr>
    </w:p>
    <w:p w14:paraId="1357C84A" w14:textId="77777777" w:rsidR="005017AE" w:rsidRDefault="00000000">
      <w:pPr>
        <w:ind w:left="5660"/>
        <w:rPr>
          <w:sz w:val="20"/>
          <w:szCs w:val="20"/>
        </w:rPr>
      </w:pPr>
      <w:r>
        <w:rPr>
          <w:rFonts w:eastAsia="Times New Roman"/>
          <w:sz w:val="18"/>
          <w:szCs w:val="18"/>
        </w:rPr>
        <w:t>CREDICORP LTD.</w:t>
      </w:r>
    </w:p>
    <w:p w14:paraId="29AB6D57" w14:textId="77777777" w:rsidR="005017AE" w:rsidRDefault="005017AE">
      <w:pPr>
        <w:spacing w:line="27" w:lineRule="exact"/>
        <w:rPr>
          <w:sz w:val="20"/>
          <w:szCs w:val="20"/>
        </w:rPr>
      </w:pPr>
    </w:p>
    <w:p w14:paraId="308E6DC3" w14:textId="77777777" w:rsidR="005017AE" w:rsidRDefault="00000000">
      <w:pPr>
        <w:ind w:left="5660"/>
        <w:rPr>
          <w:sz w:val="20"/>
          <w:szCs w:val="20"/>
        </w:rPr>
      </w:pPr>
      <w:r>
        <w:rPr>
          <w:rFonts w:eastAsia="Times New Roman"/>
          <w:sz w:val="18"/>
          <w:szCs w:val="18"/>
        </w:rPr>
        <w:t>(Registrant)</w:t>
      </w:r>
    </w:p>
    <w:p w14:paraId="63158C6F" w14:textId="77777777" w:rsidR="005017AE" w:rsidRDefault="005017AE">
      <w:pPr>
        <w:spacing w:line="207" w:lineRule="exact"/>
        <w:rPr>
          <w:sz w:val="20"/>
          <w:szCs w:val="20"/>
        </w:rPr>
      </w:pPr>
    </w:p>
    <w:p w14:paraId="4CB959D0" w14:textId="77777777" w:rsidR="005017AE" w:rsidRDefault="00000000">
      <w:pPr>
        <w:ind w:left="5660"/>
        <w:rPr>
          <w:sz w:val="20"/>
          <w:szCs w:val="20"/>
        </w:rPr>
      </w:pPr>
      <w:r>
        <w:rPr>
          <w:rFonts w:eastAsia="Times New Roman"/>
          <w:sz w:val="18"/>
          <w:szCs w:val="18"/>
        </w:rPr>
        <w:t>By: /s/ Guillermo Morales</w:t>
      </w:r>
    </w:p>
    <w:p w14:paraId="7DB75215" w14:textId="77777777" w:rsidR="005017AE" w:rsidRDefault="00000000">
      <w:pPr>
        <w:spacing w:line="20" w:lineRule="exact"/>
        <w:rPr>
          <w:sz w:val="20"/>
          <w:szCs w:val="20"/>
        </w:rPr>
      </w:pPr>
      <w:r>
        <w:rPr>
          <w:noProof/>
          <w:sz w:val="20"/>
          <w:szCs w:val="20"/>
        </w:rPr>
        <w:drawing>
          <wp:anchor distT="0" distB="0" distL="114300" distR="114300" simplePos="0" relativeHeight="251660800" behindDoc="1" locked="0" layoutInCell="0" allowOverlap="1" wp14:anchorId="25535277" wp14:editId="088F625F">
            <wp:simplePos x="0" y="0"/>
            <wp:positionH relativeFrom="column">
              <wp:posOffset>3802380</wp:posOffset>
            </wp:positionH>
            <wp:positionV relativeFrom="paragraph">
              <wp:posOffset>17145</wp:posOffset>
            </wp:positionV>
            <wp:extent cx="2503170" cy="17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503170" cy="17145"/>
                    </a:xfrm>
                    <a:prstGeom prst="rect">
                      <a:avLst/>
                    </a:prstGeom>
                    <a:noFill/>
                  </pic:spPr>
                </pic:pic>
              </a:graphicData>
            </a:graphic>
          </wp:anchor>
        </w:drawing>
      </w:r>
    </w:p>
    <w:p w14:paraId="7CD4E171" w14:textId="77777777" w:rsidR="005017AE" w:rsidRDefault="005017AE">
      <w:pPr>
        <w:spacing w:line="12" w:lineRule="exact"/>
        <w:rPr>
          <w:sz w:val="20"/>
          <w:szCs w:val="20"/>
        </w:rPr>
      </w:pPr>
    </w:p>
    <w:p w14:paraId="0DD9A8F6" w14:textId="77777777" w:rsidR="005017AE" w:rsidRDefault="00000000">
      <w:pPr>
        <w:ind w:left="5980"/>
        <w:rPr>
          <w:sz w:val="20"/>
          <w:szCs w:val="20"/>
        </w:rPr>
      </w:pPr>
      <w:r>
        <w:rPr>
          <w:rFonts w:eastAsia="Times New Roman"/>
          <w:b/>
          <w:bCs/>
          <w:sz w:val="18"/>
          <w:szCs w:val="18"/>
        </w:rPr>
        <w:t>Guillermo Morales</w:t>
      </w:r>
    </w:p>
    <w:p w14:paraId="7233910C" w14:textId="77777777" w:rsidR="005017AE" w:rsidRDefault="005017AE">
      <w:pPr>
        <w:spacing w:line="31" w:lineRule="exact"/>
        <w:rPr>
          <w:sz w:val="20"/>
          <w:szCs w:val="20"/>
        </w:rPr>
      </w:pPr>
    </w:p>
    <w:p w14:paraId="3F507597" w14:textId="77777777" w:rsidR="005017AE" w:rsidRDefault="00000000">
      <w:pPr>
        <w:ind w:left="5980"/>
        <w:rPr>
          <w:sz w:val="20"/>
          <w:szCs w:val="20"/>
        </w:rPr>
      </w:pPr>
      <w:r>
        <w:rPr>
          <w:rFonts w:eastAsia="Times New Roman"/>
          <w:b/>
          <w:bCs/>
          <w:sz w:val="18"/>
          <w:szCs w:val="18"/>
        </w:rPr>
        <w:t>Authorized Representative</w:t>
      </w:r>
    </w:p>
    <w:p w14:paraId="0CBC01FE" w14:textId="77777777" w:rsidR="005017AE" w:rsidRDefault="00000000">
      <w:pPr>
        <w:spacing w:line="20" w:lineRule="exact"/>
        <w:rPr>
          <w:sz w:val="20"/>
          <w:szCs w:val="20"/>
        </w:rPr>
      </w:pPr>
      <w:r>
        <w:rPr>
          <w:noProof/>
          <w:sz w:val="20"/>
          <w:szCs w:val="20"/>
        </w:rPr>
        <w:drawing>
          <wp:anchor distT="0" distB="0" distL="114300" distR="114300" simplePos="0" relativeHeight="251661824" behindDoc="1" locked="0" layoutInCell="0" allowOverlap="1" wp14:anchorId="7FBD8065" wp14:editId="23F39123">
            <wp:simplePos x="0" y="0"/>
            <wp:positionH relativeFrom="column">
              <wp:posOffset>5080</wp:posOffset>
            </wp:positionH>
            <wp:positionV relativeFrom="paragraph">
              <wp:posOffset>340360</wp:posOffset>
            </wp:positionV>
            <wp:extent cx="7132320" cy="17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sectPr w:rsidR="005017AE">
      <w:pgSz w:w="11900" w:h="16838"/>
      <w:pgMar w:top="117" w:right="759" w:bottom="1440" w:left="320" w:header="0" w:footer="0" w:gutter="0"/>
      <w:cols w:space="720" w:equalWidth="0">
        <w:col w:w="10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7AE"/>
    <w:rsid w:val="000102E2"/>
    <w:rsid w:val="005017AE"/>
    <w:rsid w:val="009D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E5CD"/>
  <w15:docId w15:val="{23AFA953-C62F-4C61-8FB4-381A82B5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4E8"/>
    <w:rPr>
      <w:color w:val="0563C1" w:themeColor="hyperlink"/>
      <w:u w:val="single"/>
    </w:rPr>
  </w:style>
  <w:style w:type="character" w:styleId="UnresolvedMention">
    <w:name w:val="Unresolved Mention"/>
    <w:basedOn w:val="DefaultParagraphFont"/>
    <w:uiPriority w:val="99"/>
    <w:semiHidden/>
    <w:unhideWhenUsed/>
    <w:rsid w:val="009D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corp.gcs-web.com/annual-material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Jo-En</cp:lastModifiedBy>
  <cp:revision>2</cp:revision>
  <dcterms:created xsi:type="dcterms:W3CDTF">2024-03-04T05:15:00Z</dcterms:created>
  <dcterms:modified xsi:type="dcterms:W3CDTF">2024-03-04T16:53:00Z</dcterms:modified>
</cp:coreProperties>
</file>