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740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270510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Rule 13a-16 or 15d-16 under the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month of August 2025</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001-14014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CREDICORP LTD.</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our subsidiary</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Banco de Credito del Peru:</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Calle Centenario 156</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 Molina 15026</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Lima, Peru</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69"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46"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247650</wp:posOffset>
            </wp:positionV>
            <wp:extent cx="7137400"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379730</wp:posOffset>
            </wp:positionV>
            <wp:extent cx="71374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0" w:lineRule="exact"/>
        <w:rPr>
          <w:sz w:val="20"/>
          <w:szCs w:val="20"/>
          <w:color w:val="auto"/>
        </w:rPr>
      </w:pPr>
    </w:p>
    <w:p>
      <w:pPr>
        <w:ind w:firstLine="515"/>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August 18, 2025</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CREDICORP LTD.</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(Registrant)</w:t>
      </w:r>
    </w:p>
    <w:p>
      <w:pPr>
        <w:spacing w:after="0" w:line="385"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19685</wp:posOffset>
            </wp:positionV>
            <wp:extent cx="238760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7600" cy="16510"/>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Milagros Cigüeñas</w:t>
      </w:r>
    </w:p>
    <w:p>
      <w:pPr>
        <w:spacing w:after="0" w:line="3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13740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420"/>
          </w:cols>
          <w:pgMar w:left="320" w:top="119" w:right="1159" w:bottom="1440" w:gutter="0" w:footer="0" w:header="0"/>
        </w:sectPr>
      </w:pPr>
    </w:p>
    <w:bookmarkStart w:id="2" w:name="page3"/>
    <w:bookmarkEnd w:id="2"/>
    <w:p>
      <w:pPr>
        <w:ind w:left="9360"/>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274320</wp:posOffset>
            </wp:positionV>
            <wp:extent cx="7137400" cy="6212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6212205"/>
                    </a:xfrm>
                    <a:prstGeom prst="rect">
                      <a:avLst/>
                    </a:prstGeom>
                    <a:noFill/>
                  </pic:spPr>
                </pic:pic>
              </a:graphicData>
            </a:graphic>
          </wp:anchor>
        </w:drawing>
      </w:r>
    </w:p>
    <w:p>
      <w:pPr>
        <w:sectPr>
          <w:pgSz w:w="11900" w:h="16838" w:orient="portrait"/>
          <w:cols w:equalWidth="0" w:num="1">
            <w:col w:w="10120"/>
          </w:cols>
          <w:pgMar w:left="1440" w:top="253" w:right="339" w:bottom="1440" w:gutter="0" w:footer="0" w:header="0"/>
        </w:sectPr>
      </w:pPr>
    </w:p>
    <w:bookmarkStart w:id="3" w:name="page4"/>
    <w:bookmarkEnd w:id="3"/>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47"/>
          <w:szCs w:val="47"/>
          <w:b w:val="1"/>
          <w:bCs w:val="1"/>
          <w:color w:val="2AD2C8"/>
        </w:rPr>
        <w:t>Table of Contents</w:t>
      </w: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256"/>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Operatng and Financial Highlights</w:t>
            </w:r>
          </w:p>
        </w:tc>
        <w:tc>
          <w:tcPr>
            <w:tcW w:w="3200" w:type="dxa"/>
            <w:vAlign w:val="bottom"/>
          </w:tcPr>
          <w:p>
            <w:pPr>
              <w:jc w:val="right"/>
              <w:spacing w:after="0"/>
              <w:rPr>
                <w:sz w:val="20"/>
                <w:szCs w:val="20"/>
                <w:color w:val="auto"/>
              </w:rPr>
            </w:pPr>
            <w:r>
              <w:rPr>
                <w:rFonts w:ascii="Calibri" w:cs="Calibri" w:eastAsia="Calibri" w:hAnsi="Calibri"/>
                <w:sz w:val="21"/>
                <w:szCs w:val="21"/>
                <w:color w:val="auto"/>
              </w:rPr>
              <w:t>03</w:t>
            </w:r>
          </w:p>
        </w:tc>
      </w:tr>
      <w:tr>
        <w:trPr>
          <w:trHeight w:val="520"/>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Senior Management Quotes</w:t>
            </w:r>
          </w:p>
        </w:tc>
        <w:tc>
          <w:tcPr>
            <w:tcW w:w="3200" w:type="dxa"/>
            <w:vAlign w:val="bottom"/>
          </w:tcPr>
          <w:p>
            <w:pPr>
              <w:jc w:val="right"/>
              <w:spacing w:after="0"/>
              <w:rPr>
                <w:sz w:val="20"/>
                <w:szCs w:val="20"/>
                <w:color w:val="auto"/>
              </w:rPr>
            </w:pPr>
            <w:r>
              <w:rPr>
                <w:rFonts w:ascii="Calibri" w:cs="Calibri" w:eastAsia="Calibri" w:hAnsi="Calibri"/>
                <w:sz w:val="21"/>
                <w:szCs w:val="21"/>
                <w:color w:val="auto"/>
              </w:rPr>
              <w:t>04</w:t>
            </w:r>
          </w:p>
        </w:tc>
      </w:tr>
      <w:tr>
        <w:trPr>
          <w:trHeight w:val="520"/>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Second Quarter 2025 Earnings Conference Call</w:t>
            </w:r>
          </w:p>
        </w:tc>
        <w:tc>
          <w:tcPr>
            <w:tcW w:w="3200" w:type="dxa"/>
            <w:vAlign w:val="bottom"/>
          </w:tcPr>
          <w:p>
            <w:pPr>
              <w:jc w:val="right"/>
              <w:spacing w:after="0"/>
              <w:rPr>
                <w:sz w:val="20"/>
                <w:szCs w:val="20"/>
                <w:color w:val="auto"/>
              </w:rPr>
            </w:pPr>
            <w:r>
              <w:rPr>
                <w:rFonts w:ascii="Calibri" w:cs="Calibri" w:eastAsia="Calibri" w:hAnsi="Calibri"/>
                <w:sz w:val="21"/>
                <w:szCs w:val="21"/>
                <w:color w:val="auto"/>
              </w:rPr>
              <w:t>05</w:t>
            </w:r>
          </w:p>
        </w:tc>
      </w:tr>
      <w:tr>
        <w:trPr>
          <w:trHeight w:val="520"/>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Summary of Financial Performance and Outlook</w:t>
            </w:r>
          </w:p>
        </w:tc>
        <w:tc>
          <w:tcPr>
            <w:tcW w:w="3200" w:type="dxa"/>
            <w:vAlign w:val="bottom"/>
          </w:tcPr>
          <w:p>
            <w:pPr>
              <w:jc w:val="right"/>
              <w:spacing w:after="0"/>
              <w:rPr>
                <w:sz w:val="20"/>
                <w:szCs w:val="20"/>
                <w:color w:val="auto"/>
              </w:rPr>
            </w:pPr>
            <w:r>
              <w:rPr>
                <w:rFonts w:ascii="Calibri" w:cs="Calibri" w:eastAsia="Calibri" w:hAnsi="Calibri"/>
                <w:sz w:val="21"/>
                <w:szCs w:val="21"/>
                <w:color w:val="auto"/>
              </w:rPr>
              <w:t>06</w:t>
            </w:r>
          </w:p>
        </w:tc>
      </w:tr>
      <w:tr>
        <w:trPr>
          <w:trHeight w:val="520"/>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Financial Overview</w:t>
            </w:r>
          </w:p>
        </w:tc>
        <w:tc>
          <w:tcPr>
            <w:tcW w:w="3200" w:type="dxa"/>
            <w:vAlign w:val="bottom"/>
          </w:tcPr>
          <w:p>
            <w:pPr>
              <w:jc w:val="right"/>
              <w:spacing w:after="0"/>
              <w:rPr>
                <w:sz w:val="20"/>
                <w:szCs w:val="20"/>
                <w:color w:val="auto"/>
              </w:rPr>
            </w:pPr>
            <w:r>
              <w:rPr>
                <w:rFonts w:ascii="Calibri" w:cs="Calibri" w:eastAsia="Calibri" w:hAnsi="Calibri"/>
                <w:sz w:val="21"/>
                <w:szCs w:val="21"/>
                <w:color w:val="auto"/>
              </w:rPr>
              <w:t>11</w:t>
            </w:r>
          </w:p>
        </w:tc>
      </w:tr>
      <w:tr>
        <w:trPr>
          <w:trHeight w:val="520"/>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Credicorp’s Strategy Update</w:t>
            </w:r>
          </w:p>
        </w:tc>
        <w:tc>
          <w:tcPr>
            <w:tcW w:w="3200" w:type="dxa"/>
            <w:vAlign w:val="bottom"/>
          </w:tcPr>
          <w:p>
            <w:pPr>
              <w:jc w:val="right"/>
              <w:spacing w:after="0"/>
              <w:rPr>
                <w:sz w:val="20"/>
                <w:szCs w:val="20"/>
                <w:color w:val="auto"/>
              </w:rPr>
            </w:pPr>
            <w:r>
              <w:rPr>
                <w:rFonts w:ascii="Calibri" w:cs="Calibri" w:eastAsia="Calibri" w:hAnsi="Calibri"/>
                <w:sz w:val="21"/>
                <w:szCs w:val="21"/>
                <w:color w:val="auto"/>
              </w:rPr>
              <w:t>12</w:t>
            </w:r>
          </w:p>
        </w:tc>
      </w:tr>
      <w:tr>
        <w:trPr>
          <w:trHeight w:val="520"/>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Analysis of 2Q25 Consolidated Results</w:t>
            </w:r>
          </w:p>
        </w:tc>
        <w:tc>
          <w:tcPr>
            <w:tcW w:w="3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-2130425</wp:posOffset>
            </wp:positionV>
            <wp:extent cx="132080" cy="156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8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-1800225</wp:posOffset>
            </wp:positionV>
            <wp:extent cx="132080" cy="156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-1470025</wp:posOffset>
            </wp:positionV>
            <wp:extent cx="132080" cy="156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-1139190</wp:posOffset>
            </wp:positionV>
            <wp:extent cx="132080" cy="156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-808990</wp:posOffset>
            </wp:positionV>
            <wp:extent cx="132080" cy="156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8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-478155</wp:posOffset>
            </wp:positionV>
            <wp:extent cx="132080" cy="156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-147955</wp:posOffset>
            </wp:positionV>
            <wp:extent cx="132080" cy="156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 cy="1568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p>
      <w:pPr>
        <w:spacing w:after="0" w:line="202"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01</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02</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03</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04</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05</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06</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07</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08</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09</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10</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11</w:t>
      </w:r>
    </w:p>
    <w:p>
      <w:pPr>
        <w:spacing w:after="0" w:line="59" w:lineRule="exact"/>
        <w:rPr>
          <w:sz w:val="20"/>
          <w:szCs w:val="20"/>
          <w:color w:val="auto"/>
        </w:rPr>
      </w:pPr>
    </w:p>
    <w:p>
      <w:pPr>
        <w:ind w:left="1100"/>
        <w:spacing w:after="0"/>
        <w:rPr>
          <w:sz w:val="20"/>
          <w:szCs w:val="20"/>
          <w:color w:val="auto"/>
        </w:rPr>
      </w:pPr>
      <w:r>
        <w:rPr>
          <w:rFonts w:ascii="Calibri" w:cs="Calibri" w:eastAsia="Calibri" w:hAnsi="Calibri"/>
          <w:sz w:val="41"/>
          <w:szCs w:val="41"/>
          <w:b w:val="1"/>
          <w:bCs w:val="1"/>
          <w:color w:val="E93BAC"/>
        </w:rPr>
        <w:t>12</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7020" w:type="dxa"/>
            <w:vAlign w:val="bottom"/>
          </w:tcPr>
          <w:p>
            <w:pPr>
              <w:spacing w:after="0"/>
              <w:rPr>
                <w:sz w:val="20"/>
                <w:szCs w:val="20"/>
                <w:color w:val="auto"/>
              </w:rPr>
            </w:pPr>
            <w:r>
              <w:rPr>
                <w:rFonts w:ascii="Calibri" w:cs="Calibri" w:eastAsia="Calibri" w:hAnsi="Calibri"/>
                <w:sz w:val="21"/>
                <w:szCs w:val="21"/>
                <w:color w:val="E93BAC"/>
              </w:rPr>
              <w:t>Loan Portolio</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16</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Deposits</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19</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Interest Earning Assets and Funding</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22</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Net Interest Income (NII)</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24</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Portolio Quality and Provisions</w:t>
            </w:r>
          </w:p>
        </w:tc>
        <w:tc>
          <w:tcPr>
            <w:tcW w:w="2460" w:type="dxa"/>
            <w:vAlign w:val="bottom"/>
          </w:tcPr>
          <w:p>
            <w:pPr>
              <w:jc w:val="right"/>
              <w:spacing w:after="0"/>
              <w:rPr>
                <w:sz w:val="20"/>
                <w:szCs w:val="20"/>
                <w:color w:val="auto"/>
              </w:rPr>
            </w:pPr>
            <w:r>
              <w:rPr>
                <w:rFonts w:ascii="Calibri" w:cs="Calibri" w:eastAsia="Calibri" w:hAnsi="Calibri"/>
                <w:sz w:val="16"/>
                <w:szCs w:val="16"/>
                <w:color w:val="auto"/>
              </w:rPr>
              <w:t>27</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Other Income</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32</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Insurance Underwritng Results and the Medical Services</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36</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Operatng Expenses</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38</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Operatng Efciency</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40</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Regulatory Capital</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41</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Economic Outlook</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43</w:t>
            </w:r>
          </w:p>
        </w:tc>
      </w:tr>
      <w:tr>
        <w:trPr>
          <w:trHeight w:val="559"/>
        </w:trPr>
        <w:tc>
          <w:tcPr>
            <w:tcW w:w="7020" w:type="dxa"/>
            <w:vAlign w:val="bottom"/>
          </w:tcPr>
          <w:p>
            <w:pPr>
              <w:spacing w:after="0"/>
              <w:rPr>
                <w:sz w:val="20"/>
                <w:szCs w:val="20"/>
                <w:color w:val="auto"/>
              </w:rPr>
            </w:pPr>
            <w:r>
              <w:rPr>
                <w:rFonts w:ascii="Calibri" w:cs="Calibri" w:eastAsia="Calibri" w:hAnsi="Calibri"/>
                <w:sz w:val="21"/>
                <w:szCs w:val="21"/>
                <w:color w:val="E93BAC"/>
              </w:rPr>
              <w:t>Appendix</w:t>
            </w:r>
          </w:p>
        </w:tc>
        <w:tc>
          <w:tcPr>
            <w:tcW w:w="2460" w:type="dxa"/>
            <w:vAlign w:val="bottom"/>
          </w:tcPr>
          <w:p>
            <w:pPr>
              <w:jc w:val="right"/>
              <w:spacing w:after="0"/>
              <w:rPr>
                <w:sz w:val="20"/>
                <w:szCs w:val="20"/>
                <w:color w:val="auto"/>
              </w:rPr>
            </w:pPr>
            <w:r>
              <w:rPr>
                <w:rFonts w:ascii="Calibri" w:cs="Calibri" w:eastAsia="Calibri" w:hAnsi="Calibri"/>
                <w:sz w:val="21"/>
                <w:szCs w:val="21"/>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1032510</wp:posOffset>
            </wp:positionV>
            <wp:extent cx="7137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239395</wp:posOffset>
            </wp:positionV>
            <wp:extent cx="652589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25895" cy="570230"/>
                    </a:xfrm>
                    <a:prstGeom prst="rect">
                      <a:avLst/>
                    </a:prstGeom>
                    <a:noFill/>
                  </pic:spPr>
                </pic:pic>
              </a:graphicData>
            </a:graphic>
          </wp:anchor>
        </w:drawing>
      </w:r>
    </w:p>
    <w:p>
      <w:pPr>
        <w:sectPr>
          <w:pgSz w:w="11900" w:h="16838" w:orient="portrait"/>
          <w:cols w:equalWidth="0" w:num="2">
            <w:col w:w="1520" w:space="220"/>
            <w:col w:w="9500"/>
          </w:cols>
          <w:pgMar w:left="320" w:top="444" w:right="339" w:bottom="1440" w:gutter="0" w:footer="0" w:header="0"/>
          <w:type w:val="continuous"/>
        </w:sectPr>
      </w:pPr>
    </w:p>
    <w:bookmarkStart w:id="4" w:name="page5"/>
    <w:bookmarkEnd w:id="4"/>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Credicorp Ltd. Reports Financial and Operatng Results for 2Q25</w:t>
      </w:r>
    </w:p>
    <w:p>
      <w:pPr>
        <w:spacing w:after="0" w:line="158" w:lineRule="exact"/>
        <w:rPr>
          <w:sz w:val="20"/>
          <w:szCs w:val="20"/>
          <w:color w:val="auto"/>
        </w:rPr>
      </w:pPr>
    </w:p>
    <w:p>
      <w:pPr>
        <w:jc w:val="center"/>
        <w:ind w:left="340" w:right="280"/>
        <w:spacing w:after="0" w:line="239" w:lineRule="auto"/>
        <w:rPr>
          <w:sz w:val="20"/>
          <w:szCs w:val="20"/>
          <w:color w:val="auto"/>
        </w:rPr>
      </w:pPr>
      <w:r>
        <w:rPr>
          <w:rFonts w:ascii="Calibri" w:cs="Calibri" w:eastAsia="Calibri" w:hAnsi="Calibri"/>
          <w:sz w:val="17"/>
          <w:szCs w:val="17"/>
          <w:color w:val="auto"/>
        </w:rPr>
        <w:t>Strong contributons from Universal Banking and Insurance &amp; Pensions, contnued recovery in Microfnance, and higher fee-based and transactonal income reinforce our diversifed platorm.</w:t>
      </w:r>
    </w:p>
    <w:p>
      <w:pPr>
        <w:spacing w:after="0" w:line="106" w:lineRule="exact"/>
        <w:rPr>
          <w:sz w:val="20"/>
          <w:szCs w:val="20"/>
          <w:color w:val="auto"/>
        </w:rPr>
      </w:pPr>
    </w:p>
    <w:p>
      <w:pPr>
        <w:ind w:left="1400"/>
        <w:spacing w:after="0"/>
        <w:rPr>
          <w:sz w:val="20"/>
          <w:szCs w:val="20"/>
          <w:color w:val="auto"/>
        </w:rPr>
      </w:pPr>
      <w:r>
        <w:rPr>
          <w:rFonts w:ascii="Calibri" w:cs="Calibri" w:eastAsia="Calibri" w:hAnsi="Calibri"/>
          <w:sz w:val="17"/>
          <w:szCs w:val="17"/>
          <w:color w:val="auto"/>
        </w:rPr>
        <w:t>Risk-adjusted NIM at a record high of 5.44%, up 104 bps year-on-year refectng resilient NIM and a low level of Cost of Risk.</w:t>
      </w:r>
    </w:p>
    <w:p>
      <w:pPr>
        <w:spacing w:after="0" w:line="105" w:lineRule="exact"/>
        <w:rPr>
          <w:sz w:val="20"/>
          <w:szCs w:val="20"/>
          <w:color w:val="auto"/>
        </w:rPr>
      </w:pPr>
    </w:p>
    <w:p>
      <w:pPr>
        <w:ind w:left="840"/>
        <w:spacing w:after="0"/>
        <w:rPr>
          <w:sz w:val="20"/>
          <w:szCs w:val="20"/>
          <w:color w:val="auto"/>
        </w:rPr>
      </w:pPr>
      <w:r>
        <w:rPr>
          <w:rFonts w:ascii="Calibri" w:cs="Calibri" w:eastAsia="Calibri" w:hAnsi="Calibri"/>
          <w:sz w:val="17"/>
          <w:szCs w:val="17"/>
          <w:color w:val="auto"/>
        </w:rPr>
        <w:t>Progress in decoupling strategy with 6.2% of risk-adjusted revenues from the innovaton portolio and on track to reach 10% target by 2026.</w:t>
      </w:r>
    </w:p>
    <w:p>
      <w:pPr>
        <w:spacing w:after="0" w:line="106" w:lineRule="exact"/>
        <w:rPr>
          <w:sz w:val="20"/>
          <w:szCs w:val="20"/>
          <w:color w:val="auto"/>
        </w:rPr>
      </w:pPr>
    </w:p>
    <w:p>
      <w:pPr>
        <w:ind w:left="40"/>
        <w:spacing w:after="0"/>
        <w:rPr>
          <w:sz w:val="20"/>
          <w:szCs w:val="20"/>
          <w:color w:val="auto"/>
        </w:rPr>
      </w:pPr>
      <w:r>
        <w:rPr>
          <w:rFonts w:ascii="Calibri" w:cs="Calibri" w:eastAsia="Calibri" w:hAnsi="Calibri"/>
          <w:sz w:val="16"/>
          <w:szCs w:val="16"/>
          <w:color w:val="auto"/>
        </w:rPr>
        <w:t>ROE at a record high of 20.7%, which includes a positve 120 bps impact related to relevant gains in BCP’s investment portolio, was driven by sustained momentum</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in core businesses and increasing contributon of innovaton portolio.</w:t>
      </w:r>
    </w:p>
    <w:p>
      <w:pPr>
        <w:spacing w:after="0" w:line="106" w:lineRule="exact"/>
        <w:rPr>
          <w:sz w:val="20"/>
          <w:szCs w:val="20"/>
          <w:color w:val="auto"/>
        </w:rPr>
      </w:pPr>
    </w:p>
    <w:p>
      <w:pPr>
        <w:spacing w:after="0" w:line="239" w:lineRule="auto"/>
        <w:rPr>
          <w:sz w:val="20"/>
          <w:szCs w:val="20"/>
          <w:color w:val="auto"/>
        </w:rPr>
      </w:pPr>
      <w:r>
        <w:rPr>
          <w:rFonts w:ascii="Calibri" w:cs="Calibri" w:eastAsia="Calibri" w:hAnsi="Calibri"/>
          <w:sz w:val="17"/>
          <w:szCs w:val="17"/>
          <w:b w:val="1"/>
          <w:bCs w:val="1"/>
          <w:color w:val="auto"/>
        </w:rPr>
        <w:t xml:space="preserve">Lima, Peru – August 14, 2025 – Credicorp Ltd. (“Credicorp” or “the Company”) (NYSE: BAP | BVL: BAP), </w:t>
      </w:r>
      <w:r>
        <w:rPr>
          <w:rFonts w:ascii="Calibri" w:cs="Calibri" w:eastAsia="Calibri" w:hAnsi="Calibri"/>
          <w:sz w:val="17"/>
          <w:szCs w:val="17"/>
          <w:color w:val="auto"/>
        </w:rPr>
        <w:t>the leading fnancial services holding company in Peru with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 presence in Chile, Colombia, Bolivia, and Panama today reported its unaudited results for the three-and six-months ended June 30, 2025. Financial results are expressed in Soles and are presented in accordance with IFRS.</w:t>
      </w:r>
    </w:p>
    <w:p>
      <w:pPr>
        <w:spacing w:after="0" w:line="14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2Q25 OPERATING AND FINANCIAL HIGHLIGHTS</w:t>
      </w:r>
    </w:p>
    <w:p>
      <w:pPr>
        <w:spacing w:after="0" w:line="158" w:lineRule="exact"/>
        <w:rPr>
          <w:sz w:val="20"/>
          <w:szCs w:val="20"/>
          <w:color w:val="auto"/>
        </w:rPr>
      </w:pPr>
    </w:p>
    <w:p>
      <w:pPr>
        <w:ind w:left="300" w:right="2220" w:hanging="296"/>
        <w:spacing w:after="0" w:line="254"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Net Income </w:t>
      </w:r>
      <w:r>
        <w:rPr>
          <w:rFonts w:ascii="Calibri" w:cs="Calibri" w:eastAsia="Calibri" w:hAnsi="Calibri"/>
          <w:sz w:val="17"/>
          <w:szCs w:val="17"/>
          <w:color w:val="auto"/>
        </w:rPr>
        <w:t>atributable to Credicorp increased 36.1% YoY and 2.5% QoQ to S/1,822.0 million, translatng into an ROE of 20.7%.</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These results include a positve 120 bps impact related to a relevant gain in BCP’s investment portolio.</w:t>
      </w:r>
    </w:p>
    <w:p>
      <w:pPr>
        <w:spacing w:after="0" w:line="94" w:lineRule="exact"/>
        <w:rPr>
          <w:rFonts w:ascii="Calibri" w:cs="Calibri" w:eastAsia="Calibri" w:hAnsi="Calibri"/>
          <w:sz w:val="17"/>
          <w:szCs w:val="17"/>
          <w:color w:val="auto"/>
        </w:rPr>
      </w:pPr>
    </w:p>
    <w:p>
      <w:pPr>
        <w:ind w:left="300" w:right="30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color w:val="auto"/>
        </w:rPr>
        <w:t>In 2Q25 Credicorp revalued Bolivia’s balance sheet using a market-refectve FX rate, resultng in an accountng contracton of 2.8% in Credicorp Total Assets with no impact on cash fow. The loan and deposit fgures cited below exclude this adjustment.</w:t>
      </w:r>
    </w:p>
    <w:p>
      <w:pPr>
        <w:spacing w:after="0" w:line="107" w:lineRule="exact"/>
        <w:rPr>
          <w:rFonts w:ascii="Calibri" w:cs="Calibri" w:eastAsia="Calibri" w:hAnsi="Calibri"/>
          <w:sz w:val="17"/>
          <w:szCs w:val="17"/>
          <w:color w:val="auto"/>
        </w:rPr>
      </w:pPr>
    </w:p>
    <w:p>
      <w:pPr>
        <w:ind w:left="300" w:right="32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Total Loans </w:t>
      </w:r>
      <w:r>
        <w:rPr>
          <w:rFonts w:ascii="Calibri" w:cs="Calibri" w:eastAsia="Calibri" w:hAnsi="Calibri"/>
          <w:sz w:val="17"/>
          <w:szCs w:val="17"/>
          <w:color w:val="auto"/>
        </w:rPr>
        <w:t>measured in quarter-end balances declined 0.3% YoY, but up 2.6% FX Neutral mainly led by BCP through Retail Banking, where stand-out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performers were Mortgage and Consumer (Yape), and by Mibanco. QoQ, total Loans rose 1.2%, with 2.5% FX Neutral growth driven by the same segments, along with Wholesale Banking at BCP.</w:t>
      </w:r>
    </w:p>
    <w:p>
      <w:pPr>
        <w:spacing w:after="0" w:line="108" w:lineRule="exact"/>
        <w:rPr>
          <w:rFonts w:ascii="Calibri" w:cs="Calibri" w:eastAsia="Calibri" w:hAnsi="Calibri"/>
          <w:sz w:val="17"/>
          <w:szCs w:val="17"/>
          <w:color w:val="auto"/>
        </w:rPr>
      </w:pPr>
    </w:p>
    <w:p>
      <w:pPr>
        <w:ind w:left="300" w:right="36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Total Deposits </w:t>
      </w:r>
      <w:r>
        <w:rPr>
          <w:rFonts w:ascii="Calibri" w:cs="Calibri" w:eastAsia="Calibri" w:hAnsi="Calibri"/>
          <w:sz w:val="17"/>
          <w:szCs w:val="17"/>
          <w:color w:val="auto"/>
        </w:rPr>
        <w:t>increased 6.2% (+10.2% FX Neutral) YoY refectng growth in Low-cost deposits, amid higher system liquidity, and contracted 0.5% (+1.0% FX</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Neutral) QoQ. Low-cost deposits accounted for 71.8% of total deposits and 57.2% of the total funding base.</w:t>
      </w:r>
    </w:p>
    <w:p>
      <w:pPr>
        <w:spacing w:after="0" w:line="107" w:lineRule="exact"/>
        <w:rPr>
          <w:rFonts w:ascii="Calibri" w:cs="Calibri" w:eastAsia="Calibri" w:hAnsi="Calibri"/>
          <w:sz w:val="17"/>
          <w:szCs w:val="17"/>
          <w:color w:val="auto"/>
        </w:rPr>
      </w:pPr>
    </w:p>
    <w:p>
      <w:pPr>
        <w:ind w:left="300" w:right="26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Net Interest Income (NII) </w:t>
      </w:r>
      <w:r>
        <w:rPr>
          <w:rFonts w:ascii="Calibri" w:cs="Calibri" w:eastAsia="Calibri" w:hAnsi="Calibri"/>
          <w:sz w:val="17"/>
          <w:szCs w:val="17"/>
          <w:color w:val="auto"/>
        </w:rPr>
        <w:t>increased 4.2% YoY mainly supported by lower Interest and Similar Expenses. QoQ, NII increased 1.2%.</w:t>
      </w:r>
      <w:r>
        <w:rPr>
          <w:rFonts w:ascii="Calibri" w:cs="Calibri" w:eastAsia="Calibri" w:hAnsi="Calibri"/>
          <w:sz w:val="17"/>
          <w:szCs w:val="17"/>
          <w:b w:val="1"/>
          <w:bCs w:val="1"/>
          <w:color w:val="auto"/>
        </w:rPr>
        <w:t xml:space="preserve"> Net Interest Margin (NIM) </w:t>
      </w:r>
      <w:r>
        <w:rPr>
          <w:rFonts w:ascii="Calibri" w:cs="Calibri" w:eastAsia="Calibri" w:hAnsi="Calibri"/>
          <w:sz w:val="17"/>
          <w:szCs w:val="17"/>
          <w:color w:val="auto"/>
        </w:rPr>
        <w:t>stood at 6.42%, increasing 9 bps YoY and 20 bps QoQ.</w:t>
      </w:r>
    </w:p>
    <w:p>
      <w:pPr>
        <w:spacing w:after="0" w:line="107" w:lineRule="exact"/>
        <w:rPr>
          <w:rFonts w:ascii="Calibri" w:cs="Calibri" w:eastAsia="Calibri" w:hAnsi="Calibri"/>
          <w:sz w:val="17"/>
          <w:szCs w:val="17"/>
          <w:color w:val="auto"/>
        </w:rPr>
      </w:pPr>
    </w:p>
    <w:p>
      <w:pPr>
        <w:ind w:left="300" w:right="14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NPL Rato </w:t>
      </w:r>
      <w:r>
        <w:rPr>
          <w:rFonts w:ascii="Calibri" w:cs="Calibri" w:eastAsia="Calibri" w:hAnsi="Calibri"/>
          <w:sz w:val="17"/>
          <w:szCs w:val="17"/>
          <w:color w:val="auto"/>
        </w:rPr>
        <w:t>contracted across segments, improving 102 bps YoY to 5.0%, driven by debt repayments at BCP Stand-alone and a drop in overdue loans at BCP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Mibanco. QoQ, the NPL Rato improved 14 bps.</w:t>
      </w:r>
    </w:p>
    <w:p>
      <w:pPr>
        <w:spacing w:after="0" w:line="107" w:lineRule="exact"/>
        <w:rPr>
          <w:rFonts w:ascii="Calibri" w:cs="Calibri" w:eastAsia="Calibri" w:hAnsi="Calibri"/>
          <w:sz w:val="17"/>
          <w:szCs w:val="17"/>
          <w:color w:val="auto"/>
        </w:rPr>
      </w:pPr>
    </w:p>
    <w:p>
      <w:pPr>
        <w:ind w:left="300" w:right="8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Provisions </w:t>
      </w:r>
      <w:r>
        <w:rPr>
          <w:rFonts w:ascii="Calibri" w:cs="Calibri" w:eastAsia="Calibri" w:hAnsi="Calibri"/>
          <w:sz w:val="17"/>
          <w:szCs w:val="17"/>
          <w:color w:val="auto"/>
        </w:rPr>
        <w:t>declined by 47.4% YoY, driven by BCP and Mibanco, supported by strengthened risk management, improved payment behavior, beneftng from an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economic recovery, and a higher share of lower-risk vintages within the portolio. QoQ, provisions dropped 1.2%. As a result, </w:t>
      </w:r>
      <w:r>
        <w:rPr>
          <w:rFonts w:ascii="Calibri" w:cs="Calibri" w:eastAsia="Calibri" w:hAnsi="Calibri"/>
          <w:sz w:val="17"/>
          <w:szCs w:val="17"/>
          <w:b w:val="1"/>
          <w:bCs w:val="1"/>
          <w:color w:val="auto"/>
        </w:rPr>
        <w:t>Cost of Risk</w:t>
      </w:r>
      <w:r>
        <w:rPr>
          <w:rFonts w:ascii="Calibri" w:cs="Calibri" w:eastAsia="Calibri" w:hAnsi="Calibri"/>
          <w:sz w:val="17"/>
          <w:szCs w:val="17"/>
          <w:color w:val="auto"/>
        </w:rPr>
        <w:t xml:space="preserve"> hit a low of 1.6% and </w:t>
      </w:r>
      <w:r>
        <w:rPr>
          <w:rFonts w:ascii="Calibri" w:cs="Calibri" w:eastAsia="Calibri" w:hAnsi="Calibri"/>
          <w:sz w:val="17"/>
          <w:szCs w:val="17"/>
          <w:b w:val="1"/>
          <w:bCs w:val="1"/>
          <w:color w:val="auto"/>
        </w:rPr>
        <w:t xml:space="preserve">Risk-Adjusted NIM </w:t>
      </w:r>
      <w:r>
        <w:rPr>
          <w:rFonts w:ascii="Calibri" w:cs="Calibri" w:eastAsia="Calibri" w:hAnsi="Calibri"/>
          <w:sz w:val="17"/>
          <w:szCs w:val="17"/>
          <w:color w:val="auto"/>
        </w:rPr>
        <w:t>reached a record-high of 5.44%.</w:t>
      </w:r>
    </w:p>
    <w:p>
      <w:pPr>
        <w:spacing w:after="0" w:line="108" w:lineRule="exact"/>
        <w:rPr>
          <w:rFonts w:ascii="Calibri" w:cs="Calibri" w:eastAsia="Calibri" w:hAnsi="Calibri"/>
          <w:sz w:val="17"/>
          <w:szCs w:val="17"/>
          <w:color w:val="auto"/>
        </w:rPr>
      </w:pPr>
    </w:p>
    <w:p>
      <w:pPr>
        <w:ind w:left="300" w:right="14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Core Income </w:t>
      </w:r>
      <w:r>
        <w:rPr>
          <w:rFonts w:ascii="Calibri" w:cs="Calibri" w:eastAsia="Calibri" w:hAnsi="Calibri"/>
          <w:sz w:val="17"/>
          <w:szCs w:val="17"/>
          <w:color w:val="auto"/>
        </w:rPr>
        <w:t>increased 5.3% YoY, refectng a stronger NII and ongoing diversifcaton in revenue streams, which drove growth of 8.2% in Fee income and 7.9%</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 Net Gain on FX Transactons.</w:t>
      </w:r>
    </w:p>
    <w:p>
      <w:pPr>
        <w:spacing w:after="0" w:line="105" w:lineRule="exact"/>
        <w:rPr>
          <w:rFonts w:ascii="Calibri" w:cs="Calibri" w:eastAsia="Calibri" w:hAnsi="Calibri"/>
          <w:sz w:val="17"/>
          <w:szCs w:val="17"/>
          <w:color w:val="auto"/>
        </w:rPr>
      </w:pPr>
    </w:p>
    <w:p>
      <w:pPr>
        <w:ind w:left="300" w:hanging="296"/>
        <w:spacing w:after="0"/>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Other Non-Core Income </w:t>
      </w:r>
      <w:r>
        <w:rPr>
          <w:rFonts w:ascii="Calibri" w:cs="Calibri" w:eastAsia="Calibri" w:hAnsi="Calibri"/>
          <w:sz w:val="17"/>
          <w:szCs w:val="17"/>
          <w:color w:val="auto"/>
        </w:rPr>
        <w:t>reported a relevant gain of S/106 million, which was associated with a sovereign bond exchange at BCP.</w:t>
      </w:r>
    </w:p>
    <w:p>
      <w:pPr>
        <w:spacing w:after="0" w:line="106" w:lineRule="exact"/>
        <w:rPr>
          <w:rFonts w:ascii="Calibri" w:cs="Calibri" w:eastAsia="Calibri" w:hAnsi="Calibri"/>
          <w:sz w:val="17"/>
          <w:szCs w:val="17"/>
          <w:color w:val="auto"/>
        </w:rPr>
      </w:pPr>
    </w:p>
    <w:p>
      <w:pPr>
        <w:ind w:left="300" w:right="46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Insurance Underwritng Results </w:t>
      </w:r>
      <w:r>
        <w:rPr>
          <w:rFonts w:ascii="Calibri" w:cs="Calibri" w:eastAsia="Calibri" w:hAnsi="Calibri"/>
          <w:sz w:val="17"/>
          <w:szCs w:val="17"/>
          <w:color w:val="auto"/>
        </w:rPr>
        <w:t>increased 11.2% YoY, driven primarily by lower insurance service expenses in the Life business and secondarily, by higher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insurance service income in P &amp; C; and was up 6.6% QoQ.</w:t>
      </w:r>
    </w:p>
    <w:p>
      <w:pPr>
        <w:spacing w:after="0" w:line="107" w:lineRule="exact"/>
        <w:rPr>
          <w:rFonts w:ascii="Calibri" w:cs="Calibri" w:eastAsia="Calibri" w:hAnsi="Calibri"/>
          <w:sz w:val="17"/>
          <w:szCs w:val="17"/>
          <w:color w:val="auto"/>
        </w:rPr>
      </w:pPr>
    </w:p>
    <w:p>
      <w:pPr>
        <w:ind w:left="300" w:right="42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Yape </w:t>
      </w:r>
      <w:r>
        <w:rPr>
          <w:rFonts w:ascii="Calibri" w:cs="Calibri" w:eastAsia="Calibri" w:hAnsi="Calibri"/>
          <w:sz w:val="17"/>
          <w:szCs w:val="17"/>
          <w:color w:val="auto"/>
        </w:rPr>
        <w:t>reached 14.9 million Monthly Actve Users (MAU), with an operatng leverage contnuing to expand and accountng for 5.5% of Credicorp’s total risk-adjusted revenue.</w:t>
      </w:r>
    </w:p>
    <w:p>
      <w:pPr>
        <w:spacing w:after="0" w:line="107" w:lineRule="exact"/>
        <w:rPr>
          <w:rFonts w:ascii="Calibri" w:cs="Calibri" w:eastAsia="Calibri" w:hAnsi="Calibri"/>
          <w:sz w:val="17"/>
          <w:szCs w:val="17"/>
          <w:color w:val="auto"/>
        </w:rPr>
      </w:pPr>
    </w:p>
    <w:p>
      <w:pPr>
        <w:ind w:left="300" w:right="12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Efciency Rato </w:t>
      </w:r>
      <w:r>
        <w:rPr>
          <w:rFonts w:ascii="Calibri" w:cs="Calibri" w:eastAsia="Calibri" w:hAnsi="Calibri"/>
          <w:sz w:val="17"/>
          <w:szCs w:val="17"/>
          <w:color w:val="auto"/>
        </w:rPr>
        <w:t>for 1H25 reached 44.9%, aligned with our full-year guidance. Operatng expenses during this period increased 11.4% YoY, driven mainly by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core business at BCP Stand-alone and investments in our innovaton portolio initatves.</w:t>
      </w:r>
    </w:p>
    <w:p>
      <w:pPr>
        <w:spacing w:after="0" w:line="105" w:lineRule="exact"/>
        <w:rPr>
          <w:rFonts w:ascii="Calibri" w:cs="Calibri" w:eastAsia="Calibri" w:hAnsi="Calibri"/>
          <w:sz w:val="17"/>
          <w:szCs w:val="17"/>
          <w:color w:val="auto"/>
        </w:rPr>
      </w:pPr>
    </w:p>
    <w:p>
      <w:pPr>
        <w:ind w:left="300" w:hanging="296"/>
        <w:spacing w:after="0"/>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IFRS CET 1 Rato </w:t>
      </w:r>
      <w:r>
        <w:rPr>
          <w:rFonts w:ascii="Calibri" w:cs="Calibri" w:eastAsia="Calibri" w:hAnsi="Calibri"/>
          <w:sz w:val="17"/>
          <w:szCs w:val="17"/>
          <w:color w:val="auto"/>
        </w:rPr>
        <w:t>stood at 12.56% for BCP Stand-alone and at 16.73% for Mibanco.</w:t>
      </w:r>
    </w:p>
    <w:p>
      <w:pPr>
        <w:spacing w:after="0" w:line="119" w:lineRule="exact"/>
        <w:rPr>
          <w:rFonts w:ascii="Calibri" w:cs="Calibri" w:eastAsia="Calibri" w:hAnsi="Calibri"/>
          <w:sz w:val="17"/>
          <w:szCs w:val="17"/>
          <w:color w:val="auto"/>
        </w:rPr>
      </w:pPr>
    </w:p>
    <w:p>
      <w:pPr>
        <w:ind w:left="300" w:right="160" w:hanging="296"/>
        <w:spacing w:after="0" w:line="239" w:lineRule="auto"/>
        <w:tabs>
          <w:tab w:leader="none" w:pos="30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Afer quarter-end</w:t>
      </w:r>
      <w:r>
        <w:rPr>
          <w:rFonts w:ascii="Calibri" w:cs="Calibri" w:eastAsia="Calibri" w:hAnsi="Calibri"/>
          <w:sz w:val="17"/>
          <w:szCs w:val="17"/>
          <w:color w:val="auto"/>
        </w:rPr>
        <w:t>, on August 13, 2025, Credicorp announced the cancellaton of approximately 1.6 billion soles in Tax resolutons issued by Sunat on June 27,</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2025. The company will record this cash outlow as an asset. As the contngency remains classifed as remote, no provision is required in accordance with Internatonal Accountng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932815</wp:posOffset>
            </wp:positionV>
            <wp:extent cx="7137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140335</wp:posOffset>
            </wp:positionV>
            <wp:extent cx="6509385" cy="652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09385" cy="65278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 w:name="page6"/>
    <w:bookmarkEnd w:id="5"/>
    <w:p>
      <w:pPr>
        <w:jc w:val="both"/>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6471920</wp:posOffset>
            </wp:positionV>
            <wp:extent cx="713740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168910</wp:posOffset>
            </wp:positionV>
            <wp:extent cx="6517640" cy="6038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6038850"/>
                    </a:xfrm>
                    <a:prstGeom prst="rect">
                      <a:avLst/>
                    </a:prstGeom>
                    <a:noFill/>
                  </pic:spPr>
                </pic:pic>
              </a:graphicData>
            </a:graphic>
          </wp:anchor>
        </w:drawing>
      </w:r>
    </w:p>
    <w:p>
      <w:pPr>
        <w:sectPr>
          <w:pgSz w:w="11900" w:h="16838" w:orient="portrait"/>
          <w:cols w:equalWidth="0" w:num="1">
            <w:col w:w="10139"/>
          </w:cols>
          <w:pgMar w:left="320" w:top="444" w:right="1440" w:bottom="1440" w:gutter="0" w:footer="0" w:header="0"/>
        </w:sectPr>
      </w:pPr>
    </w:p>
    <w:bookmarkStart w:id="6" w:name="page7"/>
    <w:bookmarkEnd w:id="6"/>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01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80137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FFFFFF"/>
        </w:rPr>
        <w:t>Second Quarter 2025 Earnings Conference Call</w:t>
      </w:r>
    </w:p>
    <w:p>
      <w:pPr>
        <w:spacing w:after="0" w:line="293"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SECOND 2025 EARNINGS CONFERENCE CALL</w:t>
      </w:r>
    </w:p>
    <w:p>
      <w:pPr>
        <w:spacing w:after="0" w:line="23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Date: </w:t>
      </w:r>
      <w:r>
        <w:rPr>
          <w:rFonts w:ascii="Calibri" w:cs="Calibri" w:eastAsia="Calibri" w:hAnsi="Calibri"/>
          <w:sz w:val="19"/>
          <w:szCs w:val="19"/>
          <w:color w:val="121212"/>
        </w:rPr>
        <w:t>Friday, August 15</w:t>
      </w:r>
      <w:r>
        <w:rPr>
          <w:rFonts w:ascii="Calibri" w:cs="Calibri" w:eastAsia="Calibri" w:hAnsi="Calibri"/>
          <w:sz w:val="31"/>
          <w:szCs w:val="31"/>
          <w:color w:val="121212"/>
          <w:vertAlign w:val="superscript"/>
        </w:rPr>
        <w:t>th</w:t>
      </w:r>
      <w:r>
        <w:rPr>
          <w:rFonts w:ascii="Calibri" w:cs="Calibri" w:eastAsia="Calibri" w:hAnsi="Calibri"/>
          <w:sz w:val="19"/>
          <w:szCs w:val="19"/>
          <w:color w:val="121212"/>
        </w:rPr>
        <w:t>, 2025</w:t>
      </w:r>
    </w:p>
    <w:p>
      <w:pPr>
        <w:spacing w:after="0" w:line="5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Time: </w:t>
      </w:r>
      <w:r>
        <w:rPr>
          <w:rFonts w:ascii="Calibri" w:cs="Calibri" w:eastAsia="Calibri" w:hAnsi="Calibri"/>
          <w:sz w:val="19"/>
          <w:szCs w:val="19"/>
          <w:color w:val="121212"/>
        </w:rPr>
        <w:t>10:30 am E.T. (9:30 am Lima, Perú)</w:t>
      </w:r>
    </w:p>
    <w:p>
      <w:pPr>
        <w:spacing w:after="0" w:line="202" w:lineRule="exact"/>
        <w:rPr>
          <w:sz w:val="20"/>
          <w:szCs w:val="20"/>
          <w:color w:val="auto"/>
        </w:rPr>
      </w:pPr>
    </w:p>
    <w:p>
      <w:pPr>
        <w:jc w:val="both"/>
        <w:spacing w:after="0" w:line="239" w:lineRule="auto"/>
        <w:rPr>
          <w:sz w:val="20"/>
          <w:szCs w:val="20"/>
          <w:color w:val="auto"/>
        </w:rPr>
      </w:pPr>
      <w:r>
        <w:rPr>
          <w:rFonts w:ascii="Calibri" w:cs="Calibri" w:eastAsia="Calibri" w:hAnsi="Calibri"/>
          <w:sz w:val="19"/>
          <w:szCs w:val="19"/>
          <w:b w:val="1"/>
          <w:bCs w:val="1"/>
          <w:color w:val="121212"/>
        </w:rPr>
        <w:t xml:space="preserve">Hosts: </w:t>
      </w:r>
      <w:r>
        <w:rPr>
          <w:rFonts w:ascii="Calibri" w:cs="Calibri" w:eastAsia="Calibri" w:hAnsi="Calibri"/>
          <w:sz w:val="19"/>
          <w:szCs w:val="19"/>
          <w:color w:val="121212"/>
        </w:rPr>
        <w:t>Gianfranco Ferrari – Chief Executve Ofcer, - Alejandro Perez Reyes - Chief Financial Ofcer, Francesca Rafo – Chief Innovaton Ofcer,</w:t>
      </w:r>
      <w:r>
        <w:rPr>
          <w:rFonts w:ascii="Calibri" w:cs="Calibri" w:eastAsia="Calibri" w:hAnsi="Calibri"/>
          <w:sz w:val="19"/>
          <w:szCs w:val="19"/>
          <w:b w:val="1"/>
          <w:bCs w:val="1"/>
          <w:color w:val="121212"/>
        </w:rPr>
        <w:t xml:space="preserve"> </w:t>
      </w:r>
      <w:r>
        <w:rPr>
          <w:rFonts w:ascii="Calibri" w:cs="Calibri" w:eastAsia="Calibri" w:hAnsi="Calibri"/>
          <w:sz w:val="19"/>
          <w:szCs w:val="19"/>
          <w:color w:val="121212"/>
        </w:rPr>
        <w:t>Cesar Rios - Chief Risk Ofcer, Diego Cavero – Head of Universal Banking, Piero Travezan - Pacifco CFO, Rocio Benavides - Mibanco CFO and Investor Relatons Team.</w:t>
      </w:r>
    </w:p>
    <w:p>
      <w:pPr>
        <w:spacing w:after="0" w:line="239" w:lineRule="exact"/>
        <w:rPr>
          <w:sz w:val="20"/>
          <w:szCs w:val="20"/>
          <w:color w:val="auto"/>
        </w:rPr>
      </w:pPr>
    </w:p>
    <w:p>
      <w:pPr>
        <w:spacing w:after="0"/>
        <w:rPr>
          <w:sz w:val="20"/>
          <w:szCs w:val="20"/>
          <w:color w:val="auto"/>
        </w:rPr>
      </w:pPr>
      <w:r>
        <w:rPr>
          <w:rFonts w:ascii="Calibri" w:cs="Calibri" w:eastAsia="Calibri" w:hAnsi="Calibri"/>
          <w:sz w:val="19"/>
          <w:szCs w:val="19"/>
          <w:color w:val="auto"/>
        </w:rPr>
        <w:t>To pre-register for the listen-only webcast presentaton use the following link:</w:t>
      </w:r>
    </w:p>
    <w:p>
      <w:pPr>
        <w:spacing w:after="0" w:line="2"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htps://dpregister.com/DiamondPassRegistraton /register?confrmatonNumber=10201755&amp;linkSecurityString=fa6c99 a9a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6020435</wp:posOffset>
            </wp:positionH>
            <wp:positionV relativeFrom="paragraph">
              <wp:posOffset>-20320</wp:posOffset>
            </wp:positionV>
            <wp:extent cx="27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Calibri" w:cs="Calibri" w:eastAsia="Calibri" w:hAnsi="Calibri"/>
          <w:sz w:val="19"/>
          <w:szCs w:val="19"/>
          <w:color w:val="121212"/>
        </w:rPr>
        <w:t>Callers who pre-register will be given a conference passcode and unique PIN to gain immediate access to the call and bypass the live operator.</w:t>
      </w:r>
    </w:p>
    <w:p>
      <w:pPr>
        <w:spacing w:after="0" w:line="2" w:lineRule="exact"/>
        <w:rPr>
          <w:sz w:val="20"/>
          <w:szCs w:val="20"/>
          <w:color w:val="auto"/>
        </w:rPr>
      </w:pPr>
    </w:p>
    <w:p>
      <w:pPr>
        <w:spacing w:after="0"/>
        <w:rPr>
          <w:sz w:val="20"/>
          <w:szCs w:val="20"/>
          <w:color w:val="auto"/>
        </w:rPr>
      </w:pPr>
      <w:r>
        <w:rPr>
          <w:rFonts w:ascii="Calibri" w:cs="Calibri" w:eastAsia="Calibri" w:hAnsi="Calibri"/>
          <w:sz w:val="19"/>
          <w:szCs w:val="19"/>
          <w:color w:val="121212"/>
        </w:rPr>
        <w:t>Partcipants may pre-register at any tme, including up to and afer the call start tme.</w:t>
      </w:r>
    </w:p>
    <w:p>
      <w:pPr>
        <w:spacing w:after="0" w:line="197" w:lineRule="exact"/>
        <w:rPr>
          <w:sz w:val="20"/>
          <w:szCs w:val="20"/>
          <w:color w:val="auto"/>
        </w:rPr>
      </w:pPr>
    </w:p>
    <w:p>
      <w:pPr>
        <w:spacing w:after="0"/>
        <w:rPr>
          <w:sz w:val="20"/>
          <w:szCs w:val="20"/>
          <w:color w:val="auto"/>
        </w:rPr>
      </w:pPr>
      <w:r>
        <w:rPr>
          <w:rFonts w:ascii="Calibri" w:cs="Calibri" w:eastAsia="Calibri" w:hAnsi="Calibri"/>
          <w:sz w:val="19"/>
          <w:szCs w:val="19"/>
          <w:color w:val="121212"/>
        </w:rPr>
        <w:t>Those unable to pre-register may dial in by calling:</w:t>
      </w:r>
    </w:p>
    <w:p>
      <w:pPr>
        <w:spacing w:after="0" w:line="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1 844 435 0321 </w:t>
      </w:r>
      <w:r>
        <w:rPr>
          <w:rFonts w:ascii="Calibri" w:cs="Calibri" w:eastAsia="Calibri" w:hAnsi="Calibri"/>
          <w:sz w:val="19"/>
          <w:szCs w:val="19"/>
          <w:color w:val="121212"/>
        </w:rPr>
        <w:t>(U.S. toll free)</w:t>
      </w:r>
    </w:p>
    <w:p>
      <w:pPr>
        <w:spacing w:after="0" w:line="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1412 317 5615 </w:t>
      </w:r>
      <w:r>
        <w:rPr>
          <w:rFonts w:ascii="Calibri" w:cs="Calibri" w:eastAsia="Calibri" w:hAnsi="Calibri"/>
          <w:sz w:val="19"/>
          <w:szCs w:val="19"/>
          <w:color w:val="121212"/>
        </w:rPr>
        <w:t>(Internatonal)</w:t>
      </w:r>
    </w:p>
    <w:p>
      <w:pPr>
        <w:spacing w:after="0" w:line="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Partcipant Web Phone: </w:t>
      </w:r>
      <w:r>
        <w:rPr>
          <w:rFonts w:ascii="Calibri" w:cs="Calibri" w:eastAsia="Calibri" w:hAnsi="Calibri"/>
          <w:sz w:val="19"/>
          <w:szCs w:val="19"/>
          <w:u w:val="single" w:color="auto"/>
          <w:color w:val="000000"/>
        </w:rPr>
        <w:t>Click here</w:t>
      </w:r>
    </w:p>
    <w:p>
      <w:pPr>
        <w:spacing w:after="0" w:line="2" w:lineRule="exact"/>
        <w:rPr>
          <w:sz w:val="20"/>
          <w:szCs w:val="20"/>
          <w:color w:val="auto"/>
        </w:rPr>
      </w:pPr>
    </w:p>
    <w:p>
      <w:pPr>
        <w:ind w:left="40"/>
        <w:spacing w:after="0"/>
        <w:rPr>
          <w:sz w:val="20"/>
          <w:szCs w:val="20"/>
          <w:color w:val="auto"/>
        </w:rPr>
      </w:pPr>
      <w:r>
        <w:rPr>
          <w:rFonts w:ascii="Calibri" w:cs="Calibri" w:eastAsia="Calibri" w:hAnsi="Calibri"/>
          <w:sz w:val="19"/>
          <w:szCs w:val="19"/>
          <w:b w:val="1"/>
          <w:bCs w:val="1"/>
          <w:color w:val="121212"/>
        </w:rPr>
        <w:t>Conference ID: Credicorp Conference Call</w:t>
      </w:r>
    </w:p>
    <w:p>
      <w:pPr>
        <w:spacing w:after="0" w:line="236" w:lineRule="exact"/>
        <w:rPr>
          <w:sz w:val="20"/>
          <w:szCs w:val="20"/>
          <w:color w:val="auto"/>
        </w:rPr>
      </w:pPr>
    </w:p>
    <w:p>
      <w:pPr>
        <w:spacing w:after="0"/>
        <w:rPr>
          <w:sz w:val="20"/>
          <w:szCs w:val="20"/>
          <w:color w:val="auto"/>
        </w:rPr>
      </w:pPr>
      <w:r>
        <w:rPr>
          <w:rFonts w:ascii="Calibri" w:cs="Calibri" w:eastAsia="Calibri" w:hAnsi="Calibri"/>
          <w:sz w:val="19"/>
          <w:szCs w:val="19"/>
          <w:color w:val="121212"/>
        </w:rPr>
        <w:t>The webcast will be archived for one year on our investor relatons website at:</w:t>
      </w:r>
    </w:p>
    <w:p>
      <w:pPr>
        <w:spacing w:after="0" w:line="2"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htps://credicorp.gcs-web.com/events-and-presentatons/upcoming-events</w:t>
      </w:r>
    </w:p>
    <w:p>
      <w:pPr>
        <w:spacing w:after="0" w:line="197" w:lineRule="exact"/>
        <w:rPr>
          <w:sz w:val="20"/>
          <w:szCs w:val="20"/>
          <w:color w:val="auto"/>
        </w:rPr>
      </w:pPr>
    </w:p>
    <w:p>
      <w:pPr>
        <w:spacing w:after="0"/>
        <w:rPr>
          <w:sz w:val="20"/>
          <w:szCs w:val="20"/>
          <w:color w:val="auto"/>
        </w:rPr>
      </w:pPr>
      <w:r>
        <w:rPr>
          <w:rFonts w:ascii="Calibri" w:cs="Calibri" w:eastAsia="Calibri" w:hAnsi="Calibri"/>
          <w:sz w:val="19"/>
          <w:szCs w:val="19"/>
          <w:color w:val="121212"/>
        </w:rPr>
        <w:t>For a full version of Credicorp´s First Quarter 2025 Earnings Release, please visit:</w:t>
      </w:r>
    </w:p>
    <w:p>
      <w:pPr>
        <w:spacing w:after="0" w:line="2"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auto"/>
        </w:rPr>
        <w:t>htps://credicorp.gcs-web.com/company-reports/quarterly-materials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805180</wp:posOffset>
            </wp:positionV>
            <wp:extent cx="713740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144145</wp:posOffset>
            </wp:positionV>
            <wp:extent cx="6517640" cy="561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56197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 w:name="page8"/>
    <w:bookmarkEnd w:id="7"/>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Loans and Deposits</w:t>
      </w:r>
    </w:p>
    <w:p>
      <w:pPr>
        <w:spacing w:after="0" w:line="15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Our balance in 2Q25 was impacted by an accountng adjustment (which did not afect cash fow) related to our operatons in Bolivia. This adjustment entailed updatng the exchange rate used to translate Bolivia’s balance to beter refect market conditons. In this context, the book value of Credicorp’s total assets dropped 2.8% but cash fow was unafected.</w:t>
      </w:r>
    </w:p>
    <w:p>
      <w:pPr>
        <w:spacing w:after="0" w:line="19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Loans in End-of-Period (EOP)</w:t>
      </w:r>
    </w:p>
    <w:p>
      <w:pPr>
        <w:spacing w:after="0" w:line="165" w:lineRule="exact"/>
        <w:rPr>
          <w:sz w:val="20"/>
          <w:szCs w:val="20"/>
          <w:color w:val="auto"/>
        </w:rPr>
      </w:pPr>
    </w:p>
    <w:p>
      <w:pPr>
        <w:spacing w:after="0"/>
        <w:rPr>
          <w:sz w:val="20"/>
          <w:szCs w:val="20"/>
          <w:color w:val="auto"/>
        </w:rPr>
      </w:pPr>
      <w:r>
        <w:rPr>
          <w:rFonts w:ascii="Calibri" w:cs="Calibri" w:eastAsia="Calibri" w:hAnsi="Calibri"/>
          <w:sz w:val="17"/>
          <w:szCs w:val="17"/>
          <w:color w:val="auto"/>
        </w:rPr>
        <w:t>Total loans measured in quarter-end balances contracted 0.2% QoQ and 4.1%</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YoY, impacted by the aforementoned accountng adjustment at BCP Bolivia.</w:t>
      </w:r>
    </w:p>
    <w:p>
      <w:pPr>
        <w:spacing w:after="0" w:line="105" w:lineRule="exact"/>
        <w:rPr>
          <w:sz w:val="20"/>
          <w:szCs w:val="20"/>
          <w:color w:val="auto"/>
        </w:rPr>
      </w:pPr>
    </w:p>
    <w:p>
      <w:pPr>
        <w:spacing w:after="0"/>
        <w:rPr>
          <w:sz w:val="20"/>
          <w:szCs w:val="20"/>
          <w:color w:val="auto"/>
        </w:rPr>
      </w:pPr>
      <w:r>
        <w:rPr>
          <w:rFonts w:ascii="Calibri" w:cs="Calibri" w:eastAsia="Calibri" w:hAnsi="Calibri"/>
          <w:sz w:val="17"/>
          <w:szCs w:val="17"/>
          <w:color w:val="auto"/>
        </w:rPr>
        <w:t>If we exclude this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6350</wp:posOffset>
            </wp:positionV>
            <wp:extent cx="2643505" cy="1652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43505" cy="1652270"/>
                    </a:xfrm>
                    <a:prstGeom prst="rect">
                      <a:avLst/>
                    </a:prstGeom>
                    <a:noFill/>
                  </pic:spPr>
                </pic:pic>
              </a:graphicData>
            </a:graphic>
          </wp:anchor>
        </w:drawing>
      </w:r>
    </w:p>
    <w:p>
      <w:pPr>
        <w:spacing w:after="0" w:line="86" w:lineRule="exact"/>
        <w:rPr>
          <w:sz w:val="20"/>
          <w:szCs w:val="20"/>
          <w:color w:val="auto"/>
        </w:rPr>
      </w:pPr>
    </w:p>
    <w:p>
      <w:pPr>
        <w:jc w:val="both"/>
        <w:ind w:right="5840"/>
        <w:spacing w:after="0" w:line="255" w:lineRule="auto"/>
        <w:rPr>
          <w:sz w:val="20"/>
          <w:szCs w:val="20"/>
          <w:color w:val="auto"/>
        </w:rPr>
      </w:pPr>
      <w:r>
        <w:rPr>
          <w:rFonts w:ascii="Calibri" w:cs="Calibri" w:eastAsia="Calibri" w:hAnsi="Calibri"/>
          <w:sz w:val="16"/>
          <w:szCs w:val="16"/>
          <w:color w:val="auto"/>
        </w:rPr>
        <w:t>QoQ, the portolio’s balance rose 1.2%, which refects a +2.5% FX Neutral. This evoluton was driven mainly by: (i) Individuals and Small Businesses, where stand-out performers were Mortgage, which grew through an uptck in demand due to a more favorable economic environment, and Consumer, which registered growth in disbursements through BCP Stand-alone and Yape;</w:t>
      </w:r>
    </w:p>
    <w:p>
      <w:pPr>
        <w:spacing w:after="0" w:line="3" w:lineRule="exact"/>
        <w:rPr>
          <w:sz w:val="20"/>
          <w:szCs w:val="20"/>
          <w:color w:val="auto"/>
        </w:rPr>
      </w:pPr>
    </w:p>
    <w:p>
      <w:pPr>
        <w:jc w:val="both"/>
        <w:ind w:right="5840" w:firstLine="4"/>
        <w:spacing w:after="0"/>
        <w:tabs>
          <w:tab w:leader="none" w:pos="224" w:val="left"/>
        </w:tabs>
        <w:numPr>
          <w:ilvl w:val="0"/>
          <w:numId w:val="2"/>
        </w:numPr>
        <w:rPr>
          <w:rFonts w:ascii="Calibri" w:cs="Calibri" w:eastAsia="Calibri" w:hAnsi="Calibri"/>
          <w:sz w:val="17"/>
          <w:szCs w:val="17"/>
          <w:color w:val="auto"/>
        </w:rPr>
      </w:pPr>
      <w:r>
        <w:rPr>
          <w:rFonts w:ascii="Calibri" w:cs="Calibri" w:eastAsia="Calibri" w:hAnsi="Calibri"/>
          <w:sz w:val="17"/>
          <w:szCs w:val="17"/>
          <w:color w:val="auto"/>
        </w:rPr>
        <w:t>Wholesale Banking, where Middle Market Banking reported growth due to an uptck in demand for working capital loans, which was partally ofset by a decrease in Corporate Banking, and (iii) Mibanco, which reported a reducton in write-ofs.</w:t>
      </w:r>
    </w:p>
    <w:p>
      <w:pPr>
        <w:spacing w:after="0" w:line="133" w:lineRule="exact"/>
        <w:rPr>
          <w:sz w:val="20"/>
          <w:szCs w:val="20"/>
          <w:color w:val="auto"/>
        </w:rPr>
      </w:pPr>
    </w:p>
    <w:p>
      <w:pPr>
        <w:jc w:val="both"/>
        <w:ind w:right="5840"/>
        <w:spacing w:after="0"/>
        <w:rPr>
          <w:sz w:val="20"/>
          <w:szCs w:val="20"/>
          <w:color w:val="auto"/>
        </w:rPr>
      </w:pPr>
      <w:r>
        <w:rPr>
          <w:rFonts w:ascii="Calibri" w:cs="Calibri" w:eastAsia="Calibri" w:hAnsi="Calibri"/>
          <w:sz w:val="17"/>
          <w:szCs w:val="17"/>
          <w:color w:val="auto"/>
        </w:rPr>
        <w:t>YoY, the portolio’s balance dropped 0.3%. Notwithstanding, growth stood at 2.6% in FX Neutral terms, driven mainly by: (i) Individuals and Small Businesses, led by an uptck in Mortgage, which was driven by the same dynamics seen QoQ, and by Consumer, which rose on the back of growth in disbursements through Yape; and (ii) Wholesale Banking, specifcally Middle Market Banking, which registered an uptck in demand for short-term fnancing.</w:t>
      </w:r>
    </w:p>
    <w:p>
      <w:pPr>
        <w:spacing w:after="0" w:line="14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-12700</wp:posOffset>
            </wp:positionV>
            <wp:extent cx="2527935" cy="1511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7935" cy="1511935"/>
                    </a:xfrm>
                    <a:prstGeom prst="rect">
                      <a:avLst/>
                    </a:prstGeom>
                    <a:noFill/>
                  </pic:spPr>
                </pic:pic>
              </a:graphicData>
            </a:graphic>
          </wp:anchor>
        </w:drawing>
      </w:r>
    </w:p>
    <w:p>
      <w:pPr>
        <w:spacing w:after="0" w:line="81" w:lineRule="exact"/>
        <w:rPr>
          <w:sz w:val="20"/>
          <w:szCs w:val="20"/>
          <w:color w:val="auto"/>
        </w:rPr>
      </w:pPr>
    </w:p>
    <w:p>
      <w:pPr>
        <w:jc w:val="both"/>
        <w:ind w:right="5840"/>
        <w:spacing w:after="0" w:line="239" w:lineRule="auto"/>
        <w:rPr>
          <w:sz w:val="20"/>
          <w:szCs w:val="20"/>
          <w:color w:val="auto"/>
        </w:rPr>
      </w:pPr>
      <w:r>
        <w:rPr>
          <w:rFonts w:ascii="Calibri" w:cs="Calibri" w:eastAsia="Calibri" w:hAnsi="Calibri"/>
          <w:sz w:val="17"/>
          <w:szCs w:val="17"/>
          <w:color w:val="auto"/>
        </w:rPr>
        <w:t>The total deposit balance (measured in quarter-end balances) contracted 1.8% QoQ and rose 1.8% YoY, impacted by the aforementoned accountng adjustment for BCP Bolivia.</w:t>
      </w:r>
    </w:p>
    <w:p>
      <w:pPr>
        <w:spacing w:after="0" w:line="146" w:lineRule="exact"/>
        <w:rPr>
          <w:sz w:val="20"/>
          <w:szCs w:val="20"/>
          <w:color w:val="auto"/>
        </w:rPr>
      </w:pPr>
    </w:p>
    <w:p>
      <w:pPr>
        <w:spacing w:after="0"/>
        <w:rPr>
          <w:sz w:val="20"/>
          <w:szCs w:val="20"/>
          <w:color w:val="auto"/>
        </w:rPr>
      </w:pPr>
      <w:r>
        <w:rPr>
          <w:rFonts w:ascii="Calibri" w:cs="Calibri" w:eastAsia="Calibri" w:hAnsi="Calibri"/>
          <w:sz w:val="17"/>
          <w:szCs w:val="17"/>
          <w:color w:val="auto"/>
        </w:rPr>
        <w:t>If we exclude this impact, the dynamics were:</w:t>
      </w:r>
    </w:p>
    <w:p>
      <w:pPr>
        <w:spacing w:after="0" w:line="158" w:lineRule="exact"/>
        <w:rPr>
          <w:sz w:val="20"/>
          <w:szCs w:val="20"/>
          <w:color w:val="auto"/>
        </w:rPr>
      </w:pPr>
    </w:p>
    <w:p>
      <w:pPr>
        <w:jc w:val="both"/>
        <w:ind w:right="5840"/>
        <w:spacing w:after="0"/>
        <w:rPr>
          <w:sz w:val="20"/>
          <w:szCs w:val="20"/>
          <w:color w:val="auto"/>
        </w:rPr>
      </w:pPr>
      <w:r>
        <w:rPr>
          <w:rFonts w:ascii="Calibri" w:cs="Calibri" w:eastAsia="Calibri" w:hAnsi="Calibri"/>
          <w:sz w:val="17"/>
          <w:szCs w:val="17"/>
          <w:color w:val="auto"/>
        </w:rPr>
        <w:t>QoQ, our deposit base contracted 0.5% (+1.0% FX Neutral). This evoluton refected a drop in the balance for Demand Deposits, which was partally ofset by growth in the Time Deposit balance. YoY, the deposit base increased 6.2% (+10.2% FX Neutral). This result was driven by (i) Low-cost deposits, which grew 16.9% and represented 71.8% of our total deposit base at quarter-end, and (ii) Time Deposits.</w:t>
      </w:r>
    </w:p>
    <w:p>
      <w:pPr>
        <w:spacing w:after="0" w:line="145" w:lineRule="exact"/>
        <w:rPr>
          <w:sz w:val="20"/>
          <w:szCs w:val="20"/>
          <w:color w:val="auto"/>
        </w:rPr>
      </w:pPr>
    </w:p>
    <w:p>
      <w:pPr>
        <w:spacing w:after="0"/>
        <w:rPr>
          <w:sz w:val="20"/>
          <w:szCs w:val="20"/>
          <w:color w:val="auto"/>
        </w:rPr>
      </w:pPr>
      <w:r>
        <w:rPr>
          <w:rFonts w:ascii="Calibri" w:cs="Calibri" w:eastAsia="Calibri" w:hAnsi="Calibri"/>
          <w:sz w:val="17"/>
          <w:szCs w:val="17"/>
          <w:color w:val="auto"/>
        </w:rPr>
        <w:t>At BCP, the 30-day Liquidity Coverage Rato (LCR) in PEN a 30-day stood at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162.2% under regulatory standards and 135.0% according to stricter internal</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standards. The 30-day LCR stood at 140.9% under regulatory standards, and</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116.7% according to stricter internal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956310</wp:posOffset>
            </wp:positionV>
            <wp:extent cx="7137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262255</wp:posOffset>
            </wp:positionV>
            <wp:extent cx="6525895" cy="553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25895" cy="55372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 w:name="page9"/>
    <w:bookmarkEnd w:id="8"/>
    <w:p>
      <w:pPr>
        <w:jc w:val="both"/>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Net Interest Income (NII) and Margin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-169545</wp:posOffset>
            </wp:positionV>
            <wp:extent cx="2709545" cy="156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09545" cy="1569720"/>
                    </a:xfrm>
                    <a:prstGeom prst="rect">
                      <a:avLst/>
                    </a:prstGeom>
                    <a:noFill/>
                  </pic:spPr>
                </pic:pic>
              </a:graphicData>
            </a:graphic>
          </wp:anchor>
        </w:drawing>
      </w:r>
    </w:p>
    <w:p>
      <w:pPr>
        <w:spacing w:after="0" w:line="224" w:lineRule="exact"/>
        <w:rPr>
          <w:sz w:val="20"/>
          <w:szCs w:val="20"/>
          <w:color w:val="auto"/>
        </w:rPr>
      </w:pPr>
    </w:p>
    <w:p>
      <w:pPr>
        <w:jc w:val="both"/>
        <w:ind w:right="4739"/>
        <w:spacing w:after="0"/>
        <w:rPr>
          <w:sz w:val="20"/>
          <w:szCs w:val="20"/>
          <w:color w:val="auto"/>
        </w:rPr>
      </w:pPr>
      <w:r>
        <w:rPr>
          <w:rFonts w:ascii="Calibri" w:cs="Calibri" w:eastAsia="Calibri" w:hAnsi="Calibri"/>
          <w:sz w:val="17"/>
          <w:szCs w:val="17"/>
          <w:color w:val="auto"/>
        </w:rPr>
        <w:t>NII rose 1.2% QoQ. This evoluton was fueled mainly by a reducton in Similar Interest and Expenses, which were impacted by a drop in market rates. NIM stood at 6.42% at the end of the quarter, versus 6.22% in 1Q25 and 6.33% in 2Q24.</w:t>
      </w:r>
    </w:p>
    <w:p>
      <w:pPr>
        <w:spacing w:after="0" w:line="107" w:lineRule="exact"/>
        <w:rPr>
          <w:sz w:val="20"/>
          <w:szCs w:val="20"/>
          <w:color w:val="auto"/>
        </w:rPr>
      </w:pPr>
    </w:p>
    <w:p>
      <w:pPr>
        <w:jc w:val="both"/>
        <w:ind w:right="4739"/>
        <w:spacing w:after="0"/>
        <w:rPr>
          <w:sz w:val="20"/>
          <w:szCs w:val="20"/>
          <w:color w:val="auto"/>
        </w:rPr>
      </w:pPr>
      <w:r>
        <w:rPr>
          <w:rFonts w:ascii="Calibri" w:cs="Calibri" w:eastAsia="Calibri" w:hAnsi="Calibri"/>
          <w:sz w:val="17"/>
          <w:szCs w:val="17"/>
          <w:color w:val="auto"/>
        </w:rPr>
        <w:t>YoY, NII rose 4.2%. This evoluton was driven primarily by a decrease in Similar Interest and Expenses, which were pressured downward by a reducton in market rates, and by an uptck in low-cost deposits’ share of our funding base. In this context, NIM rose 9 bps YoY.</w:t>
      </w:r>
    </w:p>
    <w:p>
      <w:pPr>
        <w:spacing w:after="0" w:line="20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Portolio Quality and the Cost of Risk</w:t>
      </w:r>
    </w:p>
    <w:p>
      <w:pPr>
        <w:spacing w:after="0" w:line="218" w:lineRule="exact"/>
        <w:rPr>
          <w:sz w:val="20"/>
          <w:szCs w:val="20"/>
          <w:color w:val="auto"/>
        </w:rPr>
      </w:pPr>
    </w:p>
    <w:p>
      <w:pPr>
        <w:jc w:val="both"/>
        <w:ind w:right="4739"/>
        <w:spacing w:after="0"/>
        <w:rPr>
          <w:sz w:val="20"/>
          <w:szCs w:val="20"/>
          <w:color w:val="auto"/>
        </w:rPr>
      </w:pPr>
      <w:r>
        <w:rPr>
          <w:rFonts w:ascii="Calibri" w:cs="Calibri" w:eastAsia="Calibri" w:hAnsi="Calibri"/>
          <w:sz w:val="17"/>
          <w:szCs w:val="17"/>
          <w:color w:val="auto"/>
        </w:rPr>
        <w:t>Portolio quality ratos and the Cost of Risk have improved substantally over the last year and contnue to strengthen. This positve evoluton was driven by strengthened risk management, improvements in payment performance, and a more favorable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-240665</wp:posOffset>
            </wp:positionV>
            <wp:extent cx="2734310" cy="1693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4310" cy="1693545"/>
                    </a:xfrm>
                    <a:prstGeom prst="rect">
                      <a:avLst/>
                    </a:prstGeom>
                    <a:noFill/>
                  </pic:spPr>
                </pic:pic>
              </a:graphicData>
            </a:graphic>
          </wp:anchor>
        </w:drawing>
      </w:r>
    </w:p>
    <w:p>
      <w:pPr>
        <w:spacing w:after="0" w:line="126" w:lineRule="exact"/>
        <w:rPr>
          <w:sz w:val="20"/>
          <w:szCs w:val="20"/>
          <w:color w:val="auto"/>
        </w:rPr>
      </w:pPr>
    </w:p>
    <w:p>
      <w:pPr>
        <w:jc w:val="both"/>
        <w:ind w:right="4739"/>
        <w:spacing w:after="0"/>
        <w:rPr>
          <w:sz w:val="20"/>
          <w:szCs w:val="20"/>
          <w:color w:val="auto"/>
        </w:rPr>
      </w:pPr>
      <w:r>
        <w:rPr>
          <w:rFonts w:ascii="Calibri" w:cs="Calibri" w:eastAsia="Calibri" w:hAnsi="Calibri"/>
          <w:sz w:val="17"/>
          <w:szCs w:val="17"/>
          <w:color w:val="auto"/>
        </w:rPr>
        <w:t xml:space="preserve">QoQ, the NPL balance fell 3.0%, fueled mainly by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Mibanco</w:t>
      </w: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 At BCP Stand-alone</w:t>
      </w:r>
      <w:r>
        <w:rPr>
          <w:rFonts w:ascii="Calibri" w:cs="Calibri" w:eastAsia="Calibri" w:hAnsi="Calibri"/>
          <w:sz w:val="17"/>
          <w:szCs w:val="17"/>
          <w:color w:val="auto"/>
        </w:rPr>
        <w:t>, the decline was driven primarily by</w:t>
      </w:r>
      <w:r>
        <w:rPr>
          <w:rFonts w:ascii="Calibri" w:cs="Calibri" w:eastAsia="Calibri" w:hAnsi="Calibri"/>
          <w:sz w:val="17"/>
          <w:szCs w:val="17"/>
          <w:b w:val="1"/>
          <w:bCs w:val="1"/>
          <w:color w:val="auto"/>
        </w:rPr>
        <w:t xml:space="preserve"> Wholesale Banking</w:t>
      </w:r>
      <w:r>
        <w:rPr>
          <w:rFonts w:ascii="Calibri" w:cs="Calibri" w:eastAsia="Calibri" w:hAnsi="Calibri"/>
          <w:sz w:val="17"/>
          <w:szCs w:val="17"/>
          <w:color w:val="auto"/>
        </w:rPr>
        <w:t>, which reported debt repayment by an overdue client. The NPL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balance at </w:t>
      </w:r>
      <w:r>
        <w:rPr>
          <w:rFonts w:ascii="Calibri" w:cs="Calibri" w:eastAsia="Calibri" w:hAnsi="Calibri"/>
          <w:sz w:val="17"/>
          <w:szCs w:val="17"/>
          <w:b w:val="1"/>
          <w:bCs w:val="1"/>
          <w:color w:val="auto"/>
        </w:rPr>
        <w:t>Retail Banking</w:t>
      </w:r>
      <w:r>
        <w:rPr>
          <w:rFonts w:ascii="Calibri" w:cs="Calibri" w:eastAsia="Calibri" w:hAnsi="Calibri"/>
          <w:sz w:val="17"/>
          <w:szCs w:val="17"/>
          <w:color w:val="auto"/>
        </w:rPr>
        <w:t xml:space="preserve"> remained relatvely stable in Individuals and SMEs.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the decline was atributable to a decrease in overdue loans.</w:t>
      </w:r>
    </w:p>
    <w:p>
      <w:pPr>
        <w:spacing w:after="0" w:line="133" w:lineRule="exact"/>
        <w:rPr>
          <w:sz w:val="20"/>
          <w:szCs w:val="20"/>
          <w:color w:val="auto"/>
        </w:rPr>
      </w:pPr>
    </w:p>
    <w:p>
      <w:pPr>
        <w:jc w:val="both"/>
        <w:ind w:right="4739"/>
        <w:spacing w:after="0"/>
        <w:rPr>
          <w:sz w:val="20"/>
          <w:szCs w:val="20"/>
          <w:color w:val="auto"/>
        </w:rPr>
      </w:pPr>
      <w:r>
        <w:rPr>
          <w:rFonts w:ascii="Calibri" w:cs="Calibri" w:eastAsia="Calibri" w:hAnsi="Calibri"/>
          <w:sz w:val="17"/>
          <w:szCs w:val="17"/>
          <w:color w:val="auto"/>
        </w:rPr>
        <w:t xml:space="preserve">YoY, NPLs dropped 20.4%, driven by a decline across segments at </w:t>
      </w:r>
      <w:r>
        <w:rPr>
          <w:rFonts w:ascii="Calibri" w:cs="Calibri" w:eastAsia="Calibri" w:hAnsi="Calibri"/>
          <w:sz w:val="17"/>
          <w:szCs w:val="17"/>
          <w:b w:val="1"/>
          <w:bCs w:val="1"/>
          <w:color w:val="auto"/>
        </w:rPr>
        <w:t xml:space="preserve">BCP Stand-alone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BCP Stand-alone</w:t>
      </w:r>
      <w:r>
        <w:rPr>
          <w:rFonts w:ascii="Calibri" w:cs="Calibri" w:eastAsia="Calibri" w:hAnsi="Calibri"/>
          <w:sz w:val="17"/>
          <w:szCs w:val="17"/>
          <w:color w:val="auto"/>
        </w:rPr>
        <w:t>, the decrease was fueled mainly by</w:t>
      </w:r>
      <w:r>
        <w:rPr>
          <w:rFonts w:ascii="Calibri" w:cs="Calibri" w:eastAsia="Calibri" w:hAnsi="Calibri"/>
          <w:sz w:val="17"/>
          <w:szCs w:val="17"/>
          <w:b w:val="1"/>
          <w:bCs w:val="1"/>
          <w:color w:val="auto"/>
        </w:rPr>
        <w:t xml:space="preserve"> Wholesale Banking, </w:t>
      </w:r>
      <w:r>
        <w:rPr>
          <w:rFonts w:ascii="Calibri" w:cs="Calibri" w:eastAsia="Calibri" w:hAnsi="Calibri"/>
          <w:sz w:val="17"/>
          <w:szCs w:val="17"/>
          <w:color w:val="auto"/>
        </w:rPr>
        <w:t>which was impacted primarily by debt repayment, and by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Retail Banking</w:t>
      </w:r>
      <w:r>
        <w:rPr>
          <w:rFonts w:ascii="Calibri" w:cs="Calibri" w:eastAsia="Calibri" w:hAnsi="Calibri"/>
          <w:sz w:val="17"/>
          <w:szCs w:val="17"/>
          <w:b w:val="1"/>
          <w:bCs w:val="1"/>
          <w:color w:val="auto"/>
        </w:rPr>
        <w:t>,</w:t>
      </w:r>
      <w:r>
        <w:rPr>
          <w:rFonts w:ascii="Calibri" w:cs="Calibri" w:eastAsia="Calibri" w:hAnsi="Calibri"/>
          <w:sz w:val="17"/>
          <w:szCs w:val="17"/>
          <w:color w:val="auto"/>
        </w:rPr>
        <w:t xml:space="preserve"> led by: (i)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due to a reducton in overdue loans; and</w:t>
      </w:r>
    </w:p>
    <w:p>
      <w:pPr>
        <w:spacing w:after="0" w:line="3" w:lineRule="exact"/>
        <w:rPr>
          <w:sz w:val="20"/>
          <w:szCs w:val="20"/>
          <w:color w:val="auto"/>
        </w:rPr>
      </w:pPr>
    </w:p>
    <w:p>
      <w:pPr>
        <w:ind w:right="4739" w:firstLine="4"/>
        <w:spacing w:after="0" w:line="239" w:lineRule="auto"/>
        <w:tabs>
          <w:tab w:leader="none" w:pos="231" w:val="left"/>
        </w:tabs>
        <w:numPr>
          <w:ilvl w:val="0"/>
          <w:numId w:val="3"/>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Consumer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Credit Cards</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Mibanco, </w:t>
      </w:r>
      <w:r>
        <w:rPr>
          <w:rFonts w:ascii="Calibri" w:cs="Calibri" w:eastAsia="Calibri" w:hAnsi="Calibri"/>
          <w:sz w:val="17"/>
          <w:szCs w:val="17"/>
          <w:color w:val="auto"/>
        </w:rPr>
        <w:t>the decrease was driven by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same dynamics as those that drove the QoQ evoluton.</w:t>
      </w:r>
    </w:p>
    <w:p>
      <w:pPr>
        <w:spacing w:after="0" w:line="146" w:lineRule="exact"/>
        <w:rPr>
          <w:sz w:val="20"/>
          <w:szCs w:val="20"/>
          <w:color w:val="auto"/>
        </w:rPr>
      </w:pPr>
    </w:p>
    <w:p>
      <w:pPr>
        <w:jc w:val="both"/>
        <w:ind w:right="4739"/>
        <w:spacing w:after="0" w:line="239" w:lineRule="auto"/>
        <w:rPr>
          <w:sz w:val="20"/>
          <w:szCs w:val="20"/>
          <w:color w:val="auto"/>
        </w:rPr>
      </w:pPr>
      <w:r>
        <w:rPr>
          <w:rFonts w:ascii="Calibri" w:cs="Calibri" w:eastAsia="Calibri" w:hAnsi="Calibri"/>
          <w:sz w:val="17"/>
          <w:szCs w:val="17"/>
          <w:color w:val="auto"/>
        </w:rPr>
        <w:t>In this context, the NPL Rato dropped 14 bps QoQ and 102 bps YoY to stand at 5.0% at quarter-end.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89535</wp:posOffset>
            </wp:positionV>
            <wp:extent cx="2767330" cy="1429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67330" cy="1429385"/>
                    </a:xfrm>
                    <a:prstGeom prst="rect">
                      <a:avLst/>
                    </a:prstGeom>
                    <a:noFill/>
                  </pic:spPr>
                </pic:pic>
              </a:graphicData>
            </a:graphic>
          </wp:anchor>
        </w:drawing>
      </w:r>
    </w:p>
    <w:p>
      <w:pPr>
        <w:spacing w:after="0" w:line="126" w:lineRule="exact"/>
        <w:rPr>
          <w:sz w:val="20"/>
          <w:szCs w:val="20"/>
          <w:color w:val="auto"/>
        </w:rPr>
      </w:pPr>
    </w:p>
    <w:p>
      <w:pPr>
        <w:jc w:val="both"/>
        <w:ind w:right="4739"/>
        <w:spacing w:after="0"/>
        <w:rPr>
          <w:sz w:val="20"/>
          <w:szCs w:val="20"/>
          <w:color w:val="auto"/>
        </w:rPr>
      </w:pPr>
      <w:r>
        <w:rPr>
          <w:rFonts w:ascii="Calibri" w:cs="Calibri" w:eastAsia="Calibri" w:hAnsi="Calibri"/>
          <w:sz w:val="17"/>
          <w:szCs w:val="17"/>
          <w:color w:val="auto"/>
        </w:rPr>
        <w:t xml:space="preserve">Provisions fell 1.2% QoQ, driven by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partally ofset by </w:t>
      </w:r>
      <w:r>
        <w:rPr>
          <w:rFonts w:ascii="Calibri" w:cs="Calibri" w:eastAsia="Calibri" w:hAnsi="Calibri"/>
          <w:sz w:val="17"/>
          <w:szCs w:val="17"/>
          <w:b w:val="1"/>
          <w:bCs w:val="1"/>
          <w:color w:val="auto"/>
        </w:rPr>
        <w:t>Mibanco</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the reducton in provisions was fueled primarily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by (i) </w:t>
      </w:r>
      <w:r>
        <w:rPr>
          <w:rFonts w:ascii="Calibri" w:cs="Calibri" w:eastAsia="Calibri" w:hAnsi="Calibri"/>
          <w:sz w:val="17"/>
          <w:szCs w:val="17"/>
          <w:b w:val="1"/>
          <w:bCs w:val="1"/>
          <w:color w:val="auto"/>
        </w:rPr>
        <w:t>Wholesale Banking</w:t>
      </w:r>
      <w:r>
        <w:rPr>
          <w:rFonts w:ascii="Calibri" w:cs="Calibri" w:eastAsia="Calibri" w:hAnsi="Calibri"/>
          <w:sz w:val="17"/>
          <w:szCs w:val="17"/>
          <w:color w:val="auto"/>
        </w:rPr>
        <w:t xml:space="preserve">, due to an improvement in payment performance, and (ii)Retail Banking, led by </w:t>
      </w:r>
      <w:r>
        <w:rPr>
          <w:rFonts w:ascii="Calibri" w:cs="Calibri" w:eastAsia="Calibri" w:hAnsi="Calibri"/>
          <w:sz w:val="17"/>
          <w:szCs w:val="17"/>
          <w:b w:val="1"/>
          <w:bCs w:val="1"/>
          <w:color w:val="auto"/>
        </w:rPr>
        <w:t>Individuals,</w:t>
      </w:r>
      <w:r>
        <w:rPr>
          <w:rFonts w:ascii="Calibri" w:cs="Calibri" w:eastAsia="Calibri" w:hAnsi="Calibri"/>
          <w:sz w:val="17"/>
          <w:szCs w:val="17"/>
          <w:color w:val="auto"/>
        </w:rPr>
        <w:t xml:space="preserve"> due to a base efect for risk model calibratons. This evoluton was partally ofset by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which reported an uptck in disbursements.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growth in provisions was mainly atributable to a shif in the portolio mix toward smaller-tcket, higher-yield loans.</w:t>
      </w:r>
    </w:p>
    <w:p>
      <w:pPr>
        <w:spacing w:after="0" w:line="135" w:lineRule="exact"/>
        <w:rPr>
          <w:sz w:val="20"/>
          <w:szCs w:val="20"/>
          <w:color w:val="auto"/>
        </w:rPr>
      </w:pPr>
    </w:p>
    <w:p>
      <w:pPr>
        <w:jc w:val="both"/>
        <w:ind w:right="4739"/>
        <w:spacing w:after="0"/>
        <w:rPr>
          <w:sz w:val="20"/>
          <w:szCs w:val="20"/>
          <w:color w:val="auto"/>
        </w:rPr>
      </w:pPr>
      <w:r>
        <w:rPr>
          <w:rFonts w:ascii="Calibri" w:cs="Calibri" w:eastAsia="Calibri" w:hAnsi="Calibri"/>
          <w:sz w:val="17"/>
          <w:szCs w:val="17"/>
          <w:color w:val="auto"/>
        </w:rPr>
        <w:t xml:space="preserve">YoY and YTD, provisions dropped 47.4% and 39.4% respectvely, driven by </w:t>
      </w:r>
      <w:r>
        <w:rPr>
          <w:rFonts w:ascii="Calibri" w:cs="Calibri" w:eastAsia="Calibri" w:hAnsi="Calibri"/>
          <w:sz w:val="17"/>
          <w:szCs w:val="17"/>
          <w:b w:val="1"/>
          <w:bCs w:val="1"/>
          <w:color w:val="auto"/>
        </w:rPr>
        <w:t>BCP</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Stand-alone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which reported improvements in payment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performance due to economic recovery and growth in lower- risk vintages’ share of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815975</wp:posOffset>
            </wp:positionV>
            <wp:extent cx="7137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139065</wp:posOffset>
            </wp:positionV>
            <wp:extent cx="6534150" cy="578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34150" cy="578485"/>
                    </a:xfrm>
                    <a:prstGeom prst="rect">
                      <a:avLst/>
                    </a:prstGeom>
                    <a:noFill/>
                  </pic:spPr>
                </pic:pic>
              </a:graphicData>
            </a:graphic>
          </wp:anchor>
        </w:drawing>
      </w:r>
    </w:p>
    <w:p>
      <w:pPr>
        <w:sectPr>
          <w:pgSz w:w="11900" w:h="16838" w:orient="portrait"/>
          <w:cols w:equalWidth="0" w:num="1">
            <w:col w:w="10139"/>
          </w:cols>
          <w:pgMar w:left="320" w:top="444" w:right="1440" w:bottom="1440" w:gutter="0" w:footer="0" w:header="0"/>
        </w:sectPr>
      </w:pPr>
    </w:p>
    <w:bookmarkStart w:id="9" w:name="page10"/>
    <w:bookmarkEnd w:id="9"/>
    <w:p>
      <w:pPr>
        <w:ind w:left="2580"/>
        <w:spacing w:after="0"/>
        <w:tabs>
          <w:tab w:leader="none" w:pos="302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Other Income</w:t>
      </w:r>
    </w:p>
    <w:p>
      <w:pPr>
        <w:spacing w:after="0" w:line="218" w:lineRule="exact"/>
        <w:rPr>
          <w:sz w:val="20"/>
          <w:szCs w:val="20"/>
          <w:color w:val="auto"/>
        </w:rPr>
      </w:pPr>
    </w:p>
    <w:p>
      <w:pPr>
        <w:jc w:val="both"/>
        <w:ind w:right="620"/>
        <w:spacing w:after="0"/>
        <w:rPr>
          <w:sz w:val="20"/>
          <w:szCs w:val="20"/>
          <w:color w:val="auto"/>
        </w:rPr>
      </w:pPr>
      <w:r>
        <w:rPr>
          <w:rFonts w:ascii="Calibri" w:cs="Calibri" w:eastAsia="Calibri" w:hAnsi="Calibri"/>
          <w:sz w:val="17"/>
          <w:szCs w:val="17"/>
          <w:color w:val="auto"/>
        </w:rPr>
        <w:t>QoQ, Other Core Income increased 4.8%, hitng a record high and topping S/1.4 billion. This evoluton was driven mainly by BCP Stand- alone’s solid performance. Other Non-Core Income reported an important gain of S/106 million, which was associated with a sovereign bond exchange at BCP. Notwithstanding, this growth was ofset by a base efect given that an extraordinary gain was reported in 1Q25 for the acquisiton of the remaining 50% stake in Empresas Banmédica.</w:t>
      </w:r>
    </w:p>
    <w:p>
      <w:pPr>
        <w:spacing w:after="0" w:line="147" w:lineRule="exact"/>
        <w:rPr>
          <w:sz w:val="20"/>
          <w:szCs w:val="20"/>
          <w:color w:val="auto"/>
        </w:rPr>
      </w:pPr>
    </w:p>
    <w:p>
      <w:pPr>
        <w:jc w:val="both"/>
        <w:ind w:right="620"/>
        <w:spacing w:after="0"/>
        <w:rPr>
          <w:sz w:val="20"/>
          <w:szCs w:val="20"/>
          <w:color w:val="auto"/>
        </w:rPr>
      </w:pPr>
      <w:r>
        <w:rPr>
          <w:rFonts w:ascii="Calibri" w:cs="Calibri" w:eastAsia="Calibri" w:hAnsi="Calibri"/>
          <w:sz w:val="17"/>
          <w:szCs w:val="17"/>
          <w:color w:val="auto"/>
        </w:rPr>
        <w:t>YoY, Other Core Income rose 8.1%, driven by growth in fee income from Yape and transactonal products at BCP Stand-alone. Other Non- Core income dropped 6.4%, which refects the fact that BCP and Pacifco reported extraordinary income in 2Q24.</w:t>
      </w:r>
    </w:p>
    <w:p>
      <w:pPr>
        <w:spacing w:after="0" w:line="263" w:lineRule="exact"/>
        <w:rPr>
          <w:sz w:val="20"/>
          <w:szCs w:val="20"/>
          <w:color w:val="auto"/>
        </w:rPr>
      </w:pPr>
    </w:p>
    <w:p>
      <w:pPr>
        <w:jc w:val="both"/>
        <w:ind w:right="620"/>
        <w:spacing w:after="0" w:line="239" w:lineRule="auto"/>
        <w:rPr>
          <w:sz w:val="20"/>
          <w:szCs w:val="20"/>
          <w:color w:val="auto"/>
        </w:rPr>
      </w:pPr>
      <w:r>
        <w:rPr>
          <w:rFonts w:ascii="Calibri" w:cs="Calibri" w:eastAsia="Calibri" w:hAnsi="Calibri"/>
          <w:sz w:val="17"/>
          <w:szCs w:val="17"/>
          <w:color w:val="auto"/>
        </w:rPr>
        <w:t>YTD, Other Core Income rose 11.4%, fueled primarily by BCP Stand- alone. Other Non-Core income increased 19.6%, driven mainly by the gains related to the consolidaton of Banmédica and a sovereign bond exchange at BCP.</w:t>
      </w:r>
    </w:p>
    <w:p>
      <w:pPr>
        <w:spacing w:after="0" w:line="131"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Insurance Underwritng Result</w:t>
      </w:r>
    </w:p>
    <w:p>
      <w:pPr>
        <w:spacing w:after="0" w:line="192" w:lineRule="exact"/>
        <w:rPr>
          <w:sz w:val="20"/>
          <w:szCs w:val="20"/>
          <w:color w:val="auto"/>
        </w:rPr>
      </w:pPr>
    </w:p>
    <w:p>
      <w:pPr>
        <w:jc w:val="both"/>
        <w:ind w:right="620"/>
        <w:spacing w:after="0"/>
        <w:rPr>
          <w:sz w:val="20"/>
          <w:szCs w:val="20"/>
          <w:color w:val="auto"/>
        </w:rPr>
      </w:pPr>
      <w:r>
        <w:rPr>
          <w:rFonts w:ascii="Calibri" w:cs="Calibri" w:eastAsia="Calibri" w:hAnsi="Calibri"/>
          <w:sz w:val="17"/>
          <w:szCs w:val="17"/>
          <w:color w:val="auto"/>
        </w:rPr>
        <w:t>The Insurance Underwritng Result increased 6.6% QoQ. This evoluton was driven mainly by the Life Business, which reported a decrease in Insurance Service Expenses, and to a much lesser extent, by the solid performance of the EPS business.</w:t>
      </w:r>
    </w:p>
    <w:p>
      <w:pPr>
        <w:spacing w:after="0" w:line="263" w:lineRule="exact"/>
        <w:rPr>
          <w:sz w:val="20"/>
          <w:szCs w:val="20"/>
          <w:color w:val="auto"/>
        </w:rPr>
      </w:pPr>
    </w:p>
    <w:p>
      <w:pPr>
        <w:jc w:val="both"/>
        <w:ind w:right="620"/>
        <w:spacing w:after="0"/>
        <w:rPr>
          <w:sz w:val="20"/>
          <w:szCs w:val="20"/>
          <w:color w:val="auto"/>
        </w:rPr>
      </w:pPr>
      <w:r>
        <w:rPr>
          <w:rFonts w:ascii="Calibri" w:cs="Calibri" w:eastAsia="Calibri" w:hAnsi="Calibri"/>
          <w:sz w:val="17"/>
          <w:szCs w:val="17"/>
          <w:color w:val="auto"/>
        </w:rPr>
        <w:t>YoY and YTD, the Insurance Underwritng Result increased 11.2% and 14.4%, driven primarily by Life, which reported a drop in in Insurance Service Expenses; secondarily by P &amp; C, which registered growth in Insurance Service Income; and lastly by EPS.</w:t>
      </w:r>
    </w:p>
    <w:p>
      <w:pPr>
        <w:spacing w:after="0" w:line="259"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Efciency</w:t>
      </w:r>
    </w:p>
    <w:p>
      <w:pPr>
        <w:spacing w:after="0" w:line="62" w:lineRule="exact"/>
        <w:rPr>
          <w:sz w:val="20"/>
          <w:szCs w:val="20"/>
          <w:color w:val="auto"/>
        </w:rPr>
      </w:pPr>
    </w:p>
    <w:p>
      <w:pPr>
        <w:jc w:val="both"/>
        <w:ind w:right="620"/>
        <w:spacing w:after="0" w:line="239" w:lineRule="auto"/>
        <w:rPr>
          <w:sz w:val="20"/>
          <w:szCs w:val="20"/>
          <w:color w:val="auto"/>
        </w:rPr>
      </w:pPr>
      <w:r>
        <w:rPr>
          <w:rFonts w:ascii="Calibri" w:cs="Calibri" w:eastAsia="Calibri" w:hAnsi="Calibri"/>
          <w:sz w:val="17"/>
          <w:szCs w:val="17"/>
          <w:color w:val="auto"/>
        </w:rPr>
        <w:t>Operatng expenses rose 11.4% YTD, fueled mainly by core business at BCP Stand-alone and innovaton initatves at the Credicorp level. Operatng income, in turn, rose 7.9% YTD.</w:t>
      </w:r>
    </w:p>
    <w:p>
      <w:pPr>
        <w:spacing w:after="0" w:line="148" w:lineRule="exact"/>
        <w:rPr>
          <w:sz w:val="20"/>
          <w:szCs w:val="20"/>
          <w:color w:val="auto"/>
        </w:rPr>
      </w:pPr>
    </w:p>
    <w:p>
      <w:pPr>
        <w:jc w:val="both"/>
        <w:ind w:right="620"/>
        <w:spacing w:after="0" w:line="239" w:lineRule="auto"/>
        <w:rPr>
          <w:sz w:val="20"/>
          <w:szCs w:val="20"/>
          <w:color w:val="auto"/>
        </w:rPr>
      </w:pPr>
      <w:r>
        <w:rPr>
          <w:rFonts w:ascii="Calibri" w:cs="Calibri" w:eastAsia="Calibri" w:hAnsi="Calibri"/>
          <w:sz w:val="17"/>
          <w:szCs w:val="17"/>
          <w:color w:val="auto"/>
        </w:rPr>
        <w:t>In this context, the Efciency Rato stood at 44.9% in 1H25, in line with guidance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1543685</wp:posOffset>
            </wp:positionV>
            <wp:extent cx="7137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725805</wp:posOffset>
            </wp:positionV>
            <wp:extent cx="6525895" cy="594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25895" cy="594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960"/>
        <w:spacing w:after="0"/>
        <w:rPr>
          <w:sz w:val="20"/>
          <w:szCs w:val="20"/>
          <w:color w:val="auto"/>
        </w:rPr>
      </w:pPr>
      <w:r>
        <w:rPr>
          <w:rFonts w:ascii="Calibri" w:cs="Calibri" w:eastAsia="Calibri" w:hAnsi="Calibri"/>
          <w:sz w:val="14"/>
          <w:szCs w:val="14"/>
          <w:color w:val="ED3FA8"/>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391160</wp:posOffset>
            </wp:positionV>
            <wp:extent cx="2511425" cy="17265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1425" cy="172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Calibri" w:cs="Calibri" w:eastAsia="Calibri" w:hAnsi="Calibri"/>
          <w:sz w:val="14"/>
          <w:szCs w:val="14"/>
          <w:b w:val="1"/>
          <w:bCs w:val="1"/>
          <w:color w:val="auto"/>
        </w:rPr>
        <w:t>Insurance Underwritng Result*</w:t>
      </w:r>
    </w:p>
    <w:p>
      <w:pPr>
        <w:jc w:val="center"/>
        <w:ind w:right="-199"/>
        <w:spacing w:after="0" w:line="237" w:lineRule="auto"/>
        <w:rPr>
          <w:sz w:val="20"/>
          <w:szCs w:val="20"/>
          <w:color w:val="auto"/>
        </w:rPr>
      </w:pPr>
      <w:r>
        <w:rPr>
          <w:rFonts w:ascii="Calibri" w:cs="Calibri" w:eastAsia="Calibri" w:hAnsi="Calibri"/>
          <w:sz w:val="14"/>
          <w:szCs w:val="14"/>
          <w:b w:val="1"/>
          <w:bCs w:val="1"/>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119380</wp:posOffset>
            </wp:positionV>
            <wp:extent cx="2379345" cy="1916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79345"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alibri" w:cs="Calibri" w:eastAsia="Calibri" w:hAnsi="Calibri"/>
          <w:sz w:val="10"/>
          <w:szCs w:val="10"/>
          <w:color w:val="auto"/>
        </w:rPr>
        <w:t>*Totals may difer from the sum of the parts due to eliminatons in PGA consolidaton.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133350</wp:posOffset>
            </wp:positionV>
            <wp:extent cx="2420620" cy="1346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0620" cy="1346200"/>
                    </a:xfrm>
                    <a:prstGeom prst="rect">
                      <a:avLst/>
                    </a:prstGeom>
                    <a:noFill/>
                  </pic:spPr>
                </pic:pic>
              </a:graphicData>
            </a:graphic>
          </wp:anchor>
        </w:drawing>
      </w:r>
    </w:p>
    <w:p>
      <w:pPr>
        <w:sectPr>
          <w:pgSz w:w="11900" w:h="16838" w:orient="portrait"/>
          <w:cols w:equalWidth="0" w:num="2">
            <w:col w:w="6020" w:space="720"/>
            <w:col w:w="3620"/>
          </w:cols>
          <w:pgMar w:left="320" w:top="444" w:right="1219" w:bottom="1440" w:gutter="0" w:footer="0" w:header="0"/>
        </w:sectPr>
      </w:pPr>
    </w:p>
    <w:bookmarkStart w:id="10" w:name="page11"/>
    <w:bookmarkEnd w:id="10"/>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Net Earnings Atributable to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-169545</wp:posOffset>
            </wp:positionV>
            <wp:extent cx="2585720" cy="1421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5720" cy="1421130"/>
                    </a:xfrm>
                    <a:prstGeom prst="rect">
                      <a:avLst/>
                    </a:prstGeom>
                    <a:noFill/>
                  </pic:spPr>
                </pic:pic>
              </a:graphicData>
            </a:graphic>
          </wp:anchor>
        </w:drawing>
      </w:r>
    </w:p>
    <w:p>
      <w:pPr>
        <w:spacing w:after="0" w:line="185" w:lineRule="exact"/>
        <w:rPr>
          <w:sz w:val="20"/>
          <w:szCs w:val="20"/>
          <w:color w:val="auto"/>
        </w:rPr>
      </w:pPr>
    </w:p>
    <w:p>
      <w:pPr>
        <w:jc w:val="both"/>
        <w:ind w:right="5660"/>
        <w:spacing w:after="0"/>
        <w:rPr>
          <w:sz w:val="20"/>
          <w:szCs w:val="20"/>
          <w:color w:val="auto"/>
        </w:rPr>
      </w:pPr>
      <w:r>
        <w:rPr>
          <w:rFonts w:ascii="Calibri" w:cs="Calibri" w:eastAsia="Calibri" w:hAnsi="Calibri"/>
          <w:sz w:val="17"/>
          <w:szCs w:val="17"/>
          <w:color w:val="auto"/>
        </w:rPr>
        <w:t>In 2Q25, net earnings atributable to Credicorp totaled S/1,822.0 million (+2.5% QoQ and +36.1% YoY). This evoluton was supported by strong results in all our lines of business. Net shareholders’ equity stood at S/34,459 million (-3.9% QoQ and +6.3% YoY). In this context, ROE stands at 20.7%. This result includes a positve 120 bps impact related to a relevant gain in BCP’s investment portolio.</w:t>
      </w:r>
    </w:p>
    <w:p>
      <w:pPr>
        <w:spacing w:after="0" w:line="147" w:lineRule="exact"/>
        <w:rPr>
          <w:sz w:val="20"/>
          <w:szCs w:val="20"/>
          <w:color w:val="auto"/>
        </w:rPr>
      </w:pPr>
    </w:p>
    <w:p>
      <w:pPr>
        <w:jc w:val="both"/>
        <w:ind w:right="5660"/>
        <w:spacing w:after="0" w:line="239" w:lineRule="auto"/>
        <w:rPr>
          <w:sz w:val="20"/>
          <w:szCs w:val="20"/>
          <w:color w:val="auto"/>
        </w:rPr>
      </w:pPr>
      <w:r>
        <w:rPr>
          <w:rFonts w:ascii="Calibri" w:cs="Calibri" w:eastAsia="Calibri" w:hAnsi="Calibri"/>
          <w:sz w:val="17"/>
          <w:szCs w:val="17"/>
          <w:color w:val="auto"/>
        </w:rPr>
        <w:t>YTD, net earnings atributable to Credicorp increased 26.3%. Consequently, ROE for 1H25 stood at 20.9%. If we exclude the impact of extraordinary gains related to Banmedica’s transacton, ROE stands at 20.0%.</w:t>
      </w:r>
    </w:p>
    <w:p>
      <w:pPr>
        <w:spacing w:after="0" w:line="391" w:lineRule="exact"/>
        <w:rPr>
          <w:sz w:val="20"/>
          <w:szCs w:val="20"/>
          <w:color w:val="auto"/>
        </w:rPr>
      </w:pPr>
    </w:p>
    <w:p>
      <w:pPr>
        <w:jc w:val="center"/>
        <w:ind w:right="60"/>
        <w:spacing w:after="0"/>
        <w:rPr>
          <w:sz w:val="20"/>
          <w:szCs w:val="20"/>
          <w:color w:val="auto"/>
        </w:rPr>
      </w:pPr>
      <w:r>
        <w:rPr>
          <w:rFonts w:ascii="Calibri" w:cs="Calibri" w:eastAsia="Calibri" w:hAnsi="Calibri"/>
          <w:sz w:val="24"/>
          <w:szCs w:val="24"/>
          <w:b w:val="1"/>
          <w:bCs w:val="1"/>
          <w:color w:val="2AD2C8"/>
        </w:rPr>
        <w:t>Contributons and ROE by subsidiary in 2Q25</w:t>
      </w:r>
    </w:p>
    <w:p>
      <w:pPr>
        <w:spacing w:after="0" w:line="3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2AD2C8"/>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140970</wp:posOffset>
            </wp:positionV>
            <wp:extent cx="5485130" cy="26022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5130" cy="260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hanging="236"/>
        <w:spacing w:after="0" w:line="236"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In BCP Stand-alone, the fgure is lower than the net proft since the contributon eliminates investment gains in other subsidiaries of Credicorp (Mibanco). ROE excludes the impact of 200 bps related to the relevant gain associated with the sovereign bond exchange.</w:t>
      </w:r>
    </w:p>
    <w:p>
      <w:pPr>
        <w:ind w:left="240" w:hanging="236"/>
        <w:spacing w:after="0" w:line="232"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In Mibanco, the fgure is less than the net proft because Credicorp owns (directly and indirectly) 99.921% of Mibanco.</w:t>
      </w:r>
    </w:p>
    <w:p>
      <w:pPr>
        <w:ind w:left="240" w:hanging="236"/>
        <w:spacing w:after="0" w:line="232"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The contributon for Grupo Pacifco presented here is greater than the proft of Pacifco Seguros since 100% of Crediseguros is being included (including 48% under Grupo Crédito).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808355</wp:posOffset>
            </wp:positionV>
            <wp:extent cx="71374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130810</wp:posOffset>
            </wp:positionV>
            <wp:extent cx="6525895" cy="578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25895" cy="578485"/>
                    </a:xfrm>
                    <a:prstGeom prst="rect">
                      <a:avLst/>
                    </a:prstGeom>
                    <a:noFill/>
                  </pic:spPr>
                </pic:pic>
              </a:graphicData>
            </a:graphic>
          </wp:anchor>
        </w:drawing>
      </w:r>
    </w:p>
    <w:p>
      <w:pPr>
        <w:sectPr>
          <w:pgSz w:w="11900" w:h="16838" w:orient="portrait"/>
          <w:cols w:equalWidth="0" w:num="1">
            <w:col w:w="11060"/>
          </w:cols>
          <w:pgMar w:left="320" w:top="444" w:right="519" w:bottom="1440" w:gutter="0" w:footer="0" w:header="0"/>
        </w:sectPr>
      </w:pPr>
    </w:p>
    <w:bookmarkStart w:id="11" w:name="page12"/>
    <w:bookmarkEnd w:id="11"/>
    <w:p>
      <w:pPr>
        <w:ind w:left="2520"/>
        <w:spacing w:after="0"/>
        <w:tabs>
          <w:tab w:leader="none" w:pos="2960" w:val="left"/>
          <w:tab w:leader="none" w:pos="762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393065</wp:posOffset>
            </wp:positionV>
            <wp:extent cx="7129145" cy="561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9145" cy="56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860" w:type="dxa"/>
        <w:tblCellMar>
          <w:top w:w="0" w:type="dxa"/>
          <w:left w:w="0" w:type="dxa"/>
          <w:bottom w:w="0" w:type="dxa"/>
          <w:right w:w="0" w:type="dxa"/>
        </w:tblCellMar>
      </w:tblPr>
      <w:tr>
        <w:trPr>
          <w:trHeight w:val="256"/>
        </w:trPr>
        <w:tc>
          <w:tcPr>
            <w:tcW w:w="3800" w:type="dxa"/>
            <w:vAlign w:val="bottom"/>
          </w:tcPr>
          <w:p>
            <w:pPr>
              <w:spacing w:after="0"/>
              <w:rPr>
                <w:sz w:val="20"/>
                <w:szCs w:val="20"/>
                <w:color w:val="auto"/>
              </w:rPr>
            </w:pPr>
            <w:r>
              <w:rPr>
                <w:rFonts w:ascii="Calibri" w:cs="Calibri" w:eastAsia="Calibri" w:hAnsi="Calibri"/>
                <w:sz w:val="21"/>
                <w:szCs w:val="21"/>
                <w:b w:val="1"/>
                <w:bCs w:val="1"/>
                <w:color w:val="FFFFFF"/>
              </w:rPr>
              <w:t>Universal Banking</w:t>
            </w:r>
          </w:p>
        </w:tc>
        <w:tc>
          <w:tcPr>
            <w:tcW w:w="3400" w:type="dxa"/>
            <w:vAlign w:val="bottom"/>
            <w:vMerge w:val="restart"/>
          </w:tcPr>
          <w:p>
            <w:pPr>
              <w:ind w:left="2260"/>
              <w:spacing w:after="0"/>
              <w:rPr>
                <w:sz w:val="20"/>
                <w:szCs w:val="20"/>
                <w:color w:val="auto"/>
              </w:rPr>
            </w:pPr>
            <w:r>
              <w:rPr>
                <w:rFonts w:ascii="Calibri" w:cs="Calibri" w:eastAsia="Calibri" w:hAnsi="Calibri"/>
                <w:sz w:val="21"/>
                <w:szCs w:val="21"/>
                <w:b w:val="1"/>
                <w:bCs w:val="1"/>
                <w:color w:val="FFFFFF"/>
              </w:rPr>
              <w:t>Microfnance</w:t>
            </w:r>
          </w:p>
        </w:tc>
        <w:tc>
          <w:tcPr>
            <w:tcW w:w="0" w:type="dxa"/>
            <w:vAlign w:val="bottom"/>
          </w:tcPr>
          <w:p>
            <w:pPr>
              <w:spacing w:after="0"/>
              <w:rPr>
                <w:sz w:val="1"/>
                <w:szCs w:val="1"/>
                <w:color w:val="auto"/>
              </w:rPr>
            </w:pPr>
          </w:p>
        </w:tc>
      </w:tr>
      <w:tr>
        <w:trPr>
          <w:trHeight w:val="65"/>
        </w:trPr>
        <w:tc>
          <w:tcPr>
            <w:tcW w:w="380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361315</wp:posOffset>
            </wp:positionV>
            <wp:extent cx="7133590" cy="14751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475105"/>
                    </a:xfrm>
                    <a:prstGeom prst="rect">
                      <a:avLst/>
                    </a:prstGeom>
                    <a:noFill/>
                  </pic:spPr>
                </pic:pic>
              </a:graphicData>
            </a:graphic>
          </wp:anchor>
        </w:drawing>
      </w:r>
    </w:p>
    <w:p>
      <w:pPr>
        <w:sectPr>
          <w:pgSz w:w="11900" w:h="16838" w:orient="portrait"/>
          <w:cols w:equalWidth="0" w:num="1">
            <w:col w:w="11100"/>
          </w:cols>
          <w:pgMar w:left="380" w:top="44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1" w:lineRule="auto"/>
        <w:rPr>
          <w:sz w:val="20"/>
          <w:szCs w:val="20"/>
          <w:color w:val="auto"/>
        </w:rPr>
      </w:pPr>
      <w:r>
        <w:rPr>
          <w:rFonts w:ascii="Calibri" w:cs="Calibri" w:eastAsia="Calibri" w:hAnsi="Calibri"/>
          <w:sz w:val="19"/>
          <w:szCs w:val="19"/>
          <w:color w:val="auto"/>
        </w:rPr>
        <w:t>BCP posted a noteworthy proftability this quarter, supported by a low level of the cost of risk and a resilient NIM, on the back of economic recovery and a decrease in the cost of funding, respectvely. Core income remained solid, underpinned by a growing and diversifed revenue base. Other Non-Core Income benefted from gains related to a sovereign bond exchange. Operatng efciency remained strong, with expenses well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401320</wp:posOffset>
            </wp:positionV>
            <wp:extent cx="3420110" cy="231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011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20"/>
        <w:spacing w:after="0"/>
        <w:rPr>
          <w:sz w:val="20"/>
          <w:szCs w:val="20"/>
          <w:color w:val="auto"/>
        </w:rPr>
      </w:pPr>
      <w:r>
        <w:rPr>
          <w:rFonts w:ascii="Calibri" w:cs="Calibri" w:eastAsia="Calibri" w:hAnsi="Calibri"/>
          <w:sz w:val="21"/>
          <w:szCs w:val="21"/>
          <w:b w:val="1"/>
          <w:bCs w:val="1"/>
          <w:color w:val="FFFFFF"/>
        </w:rPr>
        <w:t>Insurance and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3424555" cy="1780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4555" cy="178054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both"/>
        <w:spacing w:after="0" w:line="255" w:lineRule="auto"/>
        <w:rPr>
          <w:sz w:val="20"/>
          <w:szCs w:val="20"/>
          <w:color w:val="auto"/>
        </w:rPr>
      </w:pPr>
      <w:r>
        <w:rPr>
          <w:rFonts w:ascii="Calibri" w:cs="Calibri" w:eastAsia="Calibri" w:hAnsi="Calibri"/>
          <w:sz w:val="18"/>
          <w:szCs w:val="18"/>
          <w:color w:val="auto"/>
        </w:rPr>
        <w:t>Net income at Grupo Pacífco refect solid underlying business performance, partcularly in the Life and General Insurance segments, which contnue to deliver strong underwritng results. The consolidaton of Empresas Banmédica’s operatons has further strengthened Medical Services. These positve dynamics were partally ofset by the impact of a credit downgrade on a couple of assets in the investment portolio.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4" w:lineRule="auto"/>
        <w:rPr>
          <w:sz w:val="20"/>
          <w:szCs w:val="20"/>
          <w:color w:val="auto"/>
        </w:rPr>
      </w:pPr>
      <w:r>
        <w:rPr>
          <w:rFonts w:ascii="Calibri" w:cs="Calibri" w:eastAsia="Calibri" w:hAnsi="Calibri"/>
          <w:sz w:val="18"/>
          <w:szCs w:val="18"/>
          <w:color w:val="auto"/>
        </w:rPr>
        <w:t>Proftability at Mibanco rose YoY, driven mainly by a rebound in disbursements; strengthened risk management; and efectve interest-rate strategies. NIM remained strong, fueled by actve management of loan pricing and a reducton in the funding cost.</w:t>
      </w:r>
    </w:p>
    <w:p>
      <w:pPr>
        <w:spacing w:after="0" w:line="150" w:lineRule="exact"/>
        <w:rPr>
          <w:sz w:val="20"/>
          <w:szCs w:val="20"/>
          <w:color w:val="auto"/>
        </w:rPr>
      </w:pPr>
    </w:p>
    <w:p>
      <w:pPr>
        <w:jc w:val="both"/>
        <w:spacing w:after="0" w:line="254" w:lineRule="auto"/>
        <w:rPr>
          <w:sz w:val="20"/>
          <w:szCs w:val="20"/>
          <w:color w:val="auto"/>
        </w:rPr>
      </w:pPr>
      <w:r>
        <w:rPr>
          <w:rFonts w:ascii="Calibri" w:cs="Calibri" w:eastAsia="Calibri" w:hAnsi="Calibri"/>
          <w:sz w:val="18"/>
          <w:szCs w:val="18"/>
          <w:color w:val="auto"/>
        </w:rPr>
        <w:t>Results at Mibanco Colombia contnued to improve on the back of turnaround measures taken last year and a more supportve environment for the microfnance sector. Growth remained stable and the risk levels, controlled.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245745</wp:posOffset>
            </wp:positionV>
            <wp:extent cx="3420110" cy="7270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0110" cy="72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Calibri" w:cs="Calibri" w:eastAsia="Calibri" w:hAnsi="Calibri"/>
          <w:sz w:val="21"/>
          <w:szCs w:val="21"/>
          <w:b w:val="1"/>
          <w:bCs w:val="1"/>
          <w:color w:val="FFFFFF"/>
        </w:rPr>
        <w:t>Investment Management and</w:t>
      </w:r>
    </w:p>
    <w:p>
      <w:pPr>
        <w:spacing w:after="0" w:line="4" w:lineRule="exact"/>
        <w:rPr>
          <w:sz w:val="20"/>
          <w:szCs w:val="20"/>
          <w:color w:val="auto"/>
        </w:rPr>
      </w:pPr>
    </w:p>
    <w:p>
      <w:pPr>
        <w:jc w:val="center"/>
        <w:ind w:right="-259"/>
        <w:spacing w:after="0"/>
        <w:rPr>
          <w:sz w:val="20"/>
          <w:szCs w:val="20"/>
          <w:color w:val="auto"/>
        </w:rPr>
      </w:pPr>
      <w:r>
        <w:rPr>
          <w:rFonts w:ascii="Calibri" w:cs="Calibri" w:eastAsia="Calibri" w:hAnsi="Calibri"/>
          <w:sz w:val="21"/>
          <w:szCs w:val="21"/>
          <w:b w:val="1"/>
          <w:bCs w:val="1"/>
          <w:color w:val="FFFFFF"/>
        </w:rPr>
        <w:t>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402590</wp:posOffset>
            </wp:positionV>
            <wp:extent cx="3424555" cy="1193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4555" cy="119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5" w:lineRule="auto"/>
        <w:rPr>
          <w:sz w:val="20"/>
          <w:szCs w:val="20"/>
          <w:color w:val="auto"/>
        </w:rPr>
      </w:pPr>
      <w:r>
        <w:rPr>
          <w:rFonts w:ascii="Calibri" w:cs="Calibri" w:eastAsia="Calibri" w:hAnsi="Calibri"/>
          <w:sz w:val="18"/>
          <w:szCs w:val="18"/>
          <w:color w:val="auto"/>
        </w:rPr>
        <w:t>Operatng proftability in the Investment Management and Advisory line of business remained resilient in 2Q25. Core income- generatng businesses delivered robust results this quarter, refectng broad-based business strength that helped partally ofset the absence of last year’s one-of income from our now-discontnued Corporate Finance Business. Our Asset Management and Wealth Management businesses reported signifcant growth in AUMs.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269875</wp:posOffset>
            </wp:positionV>
            <wp:extent cx="7137400" cy="1619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7400" cy="1619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600"/>
            <w:col w:w="5240"/>
          </w:cols>
          <w:pgMar w:left="380" w:top="444" w:right="41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Calibri" w:cs="Calibri" w:eastAsia="Calibri" w:hAnsi="Calibri"/>
          <w:sz w:val="21"/>
          <w:szCs w:val="21"/>
          <w:b w:val="1"/>
          <w:bCs w:val="1"/>
          <w:color w:val="FFFFFF"/>
        </w:rPr>
        <w:t>Outlook</w:t>
      </w:r>
    </w:p>
    <w:p>
      <w:pPr>
        <w:spacing w:after="0" w:line="200" w:lineRule="exact"/>
        <w:rPr>
          <w:sz w:val="20"/>
          <w:szCs w:val="20"/>
          <w:color w:val="auto"/>
        </w:rPr>
      </w:pPr>
    </w:p>
    <w:p>
      <w:pPr>
        <w:spacing w:after="0" w:line="379" w:lineRule="exact"/>
        <w:rPr>
          <w:sz w:val="20"/>
          <w:szCs w:val="20"/>
          <w:color w:val="auto"/>
        </w:rPr>
      </w:pPr>
    </w:p>
    <w:p>
      <w:pPr>
        <w:ind w:left="2340"/>
        <w:spacing w:after="0"/>
        <w:rPr>
          <w:sz w:val="20"/>
          <w:szCs w:val="20"/>
          <w:color w:val="auto"/>
        </w:rPr>
      </w:pPr>
      <w:r>
        <w:rPr>
          <w:rFonts w:ascii="Calibri" w:cs="Calibri" w:eastAsia="Calibri" w:hAnsi="Calibri"/>
          <w:sz w:val="18"/>
          <w:szCs w:val="18"/>
          <w:color w:val="auto"/>
        </w:rPr>
        <w:t>We revised our 2025 ROE guidance to around 19.0%. We antcipate that this result will be</w:t>
      </w:r>
    </w:p>
    <w:p>
      <w:pPr>
        <w:spacing w:after="0" w:line="27"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driven by: (i) acceleraton of our loan portolio growth, partcularly in the retail segment, (ii) the resilience of our NIM, and (iii) a lower than initally</w:t>
      </w:r>
    </w:p>
    <w:p>
      <w:pPr>
        <w:spacing w:after="0" w:line="14"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expected cost of risk.</w:t>
      </w:r>
    </w:p>
    <w:p>
      <w:pPr>
        <w:spacing w:after="0" w:line="265" w:lineRule="exact"/>
        <w:rPr>
          <w:sz w:val="20"/>
          <w:szCs w:val="20"/>
          <w:color w:val="auto"/>
        </w:rPr>
      </w:pPr>
    </w:p>
    <w:p>
      <w:pPr>
        <w:jc w:val="center"/>
        <w:ind w:left="760" w:right="300"/>
        <w:spacing w:after="0" w:line="252" w:lineRule="auto"/>
        <w:rPr>
          <w:sz w:val="20"/>
          <w:szCs w:val="20"/>
          <w:color w:val="auto"/>
        </w:rPr>
      </w:pPr>
      <w:r>
        <w:rPr>
          <w:rFonts w:ascii="Calibri" w:cs="Calibri" w:eastAsia="Calibri" w:hAnsi="Calibri"/>
          <w:sz w:val="18"/>
          <w:szCs w:val="18"/>
          <w:color w:val="auto"/>
        </w:rPr>
        <w:t>We have also raised our long-term ROE target to 19.5%, driven by stronger retail loan growth dynamics, an improvement in risk-adjusted NIM and enhanced expectatons for diversifed sources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848995</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163830</wp:posOffset>
            </wp:positionV>
            <wp:extent cx="6517640" cy="545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17640" cy="545465"/>
                    </a:xfrm>
                    <a:prstGeom prst="rect">
                      <a:avLst/>
                    </a:prstGeom>
                    <a:noFill/>
                  </pic:spPr>
                </pic:pic>
              </a:graphicData>
            </a:graphic>
          </wp:anchor>
        </w:drawing>
      </w:r>
    </w:p>
    <w:p>
      <w:pPr>
        <w:sectPr>
          <w:pgSz w:w="11900" w:h="16838" w:orient="portrait"/>
          <w:cols w:equalWidth="0" w:num="1">
            <w:col w:w="11100"/>
          </w:cols>
          <w:pgMar w:left="380" w:top="444" w:right="419" w:bottom="1440" w:gutter="0" w:footer="0" w:header="0"/>
          <w:type w:val="continuous"/>
        </w:sectPr>
      </w:pPr>
    </w:p>
    <w:bookmarkStart w:id="12" w:name="page13"/>
    <w:bookmarkEnd w:id="12"/>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01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80137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FFFFFF"/>
        </w:rPr>
        <w:t>Financial Overview</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76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Credicorp Ltd.</w:t>
            </w:r>
          </w:p>
        </w:tc>
        <w:tc>
          <w:tcPr>
            <w:tcW w:w="1240" w:type="dxa"/>
            <w:vAlign w:val="bottom"/>
            <w:tcBorders>
              <w:top w:val="single" w:sz="8" w:color="auto"/>
            </w:tcBorders>
            <w:shd w:val="clear" w:color="auto" w:fill="33CCCC"/>
          </w:tcPr>
          <w:p>
            <w:pPr>
              <w:spacing w:after="0"/>
              <w:rPr>
                <w:sz w:val="13"/>
                <w:szCs w:val="13"/>
                <w:color w:val="auto"/>
              </w:rPr>
            </w:pPr>
          </w:p>
        </w:tc>
        <w:tc>
          <w:tcPr>
            <w:tcW w:w="1240" w:type="dxa"/>
            <w:vAlign w:val="bottom"/>
            <w:tcBorders>
              <w:top w:val="single" w:sz="8" w:color="auto"/>
            </w:tcBorders>
            <w:shd w:val="clear" w:color="auto" w:fill="33CCCC"/>
          </w:tcPr>
          <w:p>
            <w:pPr>
              <w:ind w:left="440"/>
              <w:spacing w:after="0"/>
              <w:rPr>
                <w:sz w:val="20"/>
                <w:szCs w:val="20"/>
                <w:color w:val="auto"/>
              </w:rPr>
            </w:pPr>
            <w:r>
              <w:rPr>
                <w:rFonts w:ascii="Calibri" w:cs="Calibri" w:eastAsia="Calibri" w:hAnsi="Calibri"/>
                <w:sz w:val="12"/>
                <w:szCs w:val="12"/>
                <w:color w:val="FFFFFF"/>
              </w:rPr>
              <w:t>Quarter</w:t>
            </w:r>
          </w:p>
        </w:tc>
        <w:tc>
          <w:tcPr>
            <w:tcW w:w="1240" w:type="dxa"/>
            <w:vAlign w:val="bottom"/>
            <w:tcBorders>
              <w:top w:val="single" w:sz="8" w:color="auto"/>
              <w:right w:val="single" w:sz="8" w:color="auto"/>
            </w:tcBorders>
            <w:shd w:val="clear" w:color="auto" w:fill="33CCCC"/>
          </w:tcPr>
          <w:p>
            <w:pPr>
              <w:spacing w:after="0"/>
              <w:rPr>
                <w:sz w:val="13"/>
                <w:szCs w:val="13"/>
                <w:color w:val="auto"/>
              </w:rPr>
            </w:pPr>
          </w:p>
        </w:tc>
        <w:tc>
          <w:tcPr>
            <w:tcW w:w="1420" w:type="dxa"/>
            <w:vAlign w:val="bottom"/>
            <w:tcBorders>
              <w:top w:val="single" w:sz="8" w:color="auto"/>
              <w:right w:val="single" w:sz="8" w:color="auto"/>
            </w:tcBorders>
            <w:gridSpan w:val="2"/>
            <w:shd w:val="clear" w:color="auto" w:fill="33CCCC"/>
          </w:tcPr>
          <w:p>
            <w:pPr>
              <w:ind w:left="460"/>
              <w:spacing w:after="0"/>
              <w:rPr>
                <w:sz w:val="20"/>
                <w:szCs w:val="20"/>
                <w:color w:val="auto"/>
              </w:rPr>
            </w:pPr>
            <w:r>
              <w:rPr>
                <w:rFonts w:ascii="Calibri" w:cs="Calibri" w:eastAsia="Calibri" w:hAnsi="Calibri"/>
                <w:sz w:val="12"/>
                <w:szCs w:val="12"/>
                <w:b w:val="1"/>
                <w:bCs w:val="1"/>
                <w:color w:val="FFFFFF"/>
              </w:rPr>
              <w:t>% change</w:t>
            </w:r>
          </w:p>
        </w:tc>
        <w:tc>
          <w:tcPr>
            <w:tcW w:w="1040" w:type="dxa"/>
            <w:vAlign w:val="bottom"/>
            <w:tcBorders>
              <w:top w:val="single" w:sz="8" w:color="auto"/>
            </w:tcBorders>
            <w:shd w:val="clear" w:color="auto" w:fill="33CCCC"/>
          </w:tcPr>
          <w:p>
            <w:pPr>
              <w:spacing w:after="0"/>
              <w:rPr>
                <w:sz w:val="13"/>
                <w:szCs w:val="13"/>
                <w:color w:val="auto"/>
              </w:rPr>
            </w:pPr>
          </w:p>
        </w:tc>
        <w:tc>
          <w:tcPr>
            <w:tcW w:w="1540" w:type="dxa"/>
            <w:vAlign w:val="bottom"/>
            <w:tcBorders>
              <w:top w:val="single" w:sz="8" w:color="auto"/>
              <w:right w:val="single" w:sz="8" w:color="auto"/>
            </w:tcBorders>
            <w:shd w:val="clear" w:color="auto" w:fill="33CCCC"/>
          </w:tcPr>
          <w:p>
            <w:pPr>
              <w:ind w:left="100"/>
              <w:spacing w:after="0"/>
              <w:rPr>
                <w:sz w:val="20"/>
                <w:szCs w:val="20"/>
                <w:color w:val="auto"/>
              </w:rPr>
            </w:pPr>
            <w:r>
              <w:rPr>
                <w:rFonts w:ascii="Calibri" w:cs="Calibri" w:eastAsia="Calibri" w:hAnsi="Calibri"/>
                <w:sz w:val="12"/>
                <w:szCs w:val="12"/>
                <w:b w:val="1"/>
                <w:bCs w:val="1"/>
                <w:color w:val="FFFFFF"/>
              </w:rPr>
              <w:t>Up to</w:t>
            </w:r>
          </w:p>
        </w:tc>
        <w:tc>
          <w:tcPr>
            <w:tcW w:w="7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w w:val="97"/>
              </w:rPr>
              <w:t>% change</w:t>
            </w:r>
          </w:p>
        </w:tc>
      </w:tr>
      <w:tr>
        <w:trPr>
          <w:trHeight w:val="143"/>
        </w:trPr>
        <w:tc>
          <w:tcPr>
            <w:tcW w:w="2760" w:type="dxa"/>
            <w:vAlign w:val="bottom"/>
            <w:tcBorders>
              <w:left w:val="single" w:sz="8" w:color="auto"/>
              <w:bottom w:val="single" w:sz="8" w:color="auto"/>
              <w:right w:val="single" w:sz="8" w:color="auto"/>
            </w:tcBorders>
            <w:shd w:val="clear" w:color="auto" w:fill="33CCCC"/>
          </w:tcPr>
          <w:p>
            <w:pPr>
              <w:ind w:left="20"/>
              <w:spacing w:after="0" w:line="143" w:lineRule="exact"/>
              <w:rPr>
                <w:sz w:val="20"/>
                <w:szCs w:val="20"/>
                <w:color w:val="auto"/>
              </w:rPr>
            </w:pPr>
            <w:r>
              <w:rPr>
                <w:rFonts w:ascii="Calibri" w:cs="Calibri" w:eastAsia="Calibri" w:hAnsi="Calibri"/>
                <w:sz w:val="12"/>
                <w:szCs w:val="12"/>
                <w:b w:val="1"/>
                <w:bCs w:val="1"/>
                <w:color w:val="FFFFFF"/>
              </w:rPr>
              <w:t>S/ 000</w:t>
            </w:r>
          </w:p>
        </w:tc>
        <w:tc>
          <w:tcPr>
            <w:tcW w:w="124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rPr>
              <w:t>2Q24</w:t>
            </w:r>
          </w:p>
        </w:tc>
        <w:tc>
          <w:tcPr>
            <w:tcW w:w="124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1Q25</w:t>
            </w:r>
          </w:p>
        </w:tc>
        <w:tc>
          <w:tcPr>
            <w:tcW w:w="124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2Q25</w:t>
            </w:r>
          </w:p>
        </w:tc>
        <w:tc>
          <w:tcPr>
            <w:tcW w:w="720" w:type="dxa"/>
            <w:vAlign w:val="bottom"/>
            <w:tcBorders>
              <w:bottom w:val="single" w:sz="8" w:color="auto"/>
            </w:tcBorders>
            <w:shd w:val="clear" w:color="auto" w:fill="33CCCC"/>
          </w:tcPr>
          <w:p>
            <w:pPr>
              <w:ind w:left="240"/>
              <w:spacing w:after="0" w:line="143" w:lineRule="exact"/>
              <w:rPr>
                <w:sz w:val="20"/>
                <w:szCs w:val="20"/>
                <w:color w:val="auto"/>
              </w:rPr>
            </w:pPr>
            <w:r>
              <w:rPr>
                <w:rFonts w:ascii="Calibri" w:cs="Calibri" w:eastAsia="Calibri" w:hAnsi="Calibri"/>
                <w:sz w:val="12"/>
                <w:szCs w:val="12"/>
                <w:b w:val="1"/>
                <w:bCs w:val="1"/>
                <w:color w:val="FFFFFF"/>
              </w:rPr>
              <w:t>QoQ</w:t>
            </w:r>
          </w:p>
        </w:tc>
        <w:tc>
          <w:tcPr>
            <w:tcW w:w="70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4"/>
              </w:rPr>
              <w:t>YoY</w:t>
            </w:r>
          </w:p>
        </w:tc>
        <w:tc>
          <w:tcPr>
            <w:tcW w:w="1040" w:type="dxa"/>
            <w:vAlign w:val="bottom"/>
            <w:tcBorders>
              <w:bottom w:val="single" w:sz="8" w:color="auto"/>
            </w:tcBorders>
            <w:shd w:val="clear" w:color="auto" w:fill="33CCCC"/>
          </w:tcPr>
          <w:p>
            <w:pPr>
              <w:jc w:val="center"/>
              <w:ind w:left="224"/>
              <w:spacing w:after="0" w:line="143" w:lineRule="exact"/>
              <w:rPr>
                <w:sz w:val="20"/>
                <w:szCs w:val="20"/>
                <w:color w:val="auto"/>
              </w:rPr>
            </w:pPr>
            <w:r>
              <w:rPr>
                <w:rFonts w:ascii="Calibri" w:cs="Calibri" w:eastAsia="Calibri" w:hAnsi="Calibri"/>
                <w:sz w:val="12"/>
                <w:szCs w:val="12"/>
                <w:b w:val="1"/>
                <w:bCs w:val="1"/>
                <w:color w:val="FFFFFF"/>
              </w:rPr>
              <w:t>Jun 24</w:t>
            </w:r>
          </w:p>
        </w:tc>
        <w:tc>
          <w:tcPr>
            <w:tcW w:w="1540" w:type="dxa"/>
            <w:vAlign w:val="bottom"/>
            <w:tcBorders>
              <w:bottom w:val="single" w:sz="8" w:color="auto"/>
              <w:right w:val="single" w:sz="8" w:color="auto"/>
            </w:tcBorders>
            <w:shd w:val="clear" w:color="auto" w:fill="33CCCC"/>
          </w:tcPr>
          <w:p>
            <w:pPr>
              <w:ind w:left="720"/>
              <w:spacing w:after="0" w:line="143" w:lineRule="exact"/>
              <w:rPr>
                <w:sz w:val="20"/>
                <w:szCs w:val="20"/>
                <w:color w:val="auto"/>
              </w:rPr>
            </w:pPr>
            <w:r>
              <w:rPr>
                <w:rFonts w:ascii="Calibri" w:cs="Calibri" w:eastAsia="Calibri" w:hAnsi="Calibri"/>
                <w:sz w:val="12"/>
                <w:szCs w:val="12"/>
                <w:b w:val="1"/>
                <w:bCs w:val="1"/>
                <w:color w:val="FFFFFF"/>
              </w:rPr>
              <w:t>Jun 25</w:t>
            </w:r>
          </w:p>
        </w:tc>
        <w:tc>
          <w:tcPr>
            <w:tcW w:w="78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9"/>
              </w:rPr>
              <w:t>Jun 25 / Jun 24</w:t>
            </w:r>
          </w:p>
        </w:tc>
      </w:tr>
      <w:tr>
        <w:trPr>
          <w:trHeight w:val="108"/>
        </w:trPr>
        <w:tc>
          <w:tcPr>
            <w:tcW w:w="2760" w:type="dxa"/>
            <w:vAlign w:val="bottom"/>
            <w:tcBorders>
              <w:left w:val="single" w:sz="8" w:color="auto"/>
              <w:right w:val="single" w:sz="8" w:color="auto"/>
            </w:tcBorders>
          </w:tcPr>
          <w:p>
            <w:pPr>
              <w:ind w:left="20"/>
              <w:spacing w:after="0" w:line="108" w:lineRule="exact"/>
              <w:rPr>
                <w:sz w:val="20"/>
                <w:szCs w:val="20"/>
                <w:color w:val="auto"/>
              </w:rPr>
            </w:pPr>
            <w:r>
              <w:rPr>
                <w:rFonts w:ascii="Calibri" w:cs="Calibri" w:eastAsia="Calibri" w:hAnsi="Calibri"/>
                <w:sz w:val="11"/>
                <w:szCs w:val="11"/>
                <w:color w:val="auto"/>
              </w:rPr>
              <w:t>Net interest, similar income and expenses</w:t>
            </w:r>
          </w:p>
        </w:tc>
        <w:tc>
          <w:tcPr>
            <w:tcW w:w="1240" w:type="dxa"/>
            <w:vAlign w:val="bottom"/>
          </w:tcPr>
          <w:p>
            <w:pPr>
              <w:jc w:val="center"/>
              <w:spacing w:after="0" w:line="108" w:lineRule="exact"/>
              <w:rPr>
                <w:sz w:val="20"/>
                <w:szCs w:val="20"/>
                <w:color w:val="auto"/>
              </w:rPr>
            </w:pPr>
            <w:r>
              <w:rPr>
                <w:rFonts w:ascii="Calibri" w:cs="Calibri" w:eastAsia="Calibri" w:hAnsi="Calibri"/>
                <w:sz w:val="11"/>
                <w:szCs w:val="11"/>
                <w:color w:val="auto"/>
                <w:w w:val="98"/>
              </w:rPr>
              <w:t>3,468,464</w:t>
            </w:r>
          </w:p>
        </w:tc>
        <w:tc>
          <w:tcPr>
            <w:tcW w:w="1240" w:type="dxa"/>
            <w:vAlign w:val="bottom"/>
          </w:tcPr>
          <w:p>
            <w:pPr>
              <w:jc w:val="center"/>
              <w:spacing w:after="0" w:line="108" w:lineRule="exact"/>
              <w:rPr>
                <w:sz w:val="20"/>
                <w:szCs w:val="20"/>
                <w:color w:val="auto"/>
              </w:rPr>
            </w:pPr>
            <w:r>
              <w:rPr>
                <w:rFonts w:ascii="Calibri" w:cs="Calibri" w:eastAsia="Calibri" w:hAnsi="Calibri"/>
                <w:sz w:val="11"/>
                <w:szCs w:val="11"/>
                <w:color w:val="auto"/>
              </w:rPr>
              <w:t>3,572,012</w:t>
            </w:r>
          </w:p>
        </w:tc>
        <w:tc>
          <w:tcPr>
            <w:tcW w:w="124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3,615,371</w:t>
            </w:r>
          </w:p>
        </w:tc>
        <w:tc>
          <w:tcPr>
            <w:tcW w:w="720" w:type="dxa"/>
            <w:vAlign w:val="bottom"/>
          </w:tcPr>
          <w:p>
            <w:pPr>
              <w:jc w:val="center"/>
              <w:spacing w:after="0" w:line="108" w:lineRule="exact"/>
              <w:rPr>
                <w:sz w:val="20"/>
                <w:szCs w:val="20"/>
                <w:color w:val="auto"/>
              </w:rPr>
            </w:pPr>
            <w:r>
              <w:rPr>
                <w:rFonts w:ascii="Calibri" w:cs="Calibri" w:eastAsia="Calibri" w:hAnsi="Calibri"/>
                <w:sz w:val="11"/>
                <w:szCs w:val="11"/>
                <w:color w:val="auto"/>
              </w:rPr>
              <w:t>1.2%</w:t>
            </w:r>
          </w:p>
        </w:tc>
        <w:tc>
          <w:tcPr>
            <w:tcW w:w="70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4.2%</w:t>
            </w:r>
          </w:p>
        </w:tc>
        <w:tc>
          <w:tcPr>
            <w:tcW w:w="1040" w:type="dxa"/>
            <w:vAlign w:val="bottom"/>
          </w:tcPr>
          <w:p>
            <w:pPr>
              <w:jc w:val="center"/>
              <w:ind w:left="204"/>
              <w:spacing w:after="0" w:line="108" w:lineRule="exact"/>
              <w:rPr>
                <w:sz w:val="20"/>
                <w:szCs w:val="20"/>
                <w:color w:val="auto"/>
              </w:rPr>
            </w:pPr>
            <w:r>
              <w:rPr>
                <w:rFonts w:ascii="Calibri" w:cs="Calibri" w:eastAsia="Calibri" w:hAnsi="Calibri"/>
                <w:sz w:val="11"/>
                <w:szCs w:val="11"/>
                <w:color w:val="auto"/>
              </w:rPr>
              <w:t>6,894,587</w:t>
            </w:r>
          </w:p>
        </w:tc>
        <w:tc>
          <w:tcPr>
            <w:tcW w:w="1540" w:type="dxa"/>
            <w:vAlign w:val="bottom"/>
            <w:tcBorders>
              <w:right w:val="single" w:sz="8" w:color="auto"/>
            </w:tcBorders>
          </w:tcPr>
          <w:p>
            <w:pPr>
              <w:jc w:val="center"/>
              <w:ind w:left="183"/>
              <w:spacing w:after="0" w:line="108" w:lineRule="exact"/>
              <w:rPr>
                <w:sz w:val="20"/>
                <w:szCs w:val="20"/>
                <w:color w:val="auto"/>
              </w:rPr>
            </w:pPr>
            <w:r>
              <w:rPr>
                <w:rFonts w:ascii="Calibri" w:cs="Calibri" w:eastAsia="Calibri" w:hAnsi="Calibri"/>
                <w:sz w:val="11"/>
                <w:szCs w:val="11"/>
                <w:color w:val="auto"/>
              </w:rPr>
              <w:t>7,187,383</w:t>
            </w:r>
          </w:p>
        </w:tc>
        <w:tc>
          <w:tcPr>
            <w:tcW w:w="78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4.2%</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Provision for credit losses on loan portolio, net of</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(1,093,371)</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(581,893)</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(575,159)</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-1.2%</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-47.4%</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(1,908,070)</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(1,157,052)</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-39.4%</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recoveries</w:t>
            </w:r>
          </w:p>
        </w:tc>
        <w:tc>
          <w:tcPr>
            <w:tcW w:w="1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Net interest, similar income and expenses, afer provision</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8"/>
              </w:rPr>
              <w:t>2,375,093</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2,990,119</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3,040,212</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1.7%</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28.0%</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b w:val="1"/>
                <w:bCs w:val="1"/>
                <w:color w:val="auto"/>
              </w:rPr>
              <w:t>4,986,517</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b w:val="1"/>
                <w:bCs w:val="1"/>
                <w:color w:val="auto"/>
              </w:rPr>
              <w:t>6,030,331</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b w:val="1"/>
                <w:bCs w:val="1"/>
                <w:color w:val="auto"/>
              </w:rPr>
              <w:t>20.9%</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for credit losses on loan portolio</w:t>
            </w:r>
          </w:p>
        </w:tc>
        <w:tc>
          <w:tcPr>
            <w:tcW w:w="1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Other income</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w w:val="98"/>
              </w:rPr>
              <w:t>1,591,330</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1,690,216</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1,677,373</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-0.8%</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5.4%</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2,983,889</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3,367,589</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12.9%</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Insurance underwritng result</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315,500</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329,134</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350,873</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6.6%</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11.2%</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594,562</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680,007</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14.4%</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Medical services result</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42,689</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123,319</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w w:val="96"/>
              </w:rPr>
              <w:t>188.9%</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6"/>
              </w:rPr>
              <w:t>n.a.</w:t>
            </w:r>
          </w:p>
        </w:tc>
        <w:tc>
          <w:tcPr>
            <w:tcW w:w="1040" w:type="dxa"/>
            <w:vAlign w:val="bottom"/>
          </w:tcPr>
          <w:p>
            <w:pPr>
              <w:jc w:val="center"/>
              <w:ind w:left="204"/>
              <w:spacing w:after="0"/>
              <w:rPr>
                <w:sz w:val="20"/>
                <w:szCs w:val="20"/>
                <w:color w:val="auto"/>
              </w:rPr>
            </w:pPr>
            <w:r>
              <w:rPr>
                <w:rFonts w:ascii="Calibri" w:cs="Calibri" w:eastAsia="Calibri" w:hAnsi="Calibri"/>
                <w:sz w:val="9"/>
                <w:szCs w:val="9"/>
                <w:color w:val="auto"/>
                <w:w w:val="70"/>
              </w:rPr>
              <w:t>-</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166,008</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n.a.</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Total expenses</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(2,395,205)</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(2,532,874)</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(2,630,310)</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3.8%</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9.8%</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(4,607,687)</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(5,163,184)</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12.1%</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Proft before income tax</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8"/>
              </w:rPr>
              <w:t>1,886,718</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2,519,284</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2,561,467</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1.7%</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35.8%</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b w:val="1"/>
                <w:bCs w:val="1"/>
                <w:color w:val="auto"/>
              </w:rPr>
              <w:t>3,957,281</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b w:val="1"/>
                <w:bCs w:val="1"/>
                <w:color w:val="auto"/>
              </w:rPr>
              <w:t>5,080,751</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b w:val="1"/>
                <w:bCs w:val="1"/>
                <w:color w:val="auto"/>
              </w:rPr>
              <w:t>28.4%</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Income tax</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(519,344)</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(704,469)</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(696,969)</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-1.1%</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34.2%</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(1,047,810)</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(1,401,438)</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33.7%</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Net proft</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8"/>
              </w:rPr>
              <w:t>1,367,374</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1,814,815</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1,864,498</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2.7%</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36.4%</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b w:val="1"/>
                <w:bCs w:val="1"/>
                <w:color w:val="auto"/>
              </w:rPr>
              <w:t>2,909,471</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b w:val="1"/>
                <w:bCs w:val="1"/>
                <w:color w:val="auto"/>
              </w:rPr>
              <w:t>3,679,313</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b w:val="1"/>
                <w:bCs w:val="1"/>
                <w:color w:val="auto"/>
              </w:rPr>
              <w:t>26.5%</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Non-controlling interest</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28,278</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37,118</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42,483</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14.5%</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50.2%</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w w:val="97"/>
              </w:rPr>
              <w:t>58,718</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79,601</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35.6%</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Net proft atributable to Credicorp</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8"/>
              </w:rPr>
              <w:t>1,339,096</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1,777,697</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1,822,015</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2.5%</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36.1%</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b w:val="1"/>
                <w:bCs w:val="1"/>
                <w:color w:val="auto"/>
              </w:rPr>
              <w:t>2,850,753</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b w:val="1"/>
                <w:bCs w:val="1"/>
                <w:color w:val="auto"/>
              </w:rPr>
              <w:t>3,599,712</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b w:val="1"/>
                <w:bCs w:val="1"/>
                <w:color w:val="auto"/>
              </w:rPr>
              <w:t>26.3%</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Dividends paid to third partes</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w w:val="98"/>
              </w:rPr>
              <w:t>2,791,652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3,181,440</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w w:val="96"/>
              </w:rPr>
              <w:t>n.a.</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14.0%</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2,791,652</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3,181,440</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14.0%</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Net income / share (S/)</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16.8</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22.3</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22.8</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2.5%</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36.1%</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w w:val="89"/>
              </w:rPr>
              <w:t>36</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45</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26.3%</w:t>
            </w:r>
          </w:p>
        </w:tc>
      </w:tr>
      <w:tr>
        <w:trPr>
          <w:trHeight w:val="14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Dividends per Share (S/)</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89"/>
              </w:rPr>
              <w:t>40</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w w:val="96"/>
              </w:rPr>
              <w:t>n.a.</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6"/>
              </w:rPr>
              <w:t>n.a.</w:t>
            </w:r>
          </w:p>
        </w:tc>
        <w:tc>
          <w:tcPr>
            <w:tcW w:w="1040" w:type="dxa"/>
            <w:vAlign w:val="bottom"/>
            <w:tcBorders>
              <w:bottom w:val="single" w:sz="8" w:color="auto"/>
            </w:tcBorders>
          </w:tcPr>
          <w:p>
            <w:pPr>
              <w:jc w:val="center"/>
              <w:ind w:left="204"/>
              <w:spacing w:after="0"/>
              <w:rPr>
                <w:sz w:val="20"/>
                <w:szCs w:val="20"/>
                <w:color w:val="auto"/>
              </w:rPr>
            </w:pPr>
            <w:r>
              <w:rPr>
                <w:rFonts w:ascii="Calibri" w:cs="Calibri" w:eastAsia="Calibri" w:hAnsi="Calibri"/>
                <w:sz w:val="11"/>
                <w:szCs w:val="11"/>
                <w:color w:val="auto"/>
                <w:w w:val="89"/>
              </w:rPr>
              <w:t>35</w:t>
            </w:r>
          </w:p>
        </w:tc>
        <w:tc>
          <w:tcPr>
            <w:tcW w:w="1540" w:type="dxa"/>
            <w:vAlign w:val="bottom"/>
            <w:tcBorders>
              <w:bottom w:val="single" w:sz="8" w:color="auto"/>
              <w:right w:val="single" w:sz="8" w:color="auto"/>
            </w:tcBorders>
          </w:tcPr>
          <w:p>
            <w:pPr>
              <w:jc w:val="center"/>
              <w:ind w:left="163"/>
              <w:spacing w:after="0"/>
              <w:rPr>
                <w:sz w:val="20"/>
                <w:szCs w:val="20"/>
                <w:color w:val="auto"/>
              </w:rPr>
            </w:pPr>
            <w:r>
              <w:rPr>
                <w:rFonts w:ascii="Calibri" w:cs="Calibri" w:eastAsia="Calibri" w:hAnsi="Calibri"/>
                <w:sz w:val="11"/>
                <w:szCs w:val="11"/>
                <w:color w:val="auto"/>
              </w:rPr>
              <w:t>40</w:t>
            </w:r>
          </w:p>
        </w:tc>
        <w:tc>
          <w:tcPr>
            <w:tcW w:w="780" w:type="dxa"/>
            <w:vAlign w:val="bottom"/>
            <w:tcBorders>
              <w:bottom w:val="single" w:sz="8" w:color="auto"/>
              <w:right w:val="single" w:sz="8" w:color="auto"/>
            </w:tcBorders>
          </w:tcPr>
          <w:p>
            <w:pPr>
              <w:jc w:val="center"/>
              <w:ind w:right="3"/>
              <w:spacing w:after="0"/>
              <w:rPr>
                <w:sz w:val="20"/>
                <w:szCs w:val="20"/>
                <w:color w:val="auto"/>
              </w:rPr>
            </w:pPr>
            <w:r>
              <w:rPr>
                <w:rFonts w:ascii="Calibri" w:cs="Calibri" w:eastAsia="Calibri" w:hAnsi="Calibri"/>
                <w:sz w:val="11"/>
                <w:szCs w:val="11"/>
                <w:color w:val="auto"/>
              </w:rPr>
              <w:t>14.0%</w:t>
            </w:r>
          </w:p>
        </w:tc>
      </w:tr>
      <w:tr>
        <w:trPr>
          <w:trHeight w:val="113"/>
        </w:trPr>
        <w:tc>
          <w:tcPr>
            <w:tcW w:w="2760" w:type="dxa"/>
            <w:vAlign w:val="bottom"/>
            <w:tcBorders>
              <w:left w:val="single" w:sz="8" w:color="auto"/>
              <w:right w:val="single" w:sz="8" w:color="auto"/>
            </w:tcBorders>
          </w:tcPr>
          <w:p>
            <w:pPr>
              <w:ind w:left="20"/>
              <w:spacing w:after="0" w:line="114" w:lineRule="exact"/>
              <w:rPr>
                <w:sz w:val="20"/>
                <w:szCs w:val="20"/>
                <w:color w:val="auto"/>
              </w:rPr>
            </w:pPr>
            <w:r>
              <w:rPr>
                <w:rFonts w:ascii="Calibri" w:cs="Calibri" w:eastAsia="Calibri" w:hAnsi="Calibri"/>
                <w:sz w:val="11"/>
                <w:szCs w:val="11"/>
                <w:color w:val="auto"/>
              </w:rPr>
              <w:t>Loans</w:t>
            </w:r>
          </w:p>
        </w:tc>
        <w:tc>
          <w:tcPr>
            <w:tcW w:w="1240" w:type="dxa"/>
            <w:vAlign w:val="bottom"/>
          </w:tcPr>
          <w:p>
            <w:pPr>
              <w:jc w:val="center"/>
              <w:spacing w:after="0" w:line="114" w:lineRule="exact"/>
              <w:rPr>
                <w:sz w:val="20"/>
                <w:szCs w:val="20"/>
                <w:color w:val="auto"/>
              </w:rPr>
            </w:pPr>
            <w:r>
              <w:rPr>
                <w:rFonts w:ascii="Calibri" w:cs="Calibri" w:eastAsia="Calibri" w:hAnsi="Calibri"/>
                <w:sz w:val="11"/>
                <w:szCs w:val="11"/>
                <w:color w:val="auto"/>
              </w:rPr>
              <w:t>146,946,546</w:t>
            </w:r>
          </w:p>
        </w:tc>
        <w:tc>
          <w:tcPr>
            <w:tcW w:w="1240" w:type="dxa"/>
            <w:vAlign w:val="bottom"/>
          </w:tcPr>
          <w:p>
            <w:pPr>
              <w:jc w:val="center"/>
              <w:spacing w:after="0" w:line="114" w:lineRule="exact"/>
              <w:rPr>
                <w:sz w:val="20"/>
                <w:szCs w:val="20"/>
                <w:color w:val="auto"/>
              </w:rPr>
            </w:pPr>
            <w:r>
              <w:rPr>
                <w:rFonts w:ascii="Calibri" w:cs="Calibri" w:eastAsia="Calibri" w:hAnsi="Calibri"/>
                <w:sz w:val="11"/>
                <w:szCs w:val="11"/>
                <w:color w:val="auto"/>
              </w:rPr>
              <w:t>141,196,646</w:t>
            </w:r>
          </w:p>
        </w:tc>
        <w:tc>
          <w:tcPr>
            <w:tcW w:w="124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1"/>
                <w:szCs w:val="11"/>
                <w:color w:val="auto"/>
              </w:rPr>
              <w:t>140,961,978</w:t>
            </w:r>
          </w:p>
        </w:tc>
        <w:tc>
          <w:tcPr>
            <w:tcW w:w="720" w:type="dxa"/>
            <w:vAlign w:val="bottom"/>
          </w:tcPr>
          <w:p>
            <w:pPr>
              <w:jc w:val="center"/>
              <w:spacing w:after="0" w:line="114" w:lineRule="exact"/>
              <w:rPr>
                <w:sz w:val="20"/>
                <w:szCs w:val="20"/>
                <w:color w:val="auto"/>
              </w:rPr>
            </w:pPr>
            <w:r>
              <w:rPr>
                <w:rFonts w:ascii="Calibri" w:cs="Calibri" w:eastAsia="Calibri" w:hAnsi="Calibri"/>
                <w:sz w:val="11"/>
                <w:szCs w:val="11"/>
                <w:color w:val="auto"/>
                <w:w w:val="95"/>
              </w:rPr>
              <w:t>-0.2%</w:t>
            </w:r>
          </w:p>
        </w:tc>
        <w:tc>
          <w:tcPr>
            <w:tcW w:w="70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1"/>
                <w:szCs w:val="11"/>
                <w:color w:val="auto"/>
              </w:rPr>
              <w:t>-4.1%</w:t>
            </w:r>
          </w:p>
        </w:tc>
        <w:tc>
          <w:tcPr>
            <w:tcW w:w="1040" w:type="dxa"/>
            <w:vAlign w:val="bottom"/>
          </w:tcPr>
          <w:p>
            <w:pPr>
              <w:jc w:val="center"/>
              <w:ind w:left="204"/>
              <w:spacing w:after="0" w:line="114" w:lineRule="exact"/>
              <w:rPr>
                <w:sz w:val="20"/>
                <w:szCs w:val="20"/>
                <w:color w:val="auto"/>
              </w:rPr>
            </w:pPr>
            <w:r>
              <w:rPr>
                <w:rFonts w:ascii="Calibri" w:cs="Calibri" w:eastAsia="Calibri" w:hAnsi="Calibri"/>
                <w:sz w:val="11"/>
                <w:szCs w:val="11"/>
                <w:color w:val="auto"/>
              </w:rPr>
              <w:t>146,946,546</w:t>
            </w:r>
          </w:p>
        </w:tc>
        <w:tc>
          <w:tcPr>
            <w:tcW w:w="1540" w:type="dxa"/>
            <w:vAlign w:val="bottom"/>
            <w:tcBorders>
              <w:right w:val="single" w:sz="8" w:color="auto"/>
            </w:tcBorders>
          </w:tcPr>
          <w:p>
            <w:pPr>
              <w:jc w:val="center"/>
              <w:ind w:left="183"/>
              <w:spacing w:after="0" w:line="114" w:lineRule="exact"/>
              <w:rPr>
                <w:sz w:val="20"/>
                <w:szCs w:val="20"/>
                <w:color w:val="auto"/>
              </w:rPr>
            </w:pPr>
            <w:r>
              <w:rPr>
                <w:rFonts w:ascii="Calibri" w:cs="Calibri" w:eastAsia="Calibri" w:hAnsi="Calibri"/>
                <w:sz w:val="11"/>
                <w:szCs w:val="11"/>
                <w:color w:val="auto"/>
              </w:rPr>
              <w:t>140,961,978</w:t>
            </w:r>
          </w:p>
        </w:tc>
        <w:tc>
          <w:tcPr>
            <w:tcW w:w="78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1"/>
                <w:szCs w:val="11"/>
                <w:color w:val="auto"/>
              </w:rPr>
              <w:t>-4.1%</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Deposits and obligatons</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151,971,984</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157,619,082</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154,723,334</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-1.8%</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1.8%</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151,971,984</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154,723,334</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1.8%</w:t>
            </w:r>
          </w:p>
        </w:tc>
      </w:tr>
      <w:tr>
        <w:trPr>
          <w:trHeight w:val="14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equity</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32,413,767</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35,843,202</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9"/>
              </w:rPr>
              <w:t>34,459,012</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w w:val="95"/>
              </w:rPr>
              <w:t>-3.9%</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6.3%</w:t>
            </w:r>
          </w:p>
        </w:tc>
        <w:tc>
          <w:tcPr>
            <w:tcW w:w="1040" w:type="dxa"/>
            <w:vAlign w:val="bottom"/>
            <w:tcBorders>
              <w:bottom w:val="single" w:sz="8" w:color="auto"/>
            </w:tcBorders>
          </w:tcPr>
          <w:p>
            <w:pPr>
              <w:jc w:val="center"/>
              <w:ind w:left="204"/>
              <w:spacing w:after="0"/>
              <w:rPr>
                <w:sz w:val="20"/>
                <w:szCs w:val="20"/>
                <w:color w:val="auto"/>
              </w:rPr>
            </w:pPr>
            <w:r>
              <w:rPr>
                <w:rFonts w:ascii="Calibri" w:cs="Calibri" w:eastAsia="Calibri" w:hAnsi="Calibri"/>
                <w:sz w:val="11"/>
                <w:szCs w:val="11"/>
                <w:color w:val="auto"/>
                <w:w w:val="99"/>
              </w:rPr>
              <w:t>32,413,767</w:t>
            </w:r>
          </w:p>
        </w:tc>
        <w:tc>
          <w:tcPr>
            <w:tcW w:w="1540" w:type="dxa"/>
            <w:vAlign w:val="bottom"/>
            <w:tcBorders>
              <w:bottom w:val="single" w:sz="8" w:color="auto"/>
              <w:right w:val="single" w:sz="8" w:color="auto"/>
            </w:tcBorders>
          </w:tcPr>
          <w:p>
            <w:pPr>
              <w:jc w:val="center"/>
              <w:ind w:left="163"/>
              <w:spacing w:after="0"/>
              <w:rPr>
                <w:sz w:val="20"/>
                <w:szCs w:val="20"/>
                <w:color w:val="auto"/>
              </w:rPr>
            </w:pPr>
            <w:r>
              <w:rPr>
                <w:rFonts w:ascii="Calibri" w:cs="Calibri" w:eastAsia="Calibri" w:hAnsi="Calibri"/>
                <w:sz w:val="11"/>
                <w:szCs w:val="11"/>
                <w:color w:val="auto"/>
              </w:rPr>
              <w:t>34,459,012</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6.3%</w:t>
            </w:r>
          </w:p>
        </w:tc>
      </w:tr>
      <w:tr>
        <w:trPr>
          <w:trHeight w:val="113"/>
        </w:trPr>
        <w:tc>
          <w:tcPr>
            <w:tcW w:w="2760" w:type="dxa"/>
            <w:vAlign w:val="bottom"/>
            <w:tcBorders>
              <w:left w:val="single" w:sz="8" w:color="auto"/>
              <w:right w:val="single" w:sz="8" w:color="auto"/>
            </w:tcBorders>
          </w:tcPr>
          <w:p>
            <w:pPr>
              <w:ind w:left="20"/>
              <w:spacing w:after="0" w:line="114" w:lineRule="exact"/>
              <w:rPr>
                <w:sz w:val="20"/>
                <w:szCs w:val="20"/>
                <w:color w:val="auto"/>
              </w:rPr>
            </w:pPr>
            <w:r>
              <w:rPr>
                <w:rFonts w:ascii="Calibri" w:cs="Calibri" w:eastAsia="Calibri" w:hAnsi="Calibri"/>
                <w:sz w:val="11"/>
                <w:szCs w:val="11"/>
                <w:b w:val="1"/>
                <w:bCs w:val="1"/>
                <w:color w:val="auto"/>
              </w:rPr>
              <w:t>Proftability</w:t>
            </w: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Net interest margin</w:t>
            </w:r>
            <w:r>
              <w:rPr>
                <w:rFonts w:ascii="Calibri" w:cs="Calibri" w:eastAsia="Calibri" w:hAnsi="Calibri"/>
                <w:sz w:val="9"/>
                <w:szCs w:val="9"/>
                <w:color w:val="auto"/>
              </w:rPr>
              <w:t>(1)</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6.3%</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6.2%</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6.4%</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20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9 bps</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6.3%</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6.3%</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 bps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Risk-adjusted Net interest margin</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4.4%</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5.2%</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5.4%</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20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104 bps</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4.6%</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5.3%</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72 bps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Funding cost</w:t>
            </w:r>
            <w:r>
              <w:rPr>
                <w:rFonts w:ascii="Calibri" w:cs="Calibri" w:eastAsia="Calibri" w:hAnsi="Calibri"/>
                <w:sz w:val="9"/>
                <w:szCs w:val="9"/>
                <w:color w:val="auto"/>
              </w:rPr>
              <w:t>(2)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2.9%</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2.4%</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2.4%</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2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-42 bps</w:t>
            </w:r>
          </w:p>
        </w:tc>
        <w:tc>
          <w:tcPr>
            <w:tcW w:w="1040" w:type="dxa"/>
            <w:vAlign w:val="bottom"/>
          </w:tcPr>
          <w:p>
            <w:pPr>
              <w:jc w:val="right"/>
              <w:ind w:right="224"/>
              <w:spacing w:after="0" w:line="130" w:lineRule="exact"/>
              <w:rPr>
                <w:sz w:val="20"/>
                <w:szCs w:val="20"/>
                <w:color w:val="auto"/>
              </w:rPr>
            </w:pPr>
            <w:r>
              <w:rPr>
                <w:rFonts w:ascii="Calibri" w:cs="Calibri" w:eastAsia="Calibri" w:hAnsi="Calibri"/>
                <w:sz w:val="11"/>
                <w:szCs w:val="11"/>
                <w:color w:val="auto"/>
              </w:rPr>
              <w:t>0.03</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2.4%</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-50 bps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ROAE</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16.2%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20.3%</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20.7%</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40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450 bps</w:t>
            </w:r>
          </w:p>
        </w:tc>
        <w:tc>
          <w:tcPr>
            <w:tcW w:w="10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17.6%</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20.9%</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330 bps</w:t>
            </w:r>
          </w:p>
        </w:tc>
      </w:tr>
      <w:tr>
        <w:trPr>
          <w:trHeight w:val="14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ROAA</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2.2%</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2.8%</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2.9%</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10 bps</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70 bps</w:t>
            </w:r>
          </w:p>
        </w:tc>
        <w:tc>
          <w:tcPr>
            <w:tcW w:w="1040" w:type="dxa"/>
            <w:vAlign w:val="bottom"/>
            <w:tcBorders>
              <w:bottom w:val="single" w:sz="8" w:color="auto"/>
            </w:tcBorders>
          </w:tcPr>
          <w:p>
            <w:pPr>
              <w:jc w:val="center"/>
              <w:ind w:left="204"/>
              <w:spacing w:after="0"/>
              <w:rPr>
                <w:sz w:val="20"/>
                <w:szCs w:val="20"/>
                <w:color w:val="auto"/>
              </w:rPr>
            </w:pPr>
            <w:r>
              <w:rPr>
                <w:rFonts w:ascii="Calibri" w:cs="Calibri" w:eastAsia="Calibri" w:hAnsi="Calibri"/>
                <w:sz w:val="11"/>
                <w:szCs w:val="11"/>
                <w:color w:val="auto"/>
              </w:rPr>
              <w:t>2.3%</w:t>
            </w:r>
          </w:p>
        </w:tc>
        <w:tc>
          <w:tcPr>
            <w:tcW w:w="1540" w:type="dxa"/>
            <w:vAlign w:val="bottom"/>
            <w:tcBorders>
              <w:bottom w:val="single" w:sz="8" w:color="auto"/>
              <w:right w:val="single" w:sz="8" w:color="auto"/>
            </w:tcBorders>
          </w:tcPr>
          <w:p>
            <w:pPr>
              <w:jc w:val="center"/>
              <w:ind w:left="183"/>
              <w:spacing w:after="0"/>
              <w:rPr>
                <w:sz w:val="20"/>
                <w:szCs w:val="20"/>
                <w:color w:val="auto"/>
              </w:rPr>
            </w:pPr>
            <w:r>
              <w:rPr>
                <w:rFonts w:ascii="Calibri" w:cs="Calibri" w:eastAsia="Calibri" w:hAnsi="Calibri"/>
                <w:sz w:val="11"/>
                <w:szCs w:val="11"/>
                <w:color w:val="auto"/>
              </w:rPr>
              <w:t>2.9%</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51 bps</w:t>
            </w:r>
          </w:p>
        </w:tc>
      </w:tr>
      <w:tr>
        <w:trPr>
          <w:trHeight w:val="113"/>
        </w:trPr>
        <w:tc>
          <w:tcPr>
            <w:tcW w:w="2760" w:type="dxa"/>
            <w:vAlign w:val="bottom"/>
            <w:tcBorders>
              <w:left w:val="single" w:sz="8" w:color="auto"/>
              <w:right w:val="single" w:sz="8" w:color="auto"/>
            </w:tcBorders>
          </w:tcPr>
          <w:p>
            <w:pPr>
              <w:ind w:left="20"/>
              <w:spacing w:after="0" w:line="114" w:lineRule="exact"/>
              <w:rPr>
                <w:sz w:val="20"/>
                <w:szCs w:val="20"/>
                <w:color w:val="auto"/>
              </w:rPr>
            </w:pPr>
            <w:r>
              <w:rPr>
                <w:rFonts w:ascii="Calibri" w:cs="Calibri" w:eastAsia="Calibri" w:hAnsi="Calibri"/>
                <w:sz w:val="11"/>
                <w:szCs w:val="11"/>
                <w:b w:val="1"/>
                <w:bCs w:val="1"/>
                <w:color w:val="auto"/>
              </w:rPr>
              <w:t>Loan portolio quality</w:t>
            </w: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Internal overdue rato</w:t>
            </w:r>
            <w:r>
              <w:rPr>
                <w:rFonts w:ascii="Calibri" w:cs="Calibri" w:eastAsia="Calibri" w:hAnsi="Calibri"/>
                <w:sz w:val="9"/>
                <w:szCs w:val="9"/>
                <w:color w:val="auto"/>
              </w:rPr>
              <w:t>(3)</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4.2%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3.7%</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3.6%</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-11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-66 bps</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4.2%</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3.6%</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-66 bps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Internal overdue rato over 90 days</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3.2%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3.0%</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3.0%</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-4 pbs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-28 pbs</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3.2%</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3.0%</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-28 pbs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NPL rato</w:t>
            </w:r>
            <w:r>
              <w:rPr>
                <w:rFonts w:ascii="Calibri" w:cs="Calibri" w:eastAsia="Calibri" w:hAnsi="Calibri"/>
                <w:sz w:val="9"/>
                <w:szCs w:val="9"/>
                <w:color w:val="auto"/>
              </w:rPr>
              <w:t>(4)</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6.0%</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5.1%</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5.0%</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-14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-102 bps</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6.0%</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5.0%</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-102 bps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Cost of risk</w:t>
            </w:r>
            <w:r>
              <w:rPr>
                <w:rFonts w:ascii="Calibri" w:cs="Calibri" w:eastAsia="Calibri" w:hAnsi="Calibri"/>
                <w:sz w:val="9"/>
                <w:szCs w:val="9"/>
                <w:color w:val="auto"/>
              </w:rPr>
              <w:t>(5)</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3.0%</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1.6%</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1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-141 bps</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2.6%</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1.6%</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-100 bps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Coverage rato of IOLs</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w w:val="96"/>
              </w:rPr>
              <w:t>134.0%</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148.7%</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151.8%</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310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1780 bps</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134.0%</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151.8%</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8"/>
              </w:rPr>
              <w:t>1780 bps</w:t>
            </w:r>
          </w:p>
        </w:tc>
      </w:tr>
      <w:tr>
        <w:trPr>
          <w:trHeight w:val="14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Coverage rato of NPLs</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95.0%</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107.4%</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109.5%</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210 bps</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1450 bps</w:t>
            </w:r>
          </w:p>
        </w:tc>
        <w:tc>
          <w:tcPr>
            <w:tcW w:w="1040" w:type="dxa"/>
            <w:vAlign w:val="bottom"/>
            <w:tcBorders>
              <w:bottom w:val="single" w:sz="8" w:color="auto"/>
            </w:tcBorders>
          </w:tcPr>
          <w:p>
            <w:pPr>
              <w:jc w:val="center"/>
              <w:ind w:left="224"/>
              <w:spacing w:after="0"/>
              <w:rPr>
                <w:sz w:val="20"/>
                <w:szCs w:val="20"/>
                <w:color w:val="auto"/>
              </w:rPr>
            </w:pPr>
            <w:r>
              <w:rPr>
                <w:rFonts w:ascii="Calibri" w:cs="Calibri" w:eastAsia="Calibri" w:hAnsi="Calibri"/>
                <w:sz w:val="11"/>
                <w:szCs w:val="11"/>
                <w:color w:val="auto"/>
              </w:rPr>
              <w:t>95.0%</w:t>
            </w:r>
          </w:p>
        </w:tc>
        <w:tc>
          <w:tcPr>
            <w:tcW w:w="1540" w:type="dxa"/>
            <w:vAlign w:val="bottom"/>
            <w:tcBorders>
              <w:bottom w:val="single" w:sz="8" w:color="auto"/>
              <w:right w:val="single" w:sz="8" w:color="auto"/>
            </w:tcBorders>
          </w:tcPr>
          <w:p>
            <w:pPr>
              <w:jc w:val="center"/>
              <w:ind w:left="183"/>
              <w:spacing w:after="0"/>
              <w:rPr>
                <w:sz w:val="20"/>
                <w:szCs w:val="20"/>
                <w:color w:val="auto"/>
              </w:rPr>
            </w:pPr>
            <w:r>
              <w:rPr>
                <w:rFonts w:ascii="Calibri" w:cs="Calibri" w:eastAsia="Calibri" w:hAnsi="Calibri"/>
                <w:sz w:val="11"/>
                <w:szCs w:val="11"/>
                <w:color w:val="auto"/>
              </w:rPr>
              <w:t>109.5%</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8"/>
              </w:rPr>
              <w:t>1450 bps</w:t>
            </w:r>
          </w:p>
        </w:tc>
      </w:tr>
      <w:tr>
        <w:trPr>
          <w:trHeight w:val="113"/>
        </w:trPr>
        <w:tc>
          <w:tcPr>
            <w:tcW w:w="2760" w:type="dxa"/>
            <w:vAlign w:val="bottom"/>
            <w:tcBorders>
              <w:left w:val="single" w:sz="8" w:color="auto"/>
              <w:right w:val="single" w:sz="8" w:color="auto"/>
            </w:tcBorders>
          </w:tcPr>
          <w:p>
            <w:pPr>
              <w:ind w:left="20"/>
              <w:spacing w:after="0" w:line="114" w:lineRule="exact"/>
              <w:rPr>
                <w:sz w:val="20"/>
                <w:szCs w:val="20"/>
                <w:color w:val="auto"/>
              </w:rPr>
            </w:pPr>
            <w:r>
              <w:rPr>
                <w:rFonts w:ascii="Calibri" w:cs="Calibri" w:eastAsia="Calibri" w:hAnsi="Calibri"/>
                <w:sz w:val="11"/>
                <w:szCs w:val="11"/>
                <w:b w:val="1"/>
                <w:bCs w:val="1"/>
                <w:color w:val="auto"/>
              </w:rPr>
              <w:t>Operatng efciency</w:t>
            </w: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Operatng income(6)</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w w:val="98"/>
              </w:rPr>
              <w:t>5,143,084</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5,340,199</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5,529,301</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3.5%</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7.5%</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w w:val="99"/>
              </w:rPr>
              <w:t>10,076,862</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10,869,500</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7.9%</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Operatng expenses</w:t>
            </w:r>
            <w:r>
              <w:rPr>
                <w:rFonts w:ascii="Calibri" w:cs="Calibri" w:eastAsia="Calibri" w:hAnsi="Calibri"/>
                <w:sz w:val="9"/>
                <w:szCs w:val="9"/>
                <w:color w:val="auto"/>
              </w:rPr>
              <w:t>(7)</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w w:val="98"/>
              </w:rPr>
              <w:t>2,270,785</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2,442,089</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2,441,547</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0.0%</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7.5%</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rPr>
              <w:t>4,383,595</w:t>
            </w:r>
          </w:p>
        </w:tc>
        <w:tc>
          <w:tcPr>
            <w:tcW w:w="1540" w:type="dxa"/>
            <w:vAlign w:val="bottom"/>
            <w:tcBorders>
              <w:right w:val="single" w:sz="8" w:color="auto"/>
            </w:tcBorders>
          </w:tcPr>
          <w:p>
            <w:pPr>
              <w:jc w:val="center"/>
              <w:ind w:left="183"/>
              <w:spacing w:after="0" w:line="130" w:lineRule="exact"/>
              <w:rPr>
                <w:sz w:val="20"/>
                <w:szCs w:val="20"/>
                <w:color w:val="auto"/>
              </w:rPr>
            </w:pPr>
            <w:r>
              <w:rPr>
                <w:rFonts w:ascii="Calibri" w:cs="Calibri" w:eastAsia="Calibri" w:hAnsi="Calibri"/>
                <w:sz w:val="11"/>
                <w:szCs w:val="11"/>
                <w:color w:val="auto"/>
              </w:rPr>
              <w:t>4,883,636</w:t>
            </w:r>
          </w:p>
        </w:tc>
        <w:tc>
          <w:tcPr>
            <w:tcW w:w="780" w:type="dxa"/>
            <w:vAlign w:val="bottom"/>
            <w:tcBorders>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color w:val="auto"/>
              </w:rPr>
              <w:t>11.4%</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Efciency rato</w:t>
            </w:r>
            <w:r>
              <w:rPr>
                <w:rFonts w:ascii="Calibri" w:cs="Calibri" w:eastAsia="Calibri" w:hAnsi="Calibri"/>
                <w:sz w:val="9"/>
                <w:szCs w:val="9"/>
                <w:color w:val="auto"/>
              </w:rPr>
              <w:t>(8)</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44.2%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45.7%</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44.2%</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w w:val="98"/>
              </w:rPr>
              <w:t>-150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0 bps</w:t>
            </w:r>
          </w:p>
        </w:tc>
        <w:tc>
          <w:tcPr>
            <w:tcW w:w="10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43.5%</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44.9%</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143 bps</w:t>
            </w:r>
          </w:p>
        </w:tc>
      </w:tr>
      <w:tr>
        <w:trPr>
          <w:trHeight w:val="14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Operatng expenses / Total average assets</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3.7%</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3.8%</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3.9%</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9 bps</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19 bps</w:t>
            </w:r>
          </w:p>
        </w:tc>
        <w:tc>
          <w:tcPr>
            <w:tcW w:w="1040" w:type="dxa"/>
            <w:vAlign w:val="bottom"/>
            <w:tcBorders>
              <w:bottom w:val="single" w:sz="8" w:color="auto"/>
            </w:tcBorders>
          </w:tcPr>
          <w:p>
            <w:pPr>
              <w:jc w:val="center"/>
              <w:ind w:left="204"/>
              <w:spacing w:after="0"/>
              <w:rPr>
                <w:sz w:val="20"/>
                <w:szCs w:val="20"/>
                <w:color w:val="auto"/>
              </w:rPr>
            </w:pPr>
            <w:r>
              <w:rPr>
                <w:rFonts w:ascii="Calibri" w:cs="Calibri" w:eastAsia="Calibri" w:hAnsi="Calibri"/>
                <w:sz w:val="11"/>
                <w:szCs w:val="11"/>
                <w:color w:val="auto"/>
              </w:rPr>
              <w:t>3.6%</w:t>
            </w:r>
          </w:p>
        </w:tc>
        <w:tc>
          <w:tcPr>
            <w:tcW w:w="1540" w:type="dxa"/>
            <w:vAlign w:val="bottom"/>
            <w:tcBorders>
              <w:bottom w:val="single" w:sz="8" w:color="auto"/>
              <w:right w:val="single" w:sz="8" w:color="auto"/>
            </w:tcBorders>
          </w:tcPr>
          <w:p>
            <w:pPr>
              <w:jc w:val="center"/>
              <w:ind w:left="183"/>
              <w:spacing w:after="0"/>
              <w:rPr>
                <w:sz w:val="20"/>
                <w:szCs w:val="20"/>
                <w:color w:val="auto"/>
              </w:rPr>
            </w:pPr>
            <w:r>
              <w:rPr>
                <w:rFonts w:ascii="Calibri" w:cs="Calibri" w:eastAsia="Calibri" w:hAnsi="Calibri"/>
                <w:sz w:val="11"/>
                <w:szCs w:val="11"/>
                <w:color w:val="auto"/>
              </w:rPr>
              <w:t>3.9%</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27 bps</w:t>
            </w:r>
          </w:p>
        </w:tc>
      </w:tr>
      <w:tr>
        <w:trPr>
          <w:trHeight w:val="113"/>
        </w:trPr>
        <w:tc>
          <w:tcPr>
            <w:tcW w:w="2760" w:type="dxa"/>
            <w:vAlign w:val="bottom"/>
            <w:tcBorders>
              <w:left w:val="single" w:sz="8" w:color="auto"/>
              <w:right w:val="single" w:sz="8" w:color="auto"/>
            </w:tcBorders>
          </w:tcPr>
          <w:p>
            <w:pPr>
              <w:ind w:left="20"/>
              <w:spacing w:after="0" w:line="114" w:lineRule="exact"/>
              <w:rPr>
                <w:sz w:val="20"/>
                <w:szCs w:val="20"/>
                <w:color w:val="auto"/>
              </w:rPr>
            </w:pPr>
            <w:r>
              <w:rPr>
                <w:rFonts w:ascii="Calibri" w:cs="Calibri" w:eastAsia="Calibri" w:hAnsi="Calibri"/>
                <w:sz w:val="11"/>
                <w:szCs w:val="11"/>
                <w:b w:val="1"/>
                <w:bCs w:val="1"/>
                <w:color w:val="auto"/>
              </w:rPr>
              <w:t>Capital adequacy - BCP Stand-alone</w:t>
            </w: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Global Capital Rato</w:t>
            </w:r>
            <w:r>
              <w:rPr>
                <w:rFonts w:ascii="Calibri" w:cs="Calibri" w:eastAsia="Calibri" w:hAnsi="Calibri"/>
                <w:sz w:val="9"/>
                <w:szCs w:val="9"/>
                <w:color w:val="auto"/>
              </w:rPr>
              <w:t>(9)</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16.2%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16.9%</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17.3%</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47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109 bps</w:t>
            </w:r>
          </w:p>
        </w:tc>
        <w:tc>
          <w:tcPr>
            <w:tcW w:w="10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16.2%</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17.3%</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109 bps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Rato Tier 1</w:t>
            </w:r>
            <w:r>
              <w:rPr>
                <w:rFonts w:ascii="Calibri" w:cs="Calibri" w:eastAsia="Calibri" w:hAnsi="Calibri"/>
                <w:sz w:val="9"/>
                <w:szCs w:val="9"/>
                <w:color w:val="auto"/>
              </w:rPr>
              <w:t>(10)</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11.9%</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11.3%</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12.2%</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91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34 bps</w:t>
            </w:r>
          </w:p>
        </w:tc>
        <w:tc>
          <w:tcPr>
            <w:tcW w:w="10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11.9%</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12.2%</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34 bps</w:t>
            </w:r>
          </w:p>
        </w:tc>
      </w:tr>
      <w:tr>
        <w:trPr>
          <w:trHeight w:val="14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Rato common equity ter 1</w:t>
            </w:r>
            <w:r>
              <w:rPr>
                <w:rFonts w:ascii="Calibri" w:cs="Calibri" w:eastAsia="Calibri" w:hAnsi="Calibri"/>
                <w:sz w:val="9"/>
                <w:szCs w:val="9"/>
                <w:color w:val="auto"/>
              </w:rPr>
              <w:t>(11) (13)</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11.9%</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11.3%</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12.2%</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91 bps</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34 bps</w:t>
            </w:r>
          </w:p>
        </w:tc>
        <w:tc>
          <w:tcPr>
            <w:tcW w:w="1040" w:type="dxa"/>
            <w:vAlign w:val="bottom"/>
            <w:tcBorders>
              <w:bottom w:val="single" w:sz="8" w:color="auto"/>
            </w:tcBorders>
          </w:tcPr>
          <w:p>
            <w:pPr>
              <w:jc w:val="center"/>
              <w:ind w:left="224"/>
              <w:spacing w:after="0"/>
              <w:rPr>
                <w:sz w:val="20"/>
                <w:szCs w:val="20"/>
                <w:color w:val="auto"/>
              </w:rPr>
            </w:pPr>
            <w:r>
              <w:rPr>
                <w:rFonts w:ascii="Calibri" w:cs="Calibri" w:eastAsia="Calibri" w:hAnsi="Calibri"/>
                <w:sz w:val="11"/>
                <w:szCs w:val="11"/>
                <w:color w:val="auto"/>
              </w:rPr>
              <w:t>11.9%</w:t>
            </w:r>
          </w:p>
        </w:tc>
        <w:tc>
          <w:tcPr>
            <w:tcW w:w="1540" w:type="dxa"/>
            <w:vAlign w:val="bottom"/>
            <w:tcBorders>
              <w:bottom w:val="single" w:sz="8" w:color="auto"/>
              <w:right w:val="single" w:sz="8" w:color="auto"/>
            </w:tcBorders>
          </w:tcPr>
          <w:p>
            <w:pPr>
              <w:jc w:val="center"/>
              <w:ind w:left="163"/>
              <w:spacing w:after="0"/>
              <w:rPr>
                <w:sz w:val="20"/>
                <w:szCs w:val="20"/>
                <w:color w:val="auto"/>
              </w:rPr>
            </w:pPr>
            <w:r>
              <w:rPr>
                <w:rFonts w:ascii="Calibri" w:cs="Calibri" w:eastAsia="Calibri" w:hAnsi="Calibri"/>
                <w:sz w:val="11"/>
                <w:szCs w:val="11"/>
                <w:color w:val="auto"/>
              </w:rPr>
              <w:t>12.2%</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34 bps</w:t>
            </w:r>
          </w:p>
        </w:tc>
      </w:tr>
      <w:tr>
        <w:trPr>
          <w:trHeight w:val="113"/>
        </w:trPr>
        <w:tc>
          <w:tcPr>
            <w:tcW w:w="2760" w:type="dxa"/>
            <w:vAlign w:val="bottom"/>
            <w:tcBorders>
              <w:left w:val="single" w:sz="8" w:color="auto"/>
              <w:right w:val="single" w:sz="8" w:color="auto"/>
            </w:tcBorders>
          </w:tcPr>
          <w:p>
            <w:pPr>
              <w:ind w:left="20"/>
              <w:spacing w:after="0" w:line="114" w:lineRule="exact"/>
              <w:rPr>
                <w:sz w:val="20"/>
                <w:szCs w:val="20"/>
                <w:color w:val="auto"/>
              </w:rPr>
            </w:pPr>
            <w:r>
              <w:rPr>
                <w:rFonts w:ascii="Calibri" w:cs="Calibri" w:eastAsia="Calibri" w:hAnsi="Calibri"/>
                <w:sz w:val="11"/>
                <w:szCs w:val="11"/>
                <w:b w:val="1"/>
                <w:bCs w:val="1"/>
                <w:color w:val="auto"/>
              </w:rPr>
              <w:t>Capital adequacy - Mibanco</w:t>
            </w: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Global Capital Rato</w:t>
            </w:r>
            <w:r>
              <w:rPr>
                <w:rFonts w:ascii="Calibri" w:cs="Calibri" w:eastAsia="Calibri" w:hAnsi="Calibri"/>
                <w:sz w:val="9"/>
                <w:szCs w:val="9"/>
                <w:color w:val="auto"/>
              </w:rPr>
              <w:t>(9)</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18.9%</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18.5%</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19.6%</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108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66 bps</w:t>
            </w:r>
          </w:p>
        </w:tc>
        <w:tc>
          <w:tcPr>
            <w:tcW w:w="10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18.9%</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19.6%</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66 bps</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Rato Tier 1</w:t>
            </w:r>
            <w:r>
              <w:rPr>
                <w:rFonts w:ascii="Calibri" w:cs="Calibri" w:eastAsia="Calibri" w:hAnsi="Calibri"/>
                <w:sz w:val="9"/>
                <w:szCs w:val="9"/>
                <w:color w:val="auto"/>
              </w:rPr>
              <w:t>(10)</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16.6%</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15.5%</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16.5%</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100 bps</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-15 bps</w:t>
            </w:r>
          </w:p>
        </w:tc>
        <w:tc>
          <w:tcPr>
            <w:tcW w:w="10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16.6%</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16.5%</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-14 bps</w:t>
            </w:r>
          </w:p>
        </w:tc>
      </w:tr>
      <w:tr>
        <w:trPr>
          <w:trHeight w:val="14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Rato common equity ter 1</w:t>
            </w:r>
            <w:r>
              <w:rPr>
                <w:rFonts w:ascii="Calibri" w:cs="Calibri" w:eastAsia="Calibri" w:hAnsi="Calibri"/>
                <w:sz w:val="9"/>
                <w:szCs w:val="9"/>
                <w:color w:val="auto"/>
              </w:rPr>
              <w:t>(11) (13)</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16.7%</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15.9%</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16.7%</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84 bps</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0 bps</w:t>
            </w:r>
          </w:p>
        </w:tc>
        <w:tc>
          <w:tcPr>
            <w:tcW w:w="1040" w:type="dxa"/>
            <w:vAlign w:val="bottom"/>
            <w:tcBorders>
              <w:bottom w:val="single" w:sz="8" w:color="auto"/>
            </w:tcBorders>
          </w:tcPr>
          <w:p>
            <w:pPr>
              <w:jc w:val="center"/>
              <w:ind w:left="224"/>
              <w:spacing w:after="0"/>
              <w:rPr>
                <w:sz w:val="20"/>
                <w:szCs w:val="20"/>
                <w:color w:val="auto"/>
              </w:rPr>
            </w:pPr>
            <w:r>
              <w:rPr>
                <w:rFonts w:ascii="Calibri" w:cs="Calibri" w:eastAsia="Calibri" w:hAnsi="Calibri"/>
                <w:sz w:val="11"/>
                <w:szCs w:val="11"/>
                <w:color w:val="auto"/>
              </w:rPr>
              <w:t>16.7%</w:t>
            </w:r>
          </w:p>
        </w:tc>
        <w:tc>
          <w:tcPr>
            <w:tcW w:w="1540" w:type="dxa"/>
            <w:vAlign w:val="bottom"/>
            <w:tcBorders>
              <w:bottom w:val="single" w:sz="8" w:color="auto"/>
              <w:right w:val="single" w:sz="8" w:color="auto"/>
            </w:tcBorders>
          </w:tcPr>
          <w:p>
            <w:pPr>
              <w:jc w:val="center"/>
              <w:ind w:left="163"/>
              <w:spacing w:after="0"/>
              <w:rPr>
                <w:sz w:val="20"/>
                <w:szCs w:val="20"/>
                <w:color w:val="auto"/>
              </w:rPr>
            </w:pPr>
            <w:r>
              <w:rPr>
                <w:rFonts w:ascii="Calibri" w:cs="Calibri" w:eastAsia="Calibri" w:hAnsi="Calibri"/>
                <w:sz w:val="11"/>
                <w:szCs w:val="11"/>
                <w:color w:val="auto"/>
              </w:rPr>
              <w:t>16.7%</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0 bps</w:t>
            </w:r>
          </w:p>
        </w:tc>
      </w:tr>
      <w:tr>
        <w:trPr>
          <w:trHeight w:val="129"/>
        </w:trPr>
        <w:tc>
          <w:tcPr>
            <w:tcW w:w="27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Employees</w:t>
            </w:r>
            <w:r>
              <w:rPr>
                <w:rFonts w:ascii="Calibri" w:cs="Calibri" w:eastAsia="Calibri" w:hAnsi="Calibri"/>
                <w:sz w:val="9"/>
                <w:szCs w:val="9"/>
                <w:b w:val="1"/>
                <w:bCs w:val="1"/>
                <w:color w:val="auto"/>
              </w:rPr>
              <w:t>(14)</w:t>
            </w:r>
          </w:p>
        </w:tc>
        <w:tc>
          <w:tcPr>
            <w:tcW w:w="124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38,641</w:t>
            </w:r>
          </w:p>
        </w:tc>
        <w:tc>
          <w:tcPr>
            <w:tcW w:w="124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46,621</w:t>
            </w:r>
          </w:p>
        </w:tc>
        <w:tc>
          <w:tcPr>
            <w:tcW w:w="124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7"/>
              </w:rPr>
              <w:t>46,423</w:t>
            </w:r>
          </w:p>
        </w:tc>
        <w:tc>
          <w:tcPr>
            <w:tcW w:w="72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5"/>
              </w:rPr>
              <w:t>-0.4%</w:t>
            </w:r>
          </w:p>
        </w:tc>
        <w:tc>
          <w:tcPr>
            <w:tcW w:w="70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20.1%</w:t>
            </w:r>
          </w:p>
        </w:tc>
        <w:tc>
          <w:tcPr>
            <w:tcW w:w="1040" w:type="dxa"/>
            <w:vAlign w:val="bottom"/>
            <w:tcBorders>
              <w:bottom w:val="single" w:sz="8" w:color="auto"/>
            </w:tcBorders>
          </w:tcPr>
          <w:p>
            <w:pPr>
              <w:jc w:val="center"/>
              <w:ind w:left="204"/>
              <w:spacing w:after="0" w:line="129" w:lineRule="exact"/>
              <w:rPr>
                <w:sz w:val="20"/>
                <w:szCs w:val="20"/>
                <w:color w:val="auto"/>
              </w:rPr>
            </w:pPr>
            <w:r>
              <w:rPr>
                <w:rFonts w:ascii="Calibri" w:cs="Calibri" w:eastAsia="Calibri" w:hAnsi="Calibri"/>
                <w:sz w:val="11"/>
                <w:szCs w:val="11"/>
                <w:color w:val="auto"/>
                <w:w w:val="97"/>
              </w:rPr>
              <w:t>38,641</w:t>
            </w:r>
          </w:p>
        </w:tc>
        <w:tc>
          <w:tcPr>
            <w:tcW w:w="1540" w:type="dxa"/>
            <w:vAlign w:val="bottom"/>
            <w:tcBorders>
              <w:bottom w:val="single" w:sz="8" w:color="auto"/>
              <w:right w:val="single" w:sz="8" w:color="auto"/>
            </w:tcBorders>
          </w:tcPr>
          <w:p>
            <w:pPr>
              <w:jc w:val="center"/>
              <w:ind w:left="163"/>
              <w:spacing w:after="0" w:line="129" w:lineRule="exact"/>
              <w:rPr>
                <w:sz w:val="20"/>
                <w:szCs w:val="20"/>
                <w:color w:val="auto"/>
              </w:rPr>
            </w:pPr>
            <w:r>
              <w:rPr>
                <w:rFonts w:ascii="Calibri" w:cs="Calibri" w:eastAsia="Calibri" w:hAnsi="Calibri"/>
                <w:sz w:val="11"/>
                <w:szCs w:val="11"/>
                <w:color w:val="auto"/>
              </w:rPr>
              <w:t>46,423</w:t>
            </w:r>
          </w:p>
        </w:tc>
        <w:tc>
          <w:tcPr>
            <w:tcW w:w="780" w:type="dxa"/>
            <w:vAlign w:val="bottom"/>
            <w:tcBorders>
              <w:bottom w:val="single" w:sz="8" w:color="auto"/>
              <w:right w:val="single" w:sz="8" w:color="auto"/>
            </w:tcBorders>
          </w:tcPr>
          <w:p>
            <w:pPr>
              <w:jc w:val="center"/>
              <w:ind w:right="3"/>
              <w:spacing w:after="0" w:line="129" w:lineRule="exact"/>
              <w:rPr>
                <w:sz w:val="20"/>
                <w:szCs w:val="20"/>
                <w:color w:val="auto"/>
              </w:rPr>
            </w:pPr>
            <w:r>
              <w:rPr>
                <w:rFonts w:ascii="Calibri" w:cs="Calibri" w:eastAsia="Calibri" w:hAnsi="Calibri"/>
                <w:sz w:val="11"/>
                <w:szCs w:val="11"/>
                <w:color w:val="auto"/>
              </w:rPr>
              <w:t>20.1%</w:t>
            </w:r>
          </w:p>
        </w:tc>
      </w:tr>
      <w:tr>
        <w:trPr>
          <w:trHeight w:val="108"/>
        </w:trPr>
        <w:tc>
          <w:tcPr>
            <w:tcW w:w="2760" w:type="dxa"/>
            <w:vAlign w:val="bottom"/>
            <w:tcBorders>
              <w:left w:val="single" w:sz="8" w:color="auto"/>
              <w:right w:val="single" w:sz="8" w:color="auto"/>
            </w:tcBorders>
          </w:tcPr>
          <w:p>
            <w:pPr>
              <w:ind w:left="20"/>
              <w:spacing w:after="0" w:line="108" w:lineRule="exact"/>
              <w:rPr>
                <w:sz w:val="20"/>
                <w:szCs w:val="20"/>
                <w:color w:val="auto"/>
              </w:rPr>
            </w:pPr>
            <w:r>
              <w:rPr>
                <w:rFonts w:ascii="Calibri" w:cs="Calibri" w:eastAsia="Calibri" w:hAnsi="Calibri"/>
                <w:sz w:val="11"/>
                <w:szCs w:val="11"/>
                <w:b w:val="1"/>
                <w:bCs w:val="1"/>
                <w:color w:val="auto"/>
              </w:rPr>
              <w:t>Share Informaton</w:t>
            </w: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Issued Shares</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94,382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94,382</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94,382</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0.0%</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0.0%</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w w:val="97"/>
              </w:rPr>
              <w:t>94,382</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94,382</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0.0%</w:t>
            </w:r>
          </w:p>
        </w:tc>
      </w:tr>
      <w:tr>
        <w:trPr>
          <w:trHeight w:val="130"/>
        </w:trPr>
        <w:tc>
          <w:tcPr>
            <w:tcW w:w="27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Treasury Shares</w:t>
            </w:r>
            <w:r>
              <w:rPr>
                <w:rFonts w:ascii="Calibri" w:cs="Calibri" w:eastAsia="Calibri" w:hAnsi="Calibri"/>
                <w:sz w:val="9"/>
                <w:szCs w:val="9"/>
                <w:color w:val="auto"/>
              </w:rPr>
              <w:t>(12)</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14,949</w:t>
            </w:r>
          </w:p>
        </w:tc>
        <w:tc>
          <w:tcPr>
            <w:tcW w:w="1240" w:type="dxa"/>
            <w:vAlign w:val="bottom"/>
          </w:tcPr>
          <w:p>
            <w:pPr>
              <w:jc w:val="center"/>
              <w:spacing w:after="0" w:line="130" w:lineRule="exact"/>
              <w:rPr>
                <w:sz w:val="20"/>
                <w:szCs w:val="20"/>
                <w:color w:val="auto"/>
              </w:rPr>
            </w:pPr>
            <w:r>
              <w:rPr>
                <w:rFonts w:ascii="Calibri" w:cs="Calibri" w:eastAsia="Calibri" w:hAnsi="Calibri"/>
                <w:sz w:val="11"/>
                <w:szCs w:val="11"/>
                <w:color w:val="auto"/>
              </w:rPr>
              <w:t>15,016</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15,016</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color w:val="auto"/>
              </w:rPr>
              <w:t>0.0%</w:t>
            </w:r>
          </w:p>
        </w:tc>
        <w:tc>
          <w:tcPr>
            <w:tcW w:w="7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0.4%</w:t>
            </w:r>
          </w:p>
        </w:tc>
        <w:tc>
          <w:tcPr>
            <w:tcW w:w="1040" w:type="dxa"/>
            <w:vAlign w:val="bottom"/>
          </w:tcPr>
          <w:p>
            <w:pPr>
              <w:jc w:val="center"/>
              <w:ind w:left="204"/>
              <w:spacing w:after="0" w:line="130" w:lineRule="exact"/>
              <w:rPr>
                <w:sz w:val="20"/>
                <w:szCs w:val="20"/>
                <w:color w:val="auto"/>
              </w:rPr>
            </w:pPr>
            <w:r>
              <w:rPr>
                <w:rFonts w:ascii="Calibri" w:cs="Calibri" w:eastAsia="Calibri" w:hAnsi="Calibri"/>
                <w:sz w:val="11"/>
                <w:szCs w:val="11"/>
                <w:color w:val="auto"/>
                <w:w w:val="97"/>
              </w:rPr>
              <w:t>14,949</w:t>
            </w:r>
          </w:p>
        </w:tc>
        <w:tc>
          <w:tcPr>
            <w:tcW w:w="1540" w:type="dxa"/>
            <w:vAlign w:val="bottom"/>
            <w:tcBorders>
              <w:right w:val="single" w:sz="8" w:color="auto"/>
            </w:tcBorders>
          </w:tcPr>
          <w:p>
            <w:pPr>
              <w:jc w:val="center"/>
              <w:ind w:left="163"/>
              <w:spacing w:after="0" w:line="130" w:lineRule="exact"/>
              <w:rPr>
                <w:sz w:val="20"/>
                <w:szCs w:val="20"/>
                <w:color w:val="auto"/>
              </w:rPr>
            </w:pPr>
            <w:r>
              <w:rPr>
                <w:rFonts w:ascii="Calibri" w:cs="Calibri" w:eastAsia="Calibri" w:hAnsi="Calibri"/>
                <w:sz w:val="11"/>
                <w:szCs w:val="11"/>
                <w:color w:val="auto"/>
              </w:rPr>
              <w:t>15,016</w:t>
            </w:r>
          </w:p>
        </w:tc>
        <w:tc>
          <w:tcPr>
            <w:tcW w:w="7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0.4%</w:t>
            </w:r>
          </w:p>
        </w:tc>
      </w:tr>
      <w:tr>
        <w:trPr>
          <w:trHeight w:val="14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Outstanding Shares</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79,433</w:t>
            </w:r>
          </w:p>
        </w:tc>
        <w:tc>
          <w:tcPr>
            <w:tcW w:w="12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79,366</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79,366</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0.0%</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-0.1%</w:t>
            </w:r>
          </w:p>
        </w:tc>
        <w:tc>
          <w:tcPr>
            <w:tcW w:w="1040" w:type="dxa"/>
            <w:vAlign w:val="bottom"/>
            <w:tcBorders>
              <w:bottom w:val="single" w:sz="8" w:color="auto"/>
            </w:tcBorders>
          </w:tcPr>
          <w:p>
            <w:pPr>
              <w:jc w:val="center"/>
              <w:ind w:left="204"/>
              <w:spacing w:after="0"/>
              <w:rPr>
                <w:sz w:val="20"/>
                <w:szCs w:val="20"/>
                <w:color w:val="auto"/>
              </w:rPr>
            </w:pPr>
            <w:r>
              <w:rPr>
                <w:rFonts w:ascii="Calibri" w:cs="Calibri" w:eastAsia="Calibri" w:hAnsi="Calibri"/>
                <w:sz w:val="11"/>
                <w:szCs w:val="11"/>
                <w:color w:val="auto"/>
                <w:w w:val="97"/>
              </w:rPr>
              <w:t>79,433</w:t>
            </w:r>
          </w:p>
        </w:tc>
        <w:tc>
          <w:tcPr>
            <w:tcW w:w="1540" w:type="dxa"/>
            <w:vAlign w:val="bottom"/>
            <w:tcBorders>
              <w:bottom w:val="single" w:sz="8" w:color="auto"/>
              <w:right w:val="single" w:sz="8" w:color="auto"/>
            </w:tcBorders>
          </w:tcPr>
          <w:p>
            <w:pPr>
              <w:jc w:val="center"/>
              <w:ind w:left="163"/>
              <w:spacing w:after="0"/>
              <w:rPr>
                <w:sz w:val="20"/>
                <w:szCs w:val="20"/>
                <w:color w:val="auto"/>
              </w:rPr>
            </w:pPr>
            <w:r>
              <w:rPr>
                <w:rFonts w:ascii="Calibri" w:cs="Calibri" w:eastAsia="Calibri" w:hAnsi="Calibri"/>
                <w:sz w:val="11"/>
                <w:szCs w:val="11"/>
                <w:color w:val="auto"/>
              </w:rPr>
              <w:t>79,366</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-0.1%</w:t>
            </w:r>
          </w:p>
        </w:tc>
      </w:tr>
    </w:tbl>
    <w:p>
      <w:pPr>
        <w:spacing w:after="0" w:line="115" w:lineRule="exact"/>
        <w:rPr>
          <w:sz w:val="20"/>
          <w:szCs w:val="20"/>
          <w:color w:val="auto"/>
        </w:rPr>
      </w:pPr>
    </w:p>
    <w:p>
      <w:pPr>
        <w:ind w:left="320" w:hanging="316"/>
        <w:spacing w:after="0"/>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Net Interest Margin = Net Interest Income (Excluding Net Insurance Financial Expenses)/ Average Interest Earning Assets</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Funding Cost = Interest Expense (Does not include Net Insurance Financial Expenses) / Average Funding</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Internal Overdue Loans: include overdue loans and loans under legal collecton, according to our internal policy for overdue loans. Internal Overdue Rato: Internal overdue loans/ Total loans</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Non-performing loans (NPL): Internal overdue loans + Refnanced loans. NPL rato: NPL / Total loans.</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Cost of risk = Annualized provision for loan losses, net of recoveries/ Total loans.</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Operatng Income = Net interest, similar income and expenses + Fee Income+ Net gain on foreign exchange transactons + Net Gain From associates + Net gain on derivatves held for trading + Result on exchange diferences + Insurance Underwritng Result + Results for Medical Services</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Operatng Expenses = Salaries and employee benefts + Administratve expenses + Depreciaton and amortzaton + Associaton in partcipaton + Acquisiton cost.</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Efciency Rato = (Salaries and employee benefts + Administratve expenses + Depreciaton and amortzaton + Associaton in partcipaton) / (Net interest, similar income and expenses + Fee Income+ Net gain on foreign exchange transactons + Net Gain From associates + Net gain on derivatves held for trading + Result on exchange diferences + Insurance Underwritng Result)</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Regulatory Capital/ Risk-weighted assets (legal minimum = 10% since July 2011).</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Tier 1 = Capital + Legal and other capital reserves + Accumulated earnings with capitalizaton agreement + (0.5 x Unrealized proft and net income in subsidiaries) - Goodwill - (0.5 x Investment in subsidiaries) + Perpetual subordinated debt (the maximum amount that can be included is 17.65% of Capital + Reserves + Accumulated earnings with capitalizaton agreement + Unrealized proft and net income in subsidiaries - Goodwill).</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Common Equity TierI = Capital + Reserves – 100% of applicable deductons (investment in subsidiaries, goodwill, intangibles, and net deferred taxes that rely on future proftability) + retained earnings + unrealized gains.</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Consider shares held by Atlantc Security Holding Corporaton (ASHC) and stock awards.</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Common Equity Tier I calculated based on IFRS Accountng.</w:t>
      </w:r>
    </w:p>
    <w:p>
      <w:pPr>
        <w:ind w:left="320" w:hanging="316"/>
        <w:spacing w:after="0" w:line="232" w:lineRule="auto"/>
        <w:tabs>
          <w:tab w:leader="none" w:pos="32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Internal management fgures. Since 1Q25, it has included corporate health and medical services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783590</wp:posOffset>
            </wp:positionV>
            <wp:extent cx="713740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130810</wp:posOffset>
            </wp:positionV>
            <wp:extent cx="6492875" cy="553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2875" cy="55372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3" w:name="page14"/>
    <w:bookmarkEnd w:id="13"/>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Main Strategic Milestones at Credicorp</w:t>
      </w:r>
    </w:p>
    <w:p>
      <w:pPr>
        <w:spacing w:after="0" w:line="233" w:lineRule="exact"/>
        <w:rPr>
          <w:sz w:val="20"/>
          <w:szCs w:val="20"/>
          <w:color w:val="auto"/>
        </w:rPr>
      </w:pPr>
    </w:p>
    <w:p>
      <w:pPr>
        <w:spacing w:after="0"/>
        <w:rPr>
          <w:sz w:val="20"/>
          <w:szCs w:val="20"/>
          <w:color w:val="auto"/>
        </w:rPr>
      </w:pPr>
      <w:r>
        <w:rPr>
          <w:rFonts w:ascii="Calibri" w:cs="Calibri" w:eastAsia="Calibri" w:hAnsi="Calibri"/>
          <w:sz w:val="31"/>
          <w:szCs w:val="31"/>
          <w:color w:val="E93BAC"/>
        </w:rPr>
        <w:t>Strategy at Credicorp</w:t>
      </w:r>
    </w:p>
    <w:p>
      <w:pPr>
        <w:spacing w:after="0" w:line="70"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Credicorp is redefning fnancial services in Latn America through a long-term strategy anchored in innovaton, inclusion, and digital transformaton. By embedding technology across core and emerging businesses, we are building a more resilient and diversifed platorm. Our focus goes beyond growth as we deepen client engagement and unlock new sources of value through data and ecosystem synergies.</w:t>
      </w:r>
    </w:p>
    <w:p>
      <w:pPr>
        <w:spacing w:after="0" w:line="148"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In 2Q25, we contnued executng this strategy by investng in technology to strengthen our core businesses while expanding our innovaton portolio, which currently represents 6.2% of Credicorp’s risk-adjusted income, signaling tangible progress in our eforts to decouple from macroeconomic cycles. Diversifying revenue sources is key to strengthening our adaptability and sustained performance.</w:t>
      </w:r>
    </w:p>
    <w:p>
      <w:pPr>
        <w:spacing w:after="0" w:line="133" w:lineRule="exact"/>
        <w:rPr>
          <w:sz w:val="20"/>
          <w:szCs w:val="20"/>
          <w:color w:val="auto"/>
        </w:rPr>
      </w:pPr>
    </w:p>
    <w:p>
      <w:pPr>
        <w:spacing w:after="0"/>
        <w:rPr>
          <w:sz w:val="20"/>
          <w:szCs w:val="20"/>
          <w:color w:val="auto"/>
        </w:rPr>
      </w:pPr>
      <w:r>
        <w:rPr>
          <w:rFonts w:ascii="Calibri" w:cs="Calibri" w:eastAsia="Calibri" w:hAnsi="Calibri"/>
          <w:sz w:val="17"/>
          <w:szCs w:val="17"/>
          <w:color w:val="auto"/>
        </w:rPr>
        <w:t>In the framework of the 30° anniversary of its listng on the NYSE, Credicorp reafrms its commitment to innovaton as a driver of sustainable value creaton.</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Credicorp invites investors and analysts to its 2025 Investor Day, which will be held on October 9, 2025.</w:t>
      </w:r>
    </w:p>
    <w:p>
      <w:pPr>
        <w:spacing w:after="0" w:line="145"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Senior management and business leaders will outline the company’s strategic transformaton of its fnance operatons to enhan ce lives and positon its platorm for leadership in an evolving region. The organizaton is developing a forward-looking fnancial services model rooted in innovaton, inclusion, and data-driven client engagement, while expanding distributon and leveraging synergies within the ecosystem. Additonally, business leaders will discuss how AI, advanced risk management, and robust data capabilites— paired with disciplined executon—are equipping the business for sustainable growth and long-term resilience.</w:t>
      </w:r>
    </w:p>
    <w:p>
      <w:pPr>
        <w:spacing w:after="0" w:line="144"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For more informaton, see: </w:t>
      </w:r>
      <w:r>
        <w:rPr>
          <w:rFonts w:ascii="Calibri" w:cs="Calibri" w:eastAsia="Calibri" w:hAnsi="Calibri"/>
          <w:sz w:val="17"/>
          <w:szCs w:val="17"/>
          <w:u w:val="single" w:color="auto"/>
          <w:color w:val="auto"/>
        </w:rPr>
        <w:t>www.credicorpday.com</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Main KPIs of Credicorp’s Strategy</w:t>
      </w:r>
    </w:p>
    <w:p>
      <w:pPr>
        <w:spacing w:after="0" w:line="198" w:lineRule="exact"/>
        <w:rPr>
          <w:sz w:val="20"/>
          <w:szCs w:val="20"/>
          <w:color w:val="auto"/>
        </w:rPr>
      </w:pPr>
    </w:p>
    <w:tbl>
      <w:tblPr>
        <w:tblLayout w:type="fixed"/>
        <w:tblInd w:w="590" w:type="dxa"/>
        <w:tblCellMar>
          <w:top w:w="0" w:type="dxa"/>
          <w:left w:w="0" w:type="dxa"/>
          <w:bottom w:w="0" w:type="dxa"/>
          <w:right w:w="0" w:type="dxa"/>
        </w:tblCellMar>
      </w:tblPr>
      <w:tr>
        <w:trPr>
          <w:trHeight w:val="219"/>
        </w:trPr>
        <w:tc>
          <w:tcPr>
            <w:tcW w:w="4520" w:type="dxa"/>
            <w:vAlign w:val="bottom"/>
            <w:tcBorders>
              <w:top w:val="single" w:sz="8" w:color="auto"/>
              <w:left w:val="single" w:sz="8" w:color="auto"/>
              <w:right w:val="single" w:sz="8" w:color="auto"/>
            </w:tcBorders>
            <w:vMerge w:val="restart"/>
            <w:shd w:val="clear" w:color="auto" w:fill="33CCCC"/>
          </w:tcPr>
          <w:p>
            <w:pPr>
              <w:spacing w:after="0"/>
              <w:rPr>
                <w:sz w:val="20"/>
                <w:szCs w:val="20"/>
                <w:color w:val="auto"/>
              </w:rPr>
            </w:pPr>
            <w:r>
              <w:rPr>
                <w:rFonts w:ascii="Calibri" w:cs="Calibri" w:eastAsia="Calibri" w:hAnsi="Calibri"/>
                <w:sz w:val="17"/>
                <w:szCs w:val="17"/>
                <w:b w:val="1"/>
                <w:bCs w:val="1"/>
                <w:color w:val="FFFFFF"/>
              </w:rPr>
              <w:t xml:space="preserve">Core Businesses Transformaton </w:t>
            </w:r>
            <w:r>
              <w:rPr>
                <w:rFonts w:ascii="Calibri" w:cs="Calibri" w:eastAsia="Calibri" w:hAnsi="Calibri"/>
                <w:sz w:val="28"/>
                <w:szCs w:val="28"/>
                <w:b w:val="1"/>
                <w:bCs w:val="1"/>
                <w:color w:val="FFFFFF"/>
                <w:vertAlign w:val="superscript"/>
              </w:rPr>
              <w:t>(1)</w:t>
            </w:r>
          </w:p>
        </w:tc>
        <w:tc>
          <w:tcPr>
            <w:tcW w:w="1100" w:type="dxa"/>
            <w:vAlign w:val="bottom"/>
            <w:tcBorders>
              <w:top w:val="single" w:sz="8" w:color="auto"/>
            </w:tcBorders>
            <w:shd w:val="clear" w:color="auto" w:fill="33CCCC"/>
          </w:tcPr>
          <w:p>
            <w:pPr>
              <w:spacing w:after="0"/>
              <w:rPr>
                <w:sz w:val="19"/>
                <w:szCs w:val="19"/>
                <w:color w:val="auto"/>
              </w:rPr>
            </w:pPr>
          </w:p>
        </w:tc>
        <w:tc>
          <w:tcPr>
            <w:tcW w:w="1160" w:type="dxa"/>
            <w:vAlign w:val="bottom"/>
            <w:tcBorders>
              <w:top w:val="single" w:sz="8" w:color="auto"/>
            </w:tcBorders>
            <w:shd w:val="clear" w:color="auto" w:fill="33CCCC"/>
          </w:tcPr>
          <w:p>
            <w:pPr>
              <w:ind w:left="280"/>
              <w:spacing w:after="0"/>
              <w:rPr>
                <w:sz w:val="20"/>
                <w:szCs w:val="20"/>
                <w:color w:val="auto"/>
              </w:rPr>
            </w:pPr>
            <w:r>
              <w:rPr>
                <w:rFonts w:ascii="Calibri" w:cs="Calibri" w:eastAsia="Calibri" w:hAnsi="Calibri"/>
                <w:sz w:val="17"/>
                <w:szCs w:val="17"/>
                <w:b w:val="1"/>
                <w:bCs w:val="1"/>
                <w:color w:val="FFFFFF"/>
              </w:rPr>
              <w:t>Quarter</w:t>
            </w:r>
          </w:p>
        </w:tc>
        <w:tc>
          <w:tcPr>
            <w:tcW w:w="1100" w:type="dxa"/>
            <w:vAlign w:val="bottom"/>
            <w:tcBorders>
              <w:top w:val="single" w:sz="8" w:color="auto"/>
              <w:right w:val="single" w:sz="8" w:color="auto"/>
            </w:tcBorders>
            <w:shd w:val="clear" w:color="auto" w:fill="33CCCC"/>
          </w:tcPr>
          <w:p>
            <w:pPr>
              <w:spacing w:after="0"/>
              <w:rPr>
                <w:sz w:val="19"/>
                <w:szCs w:val="19"/>
                <w:color w:val="auto"/>
              </w:rPr>
            </w:pPr>
          </w:p>
        </w:tc>
        <w:tc>
          <w:tcPr>
            <w:tcW w:w="840" w:type="dxa"/>
            <w:vAlign w:val="bottom"/>
            <w:tcBorders>
              <w:top w:val="single" w:sz="8" w:color="auto"/>
            </w:tcBorders>
            <w:shd w:val="clear" w:color="auto" w:fill="33CCCC"/>
          </w:tcPr>
          <w:p>
            <w:pPr>
              <w:spacing w:after="0"/>
              <w:rPr>
                <w:sz w:val="19"/>
                <w:szCs w:val="19"/>
                <w:color w:val="auto"/>
              </w:rPr>
            </w:pPr>
          </w:p>
        </w:tc>
        <w:tc>
          <w:tcPr>
            <w:tcW w:w="140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7"/>
                <w:szCs w:val="17"/>
                <w:b w:val="1"/>
                <w:bCs w:val="1"/>
                <w:color w:val="FFFFFF"/>
              </w:rPr>
              <w:t>Up to</w:t>
            </w:r>
          </w:p>
        </w:tc>
        <w:tc>
          <w:tcPr>
            <w:tcW w:w="0" w:type="dxa"/>
            <w:vAlign w:val="bottom"/>
          </w:tcPr>
          <w:p>
            <w:pPr>
              <w:spacing w:after="0"/>
              <w:rPr>
                <w:sz w:val="1"/>
                <w:szCs w:val="1"/>
                <w:color w:val="auto"/>
              </w:rPr>
            </w:pPr>
          </w:p>
        </w:tc>
      </w:tr>
      <w:tr>
        <w:trPr>
          <w:trHeight w:val="145"/>
        </w:trPr>
        <w:tc>
          <w:tcPr>
            <w:tcW w:w="4520" w:type="dxa"/>
            <w:vAlign w:val="bottom"/>
            <w:tcBorders>
              <w:left w:val="single" w:sz="8" w:color="auto"/>
              <w:right w:val="single" w:sz="8" w:color="auto"/>
            </w:tcBorders>
            <w:vMerge w:val="continue"/>
            <w:shd w:val="clear" w:color="auto" w:fill="33CCCC"/>
          </w:tcPr>
          <w:p>
            <w:pPr>
              <w:spacing w:after="0"/>
              <w:rPr>
                <w:sz w:val="12"/>
                <w:szCs w:val="12"/>
                <w:color w:val="auto"/>
              </w:rPr>
            </w:pPr>
          </w:p>
        </w:tc>
        <w:tc>
          <w:tcPr>
            <w:tcW w:w="1100" w:type="dxa"/>
            <w:vAlign w:val="bottom"/>
            <w:vMerge w:val="restart"/>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w w:val="95"/>
              </w:rPr>
              <w:t>2Q24</w:t>
            </w:r>
          </w:p>
        </w:tc>
        <w:tc>
          <w:tcPr>
            <w:tcW w:w="1160" w:type="dxa"/>
            <w:vAlign w:val="bottom"/>
            <w:vMerge w:val="restart"/>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rPr>
              <w:t>1Q25</w:t>
            </w:r>
          </w:p>
        </w:tc>
        <w:tc>
          <w:tcPr>
            <w:tcW w:w="1100" w:type="dxa"/>
            <w:vAlign w:val="bottom"/>
            <w:tcBorders>
              <w:right w:val="single" w:sz="8" w:color="auto"/>
            </w:tcBorders>
            <w:vMerge w:val="restart"/>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rPr>
              <w:t>2Q25</w:t>
            </w:r>
          </w:p>
        </w:tc>
        <w:tc>
          <w:tcPr>
            <w:tcW w:w="840" w:type="dxa"/>
            <w:vAlign w:val="bottom"/>
            <w:vMerge w:val="restart"/>
            <w:shd w:val="clear" w:color="auto" w:fill="33CCCC"/>
          </w:tcPr>
          <w:p>
            <w:pPr>
              <w:ind w:left="300"/>
              <w:spacing w:after="0" w:line="206" w:lineRule="exact"/>
              <w:rPr>
                <w:sz w:val="20"/>
                <w:szCs w:val="20"/>
                <w:color w:val="auto"/>
              </w:rPr>
            </w:pPr>
            <w:r>
              <w:rPr>
                <w:rFonts w:ascii="Calibri" w:cs="Calibri" w:eastAsia="Calibri" w:hAnsi="Calibri"/>
                <w:sz w:val="17"/>
                <w:szCs w:val="17"/>
                <w:b w:val="1"/>
                <w:bCs w:val="1"/>
                <w:color w:val="FFFFFF"/>
              </w:rPr>
              <w:t>Jun 24</w:t>
            </w:r>
          </w:p>
        </w:tc>
        <w:tc>
          <w:tcPr>
            <w:tcW w:w="1400" w:type="dxa"/>
            <w:vAlign w:val="bottom"/>
            <w:tcBorders>
              <w:right w:val="single" w:sz="8" w:color="auto"/>
            </w:tcBorders>
            <w:vMerge w:val="restart"/>
            <w:shd w:val="clear" w:color="auto" w:fill="33CCCC"/>
          </w:tcPr>
          <w:p>
            <w:pPr>
              <w:ind w:left="580"/>
              <w:spacing w:after="0" w:line="206" w:lineRule="exact"/>
              <w:rPr>
                <w:sz w:val="20"/>
                <w:szCs w:val="20"/>
                <w:color w:val="auto"/>
              </w:rPr>
            </w:pPr>
            <w:r>
              <w:rPr>
                <w:rFonts w:ascii="Calibri" w:cs="Calibri" w:eastAsia="Calibri" w:hAnsi="Calibri"/>
                <w:sz w:val="17"/>
                <w:szCs w:val="17"/>
                <w:b w:val="1"/>
                <w:bCs w:val="1"/>
                <w:color w:val="FFFFFF"/>
              </w:rPr>
              <w:t>Jun 25</w:t>
            </w:r>
          </w:p>
        </w:tc>
        <w:tc>
          <w:tcPr>
            <w:tcW w:w="0" w:type="dxa"/>
            <w:vAlign w:val="bottom"/>
          </w:tcPr>
          <w:p>
            <w:pPr>
              <w:spacing w:after="0"/>
              <w:rPr>
                <w:sz w:val="1"/>
                <w:szCs w:val="1"/>
                <w:color w:val="auto"/>
              </w:rPr>
            </w:pPr>
          </w:p>
        </w:tc>
      </w:tr>
      <w:tr>
        <w:trPr>
          <w:trHeight w:val="63"/>
        </w:trPr>
        <w:tc>
          <w:tcPr>
            <w:tcW w:w="4520" w:type="dxa"/>
            <w:vAlign w:val="bottom"/>
            <w:tcBorders>
              <w:left w:val="single" w:sz="8" w:color="auto"/>
              <w:bottom w:val="single" w:sz="8" w:color="auto"/>
              <w:right w:val="single" w:sz="8" w:color="auto"/>
            </w:tcBorders>
            <w:shd w:val="clear" w:color="auto" w:fill="33CCCC"/>
          </w:tcPr>
          <w:p>
            <w:pPr>
              <w:spacing w:after="0"/>
              <w:rPr>
                <w:sz w:val="5"/>
                <w:szCs w:val="5"/>
                <w:color w:val="auto"/>
              </w:rPr>
            </w:pPr>
          </w:p>
        </w:tc>
        <w:tc>
          <w:tcPr>
            <w:tcW w:w="1100" w:type="dxa"/>
            <w:vAlign w:val="bottom"/>
            <w:tcBorders>
              <w:bottom w:val="single" w:sz="8" w:color="auto"/>
            </w:tcBorders>
            <w:vMerge w:val="continue"/>
            <w:shd w:val="clear" w:color="auto" w:fill="33CCCC"/>
          </w:tcPr>
          <w:p>
            <w:pPr>
              <w:spacing w:after="0"/>
              <w:rPr>
                <w:sz w:val="5"/>
                <w:szCs w:val="5"/>
                <w:color w:val="auto"/>
              </w:rPr>
            </w:pPr>
          </w:p>
        </w:tc>
        <w:tc>
          <w:tcPr>
            <w:tcW w:w="1160" w:type="dxa"/>
            <w:vAlign w:val="bottom"/>
            <w:tcBorders>
              <w:bottom w:val="single" w:sz="8" w:color="auto"/>
            </w:tcBorders>
            <w:vMerge w:val="continue"/>
            <w:shd w:val="clear" w:color="auto" w:fill="33CCCC"/>
          </w:tcPr>
          <w:p>
            <w:pPr>
              <w:spacing w:after="0"/>
              <w:rPr>
                <w:sz w:val="5"/>
                <w:szCs w:val="5"/>
                <w:color w:val="auto"/>
              </w:rPr>
            </w:pPr>
          </w:p>
        </w:tc>
        <w:tc>
          <w:tcPr>
            <w:tcW w:w="110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840" w:type="dxa"/>
            <w:vAlign w:val="bottom"/>
            <w:tcBorders>
              <w:bottom w:val="single" w:sz="8" w:color="auto"/>
            </w:tcBorders>
            <w:vMerge w:val="continue"/>
            <w:shd w:val="clear" w:color="auto" w:fill="33CCCC"/>
          </w:tcPr>
          <w:p>
            <w:pPr>
              <w:spacing w:after="0"/>
              <w:rPr>
                <w:sz w:val="5"/>
                <w:szCs w:val="5"/>
                <w:color w:val="auto"/>
              </w:rPr>
            </w:pPr>
          </w:p>
        </w:tc>
        <w:tc>
          <w:tcPr>
            <w:tcW w:w="140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520" w:type="dxa"/>
            <w:vAlign w:val="bottom"/>
            <w:tcBorders>
              <w:left w:val="single" w:sz="8" w:color="auto"/>
              <w:right w:val="single" w:sz="8" w:color="auto"/>
            </w:tcBorders>
          </w:tcPr>
          <w:p>
            <w:pPr>
              <w:spacing w:after="0" w:line="182" w:lineRule="exact"/>
              <w:rPr>
                <w:sz w:val="20"/>
                <w:szCs w:val="20"/>
                <w:color w:val="auto"/>
              </w:rPr>
            </w:pPr>
            <w:r>
              <w:rPr>
                <w:rFonts w:ascii="Calibri" w:cs="Calibri" w:eastAsia="Calibri" w:hAnsi="Calibri"/>
                <w:sz w:val="17"/>
                <w:szCs w:val="17"/>
                <w:b w:val="1"/>
                <w:bCs w:val="1"/>
                <w:color w:val="auto"/>
              </w:rPr>
              <w:t>Credicorp</w:t>
            </w: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20" w:type="dxa"/>
            <w:vAlign w:val="bottom"/>
            <w:tcBorders>
              <w:left w:val="single" w:sz="8" w:color="auto"/>
              <w:right w:val="single" w:sz="8" w:color="auto"/>
            </w:tcBorders>
          </w:tcPr>
          <w:p>
            <w:pPr>
              <w:spacing w:after="0" w:line="209" w:lineRule="exact"/>
              <w:rPr>
                <w:sz w:val="20"/>
                <w:szCs w:val="20"/>
                <w:color w:val="auto"/>
              </w:rPr>
            </w:pPr>
            <w:r>
              <w:rPr>
                <w:rFonts w:ascii="Calibri" w:cs="Calibri" w:eastAsia="Calibri" w:hAnsi="Calibri"/>
                <w:sz w:val="14"/>
                <w:szCs w:val="14"/>
                <w:color w:val="auto"/>
              </w:rPr>
              <w:t xml:space="preserve">Innovaton Portolio Risk-Adjusted Revenue Share </w:t>
            </w:r>
            <w:r>
              <w:rPr>
                <w:rFonts w:ascii="Calibri" w:cs="Calibri" w:eastAsia="Calibri" w:hAnsi="Calibri"/>
                <w:sz w:val="22"/>
                <w:szCs w:val="22"/>
                <w:color w:val="auto"/>
                <w:vertAlign w:val="superscript"/>
              </w:rPr>
              <w:t>(2)</w:t>
            </w:r>
          </w:p>
        </w:tc>
        <w:tc>
          <w:tcPr>
            <w:tcW w:w="1100" w:type="dxa"/>
            <w:vAlign w:val="bottom"/>
          </w:tcPr>
          <w:p>
            <w:pPr>
              <w:jc w:val="center"/>
              <w:spacing w:after="0" w:line="206" w:lineRule="exact"/>
              <w:rPr>
                <w:sz w:val="20"/>
                <w:szCs w:val="20"/>
                <w:color w:val="auto"/>
              </w:rPr>
            </w:pPr>
            <w:r>
              <w:rPr>
                <w:rFonts w:ascii="Calibri" w:cs="Calibri" w:eastAsia="Calibri" w:hAnsi="Calibri"/>
                <w:sz w:val="17"/>
                <w:szCs w:val="17"/>
                <w:color w:val="auto"/>
              </w:rPr>
              <w:t>3.4%</w:t>
            </w:r>
          </w:p>
        </w:tc>
        <w:tc>
          <w:tcPr>
            <w:tcW w:w="1160" w:type="dxa"/>
            <w:vAlign w:val="bottom"/>
          </w:tcPr>
          <w:p>
            <w:pPr>
              <w:jc w:val="center"/>
              <w:spacing w:after="0" w:line="206" w:lineRule="exact"/>
              <w:rPr>
                <w:sz w:val="20"/>
                <w:szCs w:val="20"/>
                <w:color w:val="auto"/>
              </w:rPr>
            </w:pPr>
            <w:r>
              <w:rPr>
                <w:rFonts w:ascii="Calibri" w:cs="Calibri" w:eastAsia="Calibri" w:hAnsi="Calibri"/>
                <w:sz w:val="17"/>
                <w:szCs w:val="17"/>
                <w:color w:val="auto"/>
              </w:rPr>
              <w:t>5.4%</w:t>
            </w:r>
          </w:p>
        </w:tc>
        <w:tc>
          <w:tcPr>
            <w:tcW w:w="11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6.2%</w:t>
            </w:r>
          </w:p>
        </w:tc>
        <w:tc>
          <w:tcPr>
            <w:tcW w:w="840" w:type="dxa"/>
            <w:vAlign w:val="bottom"/>
          </w:tcPr>
          <w:p>
            <w:pPr>
              <w:jc w:val="center"/>
              <w:ind w:left="133"/>
              <w:spacing w:after="0" w:line="206" w:lineRule="exact"/>
              <w:rPr>
                <w:sz w:val="20"/>
                <w:szCs w:val="20"/>
                <w:color w:val="auto"/>
              </w:rPr>
            </w:pPr>
            <w:r>
              <w:rPr>
                <w:rFonts w:ascii="Calibri" w:cs="Calibri" w:eastAsia="Calibri" w:hAnsi="Calibri"/>
                <w:sz w:val="17"/>
                <w:szCs w:val="17"/>
                <w:color w:val="auto"/>
              </w:rPr>
              <w:t>3.3%</w:t>
            </w:r>
          </w:p>
        </w:tc>
        <w:tc>
          <w:tcPr>
            <w:tcW w:w="1400" w:type="dxa"/>
            <w:vAlign w:val="bottom"/>
            <w:tcBorders>
              <w:right w:val="single" w:sz="8" w:color="auto"/>
            </w:tcBorders>
          </w:tcPr>
          <w:p>
            <w:pPr>
              <w:jc w:val="center"/>
              <w:ind w:left="133"/>
              <w:spacing w:after="0" w:line="206" w:lineRule="exact"/>
              <w:rPr>
                <w:sz w:val="20"/>
                <w:szCs w:val="20"/>
                <w:color w:val="auto"/>
              </w:rPr>
            </w:pPr>
            <w:r>
              <w:rPr>
                <w:rFonts w:ascii="Calibri" w:cs="Calibri" w:eastAsia="Calibri" w:hAnsi="Calibri"/>
                <w:sz w:val="17"/>
                <w:szCs w:val="17"/>
                <w:color w:val="auto"/>
              </w:rPr>
              <w:t>5.8%</w:t>
            </w:r>
          </w:p>
        </w:tc>
        <w:tc>
          <w:tcPr>
            <w:tcW w:w="0" w:type="dxa"/>
            <w:vAlign w:val="bottom"/>
          </w:tcPr>
          <w:p>
            <w:pPr>
              <w:spacing w:after="0"/>
              <w:rPr>
                <w:sz w:val="1"/>
                <w:szCs w:val="1"/>
                <w:color w:val="auto"/>
              </w:rPr>
            </w:pPr>
          </w:p>
        </w:tc>
      </w:tr>
      <w:tr>
        <w:trPr>
          <w:trHeight w:val="206"/>
        </w:trPr>
        <w:tc>
          <w:tcPr>
            <w:tcW w:w="4520" w:type="dxa"/>
            <w:vAlign w:val="bottom"/>
            <w:tcBorders>
              <w:left w:val="single" w:sz="8" w:color="auto"/>
              <w:right w:val="single" w:sz="8" w:color="auto"/>
            </w:tcBorders>
          </w:tcPr>
          <w:p>
            <w:pPr>
              <w:spacing w:after="0" w:line="206" w:lineRule="exact"/>
              <w:rPr>
                <w:sz w:val="20"/>
                <w:szCs w:val="20"/>
                <w:color w:val="auto"/>
              </w:rPr>
            </w:pPr>
            <w:r>
              <w:rPr>
                <w:rFonts w:ascii="Calibri" w:cs="Calibri" w:eastAsia="Calibri" w:hAnsi="Calibri"/>
                <w:sz w:val="17"/>
                <w:szCs w:val="17"/>
                <w:b w:val="1"/>
                <w:bCs w:val="1"/>
                <w:color w:val="auto"/>
              </w:rPr>
              <w:t>BCP Stand-alone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right w:val="single" w:sz="8" w:color="auto"/>
            </w:tcBorders>
          </w:tcPr>
          <w:p>
            <w:pPr>
              <w:spacing w:after="0" w:line="210" w:lineRule="exact"/>
              <w:rPr>
                <w:sz w:val="20"/>
                <w:szCs w:val="20"/>
                <w:color w:val="auto"/>
              </w:rPr>
            </w:pPr>
            <w:r>
              <w:rPr>
                <w:rFonts w:ascii="Calibri" w:cs="Calibri" w:eastAsia="Calibri" w:hAnsi="Calibri"/>
                <w:sz w:val="14"/>
                <w:szCs w:val="14"/>
                <w:color w:val="auto"/>
              </w:rPr>
              <w:t xml:space="preserve">Digital clients </w:t>
            </w:r>
            <w:r>
              <w:rPr>
                <w:rFonts w:ascii="Calibri" w:cs="Calibri" w:eastAsia="Calibri" w:hAnsi="Calibri"/>
                <w:sz w:val="22"/>
                <w:szCs w:val="22"/>
                <w:color w:val="auto"/>
                <w:vertAlign w:val="superscript"/>
              </w:rPr>
              <w:t>(3)</w:t>
            </w:r>
          </w:p>
        </w:tc>
        <w:tc>
          <w:tcPr>
            <w:tcW w:w="1100" w:type="dxa"/>
            <w:vAlign w:val="bottom"/>
          </w:tcPr>
          <w:p>
            <w:pPr>
              <w:jc w:val="center"/>
              <w:spacing w:after="0"/>
              <w:rPr>
                <w:sz w:val="20"/>
                <w:szCs w:val="20"/>
                <w:color w:val="auto"/>
              </w:rPr>
            </w:pPr>
            <w:r>
              <w:rPr>
                <w:rFonts w:ascii="Calibri" w:cs="Calibri" w:eastAsia="Calibri" w:hAnsi="Calibri"/>
                <w:sz w:val="17"/>
                <w:szCs w:val="17"/>
                <w:color w:val="auto"/>
                <w:w w:val="95"/>
              </w:rPr>
              <w:t>72%</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78%</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79%</w:t>
            </w:r>
          </w:p>
        </w:tc>
        <w:tc>
          <w:tcPr>
            <w:tcW w:w="840" w:type="dxa"/>
            <w:vAlign w:val="bottom"/>
          </w:tcPr>
          <w:p>
            <w:pPr>
              <w:jc w:val="center"/>
              <w:ind w:left="133"/>
              <w:spacing w:after="0"/>
              <w:rPr>
                <w:sz w:val="20"/>
                <w:szCs w:val="20"/>
                <w:color w:val="auto"/>
              </w:rPr>
            </w:pPr>
            <w:r>
              <w:rPr>
                <w:rFonts w:ascii="Calibri" w:cs="Calibri" w:eastAsia="Calibri" w:hAnsi="Calibri"/>
                <w:sz w:val="17"/>
                <w:szCs w:val="17"/>
                <w:color w:val="auto"/>
              </w:rPr>
              <w:t>70%</w:t>
            </w:r>
          </w:p>
        </w:tc>
        <w:tc>
          <w:tcPr>
            <w:tcW w:w="1400" w:type="dxa"/>
            <w:vAlign w:val="bottom"/>
            <w:tcBorders>
              <w:right w:val="single" w:sz="8" w:color="auto"/>
            </w:tcBorders>
          </w:tcPr>
          <w:p>
            <w:pPr>
              <w:jc w:val="center"/>
              <w:ind w:left="133"/>
              <w:spacing w:after="0"/>
              <w:rPr>
                <w:sz w:val="20"/>
                <w:szCs w:val="20"/>
                <w:color w:val="auto"/>
              </w:rPr>
            </w:pPr>
            <w:r>
              <w:rPr>
                <w:rFonts w:ascii="Calibri" w:cs="Calibri" w:eastAsia="Calibri" w:hAnsi="Calibri"/>
                <w:sz w:val="17"/>
                <w:szCs w:val="17"/>
                <w:color w:val="auto"/>
              </w:rPr>
              <w:t>78%</w:t>
            </w:r>
          </w:p>
        </w:tc>
        <w:tc>
          <w:tcPr>
            <w:tcW w:w="0" w:type="dxa"/>
            <w:vAlign w:val="bottom"/>
          </w:tcPr>
          <w:p>
            <w:pPr>
              <w:spacing w:after="0"/>
              <w:rPr>
                <w:sz w:val="1"/>
                <w:szCs w:val="1"/>
                <w:color w:val="auto"/>
              </w:rPr>
            </w:pPr>
          </w:p>
        </w:tc>
      </w:tr>
      <w:tr>
        <w:trPr>
          <w:trHeight w:val="208"/>
        </w:trPr>
        <w:tc>
          <w:tcPr>
            <w:tcW w:w="4520" w:type="dxa"/>
            <w:vAlign w:val="bottom"/>
            <w:tcBorders>
              <w:left w:val="single" w:sz="8" w:color="auto"/>
              <w:right w:val="single" w:sz="8" w:color="auto"/>
            </w:tcBorders>
          </w:tcPr>
          <w:p>
            <w:pPr>
              <w:spacing w:after="0" w:line="209" w:lineRule="exact"/>
              <w:rPr>
                <w:sz w:val="20"/>
                <w:szCs w:val="20"/>
                <w:color w:val="auto"/>
              </w:rPr>
            </w:pPr>
            <w:r>
              <w:rPr>
                <w:rFonts w:ascii="Calibri" w:cs="Calibri" w:eastAsia="Calibri" w:hAnsi="Calibri"/>
                <w:sz w:val="14"/>
                <w:szCs w:val="14"/>
                <w:color w:val="auto"/>
              </w:rPr>
              <w:t xml:space="preserve">Digital monetary transactons </w:t>
            </w:r>
            <w:r>
              <w:rPr>
                <w:rFonts w:ascii="Calibri" w:cs="Calibri" w:eastAsia="Calibri" w:hAnsi="Calibri"/>
                <w:sz w:val="22"/>
                <w:szCs w:val="22"/>
                <w:color w:val="auto"/>
                <w:vertAlign w:val="superscript"/>
              </w:rPr>
              <w:t>(4)</w:t>
            </w:r>
          </w:p>
        </w:tc>
        <w:tc>
          <w:tcPr>
            <w:tcW w:w="1100" w:type="dxa"/>
            <w:vAlign w:val="bottom"/>
          </w:tcPr>
          <w:p>
            <w:pPr>
              <w:jc w:val="center"/>
              <w:spacing w:after="0" w:line="206" w:lineRule="exact"/>
              <w:rPr>
                <w:sz w:val="20"/>
                <w:szCs w:val="20"/>
                <w:color w:val="auto"/>
              </w:rPr>
            </w:pPr>
            <w:r>
              <w:rPr>
                <w:rFonts w:ascii="Calibri" w:cs="Calibri" w:eastAsia="Calibri" w:hAnsi="Calibri"/>
                <w:sz w:val="17"/>
                <w:szCs w:val="17"/>
                <w:color w:val="auto"/>
                <w:w w:val="95"/>
              </w:rPr>
              <w:t>85%</w:t>
            </w:r>
          </w:p>
        </w:tc>
        <w:tc>
          <w:tcPr>
            <w:tcW w:w="1160" w:type="dxa"/>
            <w:vAlign w:val="bottom"/>
          </w:tcPr>
          <w:p>
            <w:pPr>
              <w:jc w:val="center"/>
              <w:spacing w:after="0" w:line="206" w:lineRule="exact"/>
              <w:rPr>
                <w:sz w:val="20"/>
                <w:szCs w:val="20"/>
                <w:color w:val="auto"/>
              </w:rPr>
            </w:pPr>
            <w:r>
              <w:rPr>
                <w:rFonts w:ascii="Calibri" w:cs="Calibri" w:eastAsia="Calibri" w:hAnsi="Calibri"/>
                <w:sz w:val="17"/>
                <w:szCs w:val="17"/>
                <w:color w:val="auto"/>
              </w:rPr>
              <w:t>89%</w:t>
            </w:r>
          </w:p>
        </w:tc>
        <w:tc>
          <w:tcPr>
            <w:tcW w:w="11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90%</w:t>
            </w:r>
          </w:p>
        </w:tc>
        <w:tc>
          <w:tcPr>
            <w:tcW w:w="840" w:type="dxa"/>
            <w:vAlign w:val="bottom"/>
          </w:tcPr>
          <w:p>
            <w:pPr>
              <w:jc w:val="center"/>
              <w:ind w:left="133"/>
              <w:spacing w:after="0" w:line="206" w:lineRule="exact"/>
              <w:rPr>
                <w:sz w:val="20"/>
                <w:szCs w:val="20"/>
                <w:color w:val="auto"/>
              </w:rPr>
            </w:pPr>
            <w:r>
              <w:rPr>
                <w:rFonts w:ascii="Calibri" w:cs="Calibri" w:eastAsia="Calibri" w:hAnsi="Calibri"/>
                <w:sz w:val="17"/>
                <w:szCs w:val="17"/>
                <w:color w:val="auto"/>
              </w:rPr>
              <w:t>84%</w:t>
            </w:r>
          </w:p>
        </w:tc>
        <w:tc>
          <w:tcPr>
            <w:tcW w:w="1400" w:type="dxa"/>
            <w:vAlign w:val="bottom"/>
            <w:tcBorders>
              <w:right w:val="single" w:sz="8" w:color="auto"/>
            </w:tcBorders>
          </w:tcPr>
          <w:p>
            <w:pPr>
              <w:jc w:val="center"/>
              <w:ind w:left="133"/>
              <w:spacing w:after="0" w:line="206" w:lineRule="exact"/>
              <w:rPr>
                <w:sz w:val="20"/>
                <w:szCs w:val="20"/>
                <w:color w:val="auto"/>
              </w:rPr>
            </w:pPr>
            <w:r>
              <w:rPr>
                <w:rFonts w:ascii="Calibri" w:cs="Calibri" w:eastAsia="Calibri" w:hAnsi="Calibri"/>
                <w:sz w:val="17"/>
                <w:szCs w:val="17"/>
                <w:color w:val="auto"/>
              </w:rPr>
              <w:t>89%</w:t>
            </w:r>
          </w:p>
        </w:tc>
        <w:tc>
          <w:tcPr>
            <w:tcW w:w="0" w:type="dxa"/>
            <w:vAlign w:val="bottom"/>
          </w:tcPr>
          <w:p>
            <w:pPr>
              <w:spacing w:after="0"/>
              <w:rPr>
                <w:sz w:val="1"/>
                <w:szCs w:val="1"/>
                <w:color w:val="auto"/>
              </w:rPr>
            </w:pPr>
          </w:p>
        </w:tc>
      </w:tr>
      <w:tr>
        <w:trPr>
          <w:trHeight w:val="208"/>
        </w:trPr>
        <w:tc>
          <w:tcPr>
            <w:tcW w:w="4520" w:type="dxa"/>
            <w:vAlign w:val="bottom"/>
            <w:tcBorders>
              <w:left w:val="single" w:sz="8" w:color="auto"/>
              <w:right w:val="single" w:sz="8" w:color="auto"/>
            </w:tcBorders>
          </w:tcPr>
          <w:p>
            <w:pPr>
              <w:spacing w:after="0" w:line="209" w:lineRule="exact"/>
              <w:rPr>
                <w:sz w:val="20"/>
                <w:szCs w:val="20"/>
                <w:color w:val="auto"/>
              </w:rPr>
            </w:pPr>
            <w:r>
              <w:rPr>
                <w:rFonts w:ascii="Calibri" w:cs="Calibri" w:eastAsia="Calibri" w:hAnsi="Calibri"/>
                <w:sz w:val="14"/>
                <w:szCs w:val="14"/>
                <w:color w:val="auto"/>
              </w:rPr>
              <w:t xml:space="preserve">Cashless transactons </w:t>
            </w:r>
            <w:r>
              <w:rPr>
                <w:rFonts w:ascii="Calibri" w:cs="Calibri" w:eastAsia="Calibri" w:hAnsi="Calibri"/>
                <w:sz w:val="22"/>
                <w:szCs w:val="22"/>
                <w:color w:val="auto"/>
                <w:vertAlign w:val="superscript"/>
              </w:rPr>
              <w:t>(5)</w:t>
            </w:r>
          </w:p>
        </w:tc>
        <w:tc>
          <w:tcPr>
            <w:tcW w:w="1100" w:type="dxa"/>
            <w:vAlign w:val="bottom"/>
          </w:tcPr>
          <w:p>
            <w:pPr>
              <w:jc w:val="center"/>
              <w:spacing w:after="0" w:line="206" w:lineRule="exact"/>
              <w:rPr>
                <w:sz w:val="20"/>
                <w:szCs w:val="20"/>
                <w:color w:val="auto"/>
              </w:rPr>
            </w:pPr>
            <w:r>
              <w:rPr>
                <w:rFonts w:ascii="Calibri" w:cs="Calibri" w:eastAsia="Calibri" w:hAnsi="Calibri"/>
                <w:sz w:val="17"/>
                <w:szCs w:val="17"/>
                <w:color w:val="auto"/>
                <w:w w:val="95"/>
              </w:rPr>
              <w:t>61%</w:t>
            </w:r>
          </w:p>
        </w:tc>
        <w:tc>
          <w:tcPr>
            <w:tcW w:w="1160" w:type="dxa"/>
            <w:vAlign w:val="bottom"/>
          </w:tcPr>
          <w:p>
            <w:pPr>
              <w:jc w:val="center"/>
              <w:spacing w:after="0" w:line="206" w:lineRule="exact"/>
              <w:rPr>
                <w:sz w:val="20"/>
                <w:szCs w:val="20"/>
                <w:color w:val="auto"/>
              </w:rPr>
            </w:pPr>
            <w:r>
              <w:rPr>
                <w:rFonts w:ascii="Calibri" w:cs="Calibri" w:eastAsia="Calibri" w:hAnsi="Calibri"/>
                <w:sz w:val="17"/>
                <w:szCs w:val="17"/>
                <w:color w:val="auto"/>
              </w:rPr>
              <w:t>66%</w:t>
            </w:r>
          </w:p>
        </w:tc>
        <w:tc>
          <w:tcPr>
            <w:tcW w:w="11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66%</w:t>
            </w:r>
          </w:p>
        </w:tc>
        <w:tc>
          <w:tcPr>
            <w:tcW w:w="840" w:type="dxa"/>
            <w:vAlign w:val="bottom"/>
          </w:tcPr>
          <w:p>
            <w:pPr>
              <w:jc w:val="center"/>
              <w:ind w:left="133"/>
              <w:spacing w:after="0" w:line="206" w:lineRule="exact"/>
              <w:rPr>
                <w:sz w:val="20"/>
                <w:szCs w:val="20"/>
                <w:color w:val="auto"/>
              </w:rPr>
            </w:pPr>
            <w:r>
              <w:rPr>
                <w:rFonts w:ascii="Calibri" w:cs="Calibri" w:eastAsia="Calibri" w:hAnsi="Calibri"/>
                <w:sz w:val="17"/>
                <w:szCs w:val="17"/>
                <w:color w:val="auto"/>
              </w:rPr>
              <w:t>58%</w:t>
            </w:r>
          </w:p>
        </w:tc>
        <w:tc>
          <w:tcPr>
            <w:tcW w:w="1400" w:type="dxa"/>
            <w:vAlign w:val="bottom"/>
            <w:tcBorders>
              <w:right w:val="single" w:sz="8" w:color="auto"/>
            </w:tcBorders>
          </w:tcPr>
          <w:p>
            <w:pPr>
              <w:jc w:val="center"/>
              <w:ind w:left="133"/>
              <w:spacing w:after="0" w:line="206" w:lineRule="exact"/>
              <w:rPr>
                <w:sz w:val="20"/>
                <w:szCs w:val="20"/>
                <w:color w:val="auto"/>
              </w:rPr>
            </w:pPr>
            <w:r>
              <w:rPr>
                <w:rFonts w:ascii="Calibri" w:cs="Calibri" w:eastAsia="Calibri" w:hAnsi="Calibri"/>
                <w:sz w:val="17"/>
                <w:szCs w:val="17"/>
                <w:color w:val="auto"/>
              </w:rPr>
              <w:t>65%</w:t>
            </w:r>
          </w:p>
        </w:tc>
        <w:tc>
          <w:tcPr>
            <w:tcW w:w="0" w:type="dxa"/>
            <w:vAlign w:val="bottom"/>
          </w:tcPr>
          <w:p>
            <w:pPr>
              <w:spacing w:after="0"/>
              <w:rPr>
                <w:sz w:val="1"/>
                <w:szCs w:val="1"/>
                <w:color w:val="auto"/>
              </w:rPr>
            </w:pPr>
          </w:p>
        </w:tc>
      </w:tr>
      <w:tr>
        <w:trPr>
          <w:trHeight w:val="206"/>
        </w:trPr>
        <w:tc>
          <w:tcPr>
            <w:tcW w:w="4520" w:type="dxa"/>
            <w:vAlign w:val="bottom"/>
            <w:tcBorders>
              <w:left w:val="single" w:sz="8" w:color="auto"/>
              <w:right w:val="single" w:sz="8" w:color="auto"/>
            </w:tcBorders>
          </w:tcPr>
          <w:p>
            <w:pPr>
              <w:spacing w:after="0" w:line="206" w:lineRule="exact"/>
              <w:rPr>
                <w:sz w:val="20"/>
                <w:szCs w:val="20"/>
                <w:color w:val="auto"/>
              </w:rPr>
            </w:pPr>
            <w:r>
              <w:rPr>
                <w:rFonts w:ascii="Calibri" w:cs="Calibri" w:eastAsia="Calibri" w:hAnsi="Calibri"/>
                <w:sz w:val="17"/>
                <w:szCs w:val="17"/>
                <w:b w:val="1"/>
                <w:bCs w:val="1"/>
                <w:color w:val="auto"/>
              </w:rPr>
              <w:t>Mibanco</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Borders>
              <w:left w:val="single" w:sz="8" w:color="auto"/>
              <w:right w:val="single" w:sz="8" w:color="auto"/>
            </w:tcBorders>
          </w:tcPr>
          <w:p>
            <w:pPr>
              <w:spacing w:after="0" w:line="210" w:lineRule="exact"/>
              <w:rPr>
                <w:sz w:val="20"/>
                <w:szCs w:val="20"/>
                <w:color w:val="auto"/>
              </w:rPr>
            </w:pPr>
            <w:r>
              <w:rPr>
                <w:rFonts w:ascii="Calibri" w:cs="Calibri" w:eastAsia="Calibri" w:hAnsi="Calibri"/>
                <w:sz w:val="14"/>
                <w:szCs w:val="14"/>
                <w:color w:val="auto"/>
              </w:rPr>
              <w:t xml:space="preserve">Disbursements through leads </w:t>
            </w:r>
            <w:r>
              <w:rPr>
                <w:rFonts w:ascii="Calibri" w:cs="Calibri" w:eastAsia="Calibri" w:hAnsi="Calibri"/>
                <w:sz w:val="22"/>
                <w:szCs w:val="22"/>
                <w:color w:val="auto"/>
                <w:vertAlign w:val="superscript"/>
              </w:rPr>
              <w:t>(6)</w:t>
            </w:r>
          </w:p>
        </w:tc>
        <w:tc>
          <w:tcPr>
            <w:tcW w:w="1100" w:type="dxa"/>
            <w:vAlign w:val="bottom"/>
          </w:tcPr>
          <w:p>
            <w:pPr>
              <w:jc w:val="center"/>
              <w:spacing w:after="0"/>
              <w:rPr>
                <w:sz w:val="20"/>
                <w:szCs w:val="20"/>
                <w:color w:val="auto"/>
              </w:rPr>
            </w:pPr>
            <w:r>
              <w:rPr>
                <w:rFonts w:ascii="Calibri" w:cs="Calibri" w:eastAsia="Calibri" w:hAnsi="Calibri"/>
                <w:sz w:val="17"/>
                <w:szCs w:val="17"/>
                <w:color w:val="auto"/>
                <w:w w:val="95"/>
              </w:rPr>
              <w:t>68%</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70%</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65%</w:t>
            </w:r>
          </w:p>
        </w:tc>
        <w:tc>
          <w:tcPr>
            <w:tcW w:w="840" w:type="dxa"/>
            <w:vAlign w:val="bottom"/>
          </w:tcPr>
          <w:p>
            <w:pPr>
              <w:jc w:val="center"/>
              <w:ind w:left="133"/>
              <w:spacing w:after="0"/>
              <w:rPr>
                <w:sz w:val="20"/>
                <w:szCs w:val="20"/>
                <w:color w:val="auto"/>
              </w:rPr>
            </w:pPr>
            <w:r>
              <w:rPr>
                <w:rFonts w:ascii="Calibri" w:cs="Calibri" w:eastAsia="Calibri" w:hAnsi="Calibri"/>
                <w:sz w:val="17"/>
                <w:szCs w:val="17"/>
                <w:color w:val="auto"/>
              </w:rPr>
              <w:t>69%</w:t>
            </w:r>
          </w:p>
        </w:tc>
        <w:tc>
          <w:tcPr>
            <w:tcW w:w="1400" w:type="dxa"/>
            <w:vAlign w:val="bottom"/>
            <w:tcBorders>
              <w:right w:val="single" w:sz="8" w:color="auto"/>
            </w:tcBorders>
          </w:tcPr>
          <w:p>
            <w:pPr>
              <w:jc w:val="center"/>
              <w:ind w:left="133"/>
              <w:spacing w:after="0"/>
              <w:rPr>
                <w:sz w:val="20"/>
                <w:szCs w:val="20"/>
                <w:color w:val="auto"/>
              </w:rPr>
            </w:pPr>
            <w:r>
              <w:rPr>
                <w:rFonts w:ascii="Calibri" w:cs="Calibri" w:eastAsia="Calibri" w:hAnsi="Calibri"/>
                <w:sz w:val="17"/>
                <w:szCs w:val="17"/>
                <w:color w:val="auto"/>
              </w:rPr>
              <w:t>68%</w:t>
            </w:r>
          </w:p>
        </w:tc>
        <w:tc>
          <w:tcPr>
            <w:tcW w:w="0" w:type="dxa"/>
            <w:vAlign w:val="bottom"/>
          </w:tcPr>
          <w:p>
            <w:pPr>
              <w:spacing w:after="0"/>
              <w:rPr>
                <w:sz w:val="1"/>
                <w:szCs w:val="1"/>
                <w:color w:val="auto"/>
              </w:rPr>
            </w:pPr>
          </w:p>
        </w:tc>
      </w:tr>
      <w:tr>
        <w:trPr>
          <w:trHeight w:val="208"/>
        </w:trPr>
        <w:tc>
          <w:tcPr>
            <w:tcW w:w="4520" w:type="dxa"/>
            <w:vAlign w:val="bottom"/>
            <w:tcBorders>
              <w:left w:val="single" w:sz="8" w:color="auto"/>
              <w:right w:val="single" w:sz="8" w:color="auto"/>
            </w:tcBorders>
          </w:tcPr>
          <w:p>
            <w:pPr>
              <w:spacing w:after="0" w:line="209" w:lineRule="exact"/>
              <w:rPr>
                <w:sz w:val="20"/>
                <w:szCs w:val="20"/>
                <w:color w:val="auto"/>
              </w:rPr>
            </w:pPr>
            <w:r>
              <w:rPr>
                <w:rFonts w:ascii="Calibri" w:cs="Calibri" w:eastAsia="Calibri" w:hAnsi="Calibri"/>
                <w:sz w:val="14"/>
                <w:szCs w:val="14"/>
                <w:color w:val="auto"/>
              </w:rPr>
              <w:t xml:space="preserve">Disbursements through alternatve channels </w:t>
            </w:r>
            <w:r>
              <w:rPr>
                <w:rFonts w:ascii="Calibri" w:cs="Calibri" w:eastAsia="Calibri" w:hAnsi="Calibri"/>
                <w:sz w:val="22"/>
                <w:szCs w:val="22"/>
                <w:color w:val="auto"/>
                <w:vertAlign w:val="superscript"/>
              </w:rPr>
              <w:t>(7)</w:t>
            </w:r>
          </w:p>
        </w:tc>
        <w:tc>
          <w:tcPr>
            <w:tcW w:w="1100" w:type="dxa"/>
            <w:vAlign w:val="bottom"/>
          </w:tcPr>
          <w:p>
            <w:pPr>
              <w:jc w:val="center"/>
              <w:spacing w:after="0" w:line="206" w:lineRule="exact"/>
              <w:rPr>
                <w:sz w:val="20"/>
                <w:szCs w:val="20"/>
                <w:color w:val="auto"/>
              </w:rPr>
            </w:pPr>
            <w:r>
              <w:rPr>
                <w:rFonts w:ascii="Calibri" w:cs="Calibri" w:eastAsia="Calibri" w:hAnsi="Calibri"/>
                <w:sz w:val="17"/>
                <w:szCs w:val="17"/>
                <w:color w:val="auto"/>
                <w:w w:val="95"/>
              </w:rPr>
              <w:t>23%</w:t>
            </w:r>
          </w:p>
        </w:tc>
        <w:tc>
          <w:tcPr>
            <w:tcW w:w="1160" w:type="dxa"/>
            <w:vAlign w:val="bottom"/>
          </w:tcPr>
          <w:p>
            <w:pPr>
              <w:jc w:val="center"/>
              <w:spacing w:after="0" w:line="206" w:lineRule="exact"/>
              <w:rPr>
                <w:sz w:val="20"/>
                <w:szCs w:val="20"/>
                <w:color w:val="auto"/>
              </w:rPr>
            </w:pPr>
            <w:r>
              <w:rPr>
                <w:rFonts w:ascii="Calibri" w:cs="Calibri" w:eastAsia="Calibri" w:hAnsi="Calibri"/>
                <w:sz w:val="17"/>
                <w:szCs w:val="17"/>
                <w:color w:val="auto"/>
              </w:rPr>
              <w:t>26%</w:t>
            </w:r>
          </w:p>
        </w:tc>
        <w:tc>
          <w:tcPr>
            <w:tcW w:w="11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23%</w:t>
            </w:r>
          </w:p>
        </w:tc>
        <w:tc>
          <w:tcPr>
            <w:tcW w:w="840" w:type="dxa"/>
            <w:vAlign w:val="bottom"/>
          </w:tcPr>
          <w:p>
            <w:pPr>
              <w:jc w:val="center"/>
              <w:ind w:left="133"/>
              <w:spacing w:after="0" w:line="206" w:lineRule="exact"/>
              <w:rPr>
                <w:sz w:val="20"/>
                <w:szCs w:val="20"/>
                <w:color w:val="auto"/>
              </w:rPr>
            </w:pPr>
            <w:r>
              <w:rPr>
                <w:rFonts w:ascii="Calibri" w:cs="Calibri" w:eastAsia="Calibri" w:hAnsi="Calibri"/>
                <w:sz w:val="17"/>
                <w:szCs w:val="17"/>
                <w:color w:val="auto"/>
              </w:rPr>
              <w:t>23%</w:t>
            </w:r>
          </w:p>
        </w:tc>
        <w:tc>
          <w:tcPr>
            <w:tcW w:w="1400" w:type="dxa"/>
            <w:vAlign w:val="bottom"/>
            <w:tcBorders>
              <w:right w:val="single" w:sz="8" w:color="auto"/>
            </w:tcBorders>
          </w:tcPr>
          <w:p>
            <w:pPr>
              <w:jc w:val="center"/>
              <w:ind w:left="133"/>
              <w:spacing w:after="0" w:line="206" w:lineRule="exact"/>
              <w:rPr>
                <w:sz w:val="20"/>
                <w:szCs w:val="20"/>
                <w:color w:val="auto"/>
              </w:rPr>
            </w:pPr>
            <w:r>
              <w:rPr>
                <w:rFonts w:ascii="Calibri" w:cs="Calibri" w:eastAsia="Calibri" w:hAnsi="Calibri"/>
                <w:sz w:val="17"/>
                <w:szCs w:val="17"/>
                <w:color w:val="auto"/>
              </w:rPr>
              <w:t>25%</w:t>
            </w:r>
          </w:p>
        </w:tc>
        <w:tc>
          <w:tcPr>
            <w:tcW w:w="0" w:type="dxa"/>
            <w:vAlign w:val="bottom"/>
          </w:tcPr>
          <w:p>
            <w:pPr>
              <w:spacing w:after="0"/>
              <w:rPr>
                <w:sz w:val="1"/>
                <w:szCs w:val="1"/>
                <w:color w:val="auto"/>
              </w:rPr>
            </w:pPr>
          </w:p>
        </w:tc>
      </w:tr>
      <w:tr>
        <w:trPr>
          <w:trHeight w:val="208"/>
        </w:trPr>
        <w:tc>
          <w:tcPr>
            <w:tcW w:w="4520" w:type="dxa"/>
            <w:vAlign w:val="bottom"/>
            <w:tcBorders>
              <w:left w:val="single" w:sz="8" w:color="auto"/>
              <w:right w:val="single" w:sz="8" w:color="auto"/>
            </w:tcBorders>
          </w:tcPr>
          <w:p>
            <w:pPr>
              <w:spacing w:after="0" w:line="209" w:lineRule="exact"/>
              <w:rPr>
                <w:sz w:val="20"/>
                <w:szCs w:val="20"/>
                <w:color w:val="auto"/>
              </w:rPr>
            </w:pPr>
            <w:r>
              <w:rPr>
                <w:rFonts w:ascii="Calibri" w:cs="Calibri" w:eastAsia="Calibri" w:hAnsi="Calibri"/>
                <w:sz w:val="14"/>
                <w:szCs w:val="14"/>
                <w:color w:val="auto"/>
              </w:rPr>
              <w:t xml:space="preserve">Relatonship managers productvity </w:t>
            </w:r>
            <w:r>
              <w:rPr>
                <w:rFonts w:ascii="Calibri" w:cs="Calibri" w:eastAsia="Calibri" w:hAnsi="Calibri"/>
                <w:sz w:val="22"/>
                <w:szCs w:val="22"/>
                <w:color w:val="auto"/>
                <w:vertAlign w:val="superscript"/>
              </w:rPr>
              <w:t>(8)</w:t>
            </w:r>
          </w:p>
        </w:tc>
        <w:tc>
          <w:tcPr>
            <w:tcW w:w="1100" w:type="dxa"/>
            <w:vAlign w:val="bottom"/>
          </w:tcPr>
          <w:p>
            <w:pPr>
              <w:jc w:val="center"/>
              <w:spacing w:after="0" w:line="206" w:lineRule="exact"/>
              <w:rPr>
                <w:sz w:val="20"/>
                <w:szCs w:val="20"/>
                <w:color w:val="auto"/>
              </w:rPr>
            </w:pPr>
            <w:r>
              <w:rPr>
                <w:rFonts w:ascii="Calibri" w:cs="Calibri" w:eastAsia="Calibri" w:hAnsi="Calibri"/>
                <w:sz w:val="17"/>
                <w:szCs w:val="17"/>
                <w:color w:val="auto"/>
                <w:w w:val="99"/>
              </w:rPr>
              <w:t>21.9</w:t>
            </w:r>
          </w:p>
        </w:tc>
        <w:tc>
          <w:tcPr>
            <w:tcW w:w="1160" w:type="dxa"/>
            <w:vAlign w:val="bottom"/>
          </w:tcPr>
          <w:p>
            <w:pPr>
              <w:jc w:val="center"/>
              <w:spacing w:after="0" w:line="206" w:lineRule="exact"/>
              <w:rPr>
                <w:sz w:val="20"/>
                <w:szCs w:val="20"/>
                <w:color w:val="auto"/>
              </w:rPr>
            </w:pPr>
            <w:r>
              <w:rPr>
                <w:rFonts w:ascii="Calibri" w:cs="Calibri" w:eastAsia="Calibri" w:hAnsi="Calibri"/>
                <w:sz w:val="17"/>
                <w:szCs w:val="17"/>
                <w:color w:val="auto"/>
                <w:w w:val="99"/>
              </w:rPr>
              <w:t>28.2</w:t>
            </w:r>
          </w:p>
        </w:tc>
        <w:tc>
          <w:tcPr>
            <w:tcW w:w="11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9"/>
              </w:rPr>
              <w:t>25.9</w:t>
            </w:r>
          </w:p>
        </w:tc>
        <w:tc>
          <w:tcPr>
            <w:tcW w:w="840" w:type="dxa"/>
            <w:vAlign w:val="bottom"/>
          </w:tcPr>
          <w:p>
            <w:pPr>
              <w:jc w:val="center"/>
              <w:ind w:left="133"/>
              <w:spacing w:after="0" w:line="206" w:lineRule="exact"/>
              <w:rPr>
                <w:sz w:val="20"/>
                <w:szCs w:val="20"/>
                <w:color w:val="auto"/>
              </w:rPr>
            </w:pPr>
            <w:r>
              <w:rPr>
                <w:rFonts w:ascii="Calibri" w:cs="Calibri" w:eastAsia="Calibri" w:hAnsi="Calibri"/>
                <w:sz w:val="17"/>
                <w:szCs w:val="17"/>
                <w:color w:val="auto"/>
                <w:w w:val="99"/>
              </w:rPr>
              <w:t>23.8</w:t>
            </w:r>
          </w:p>
        </w:tc>
        <w:tc>
          <w:tcPr>
            <w:tcW w:w="1400" w:type="dxa"/>
            <w:vAlign w:val="bottom"/>
            <w:tcBorders>
              <w:right w:val="single" w:sz="8" w:color="auto"/>
            </w:tcBorders>
          </w:tcPr>
          <w:p>
            <w:pPr>
              <w:jc w:val="center"/>
              <w:ind w:left="133"/>
              <w:spacing w:after="0" w:line="206" w:lineRule="exact"/>
              <w:rPr>
                <w:sz w:val="20"/>
                <w:szCs w:val="20"/>
                <w:color w:val="auto"/>
              </w:rPr>
            </w:pPr>
            <w:r>
              <w:rPr>
                <w:rFonts w:ascii="Calibri" w:cs="Calibri" w:eastAsia="Calibri" w:hAnsi="Calibri"/>
                <w:sz w:val="17"/>
                <w:szCs w:val="17"/>
                <w:color w:val="auto"/>
                <w:w w:val="99"/>
              </w:rPr>
              <w:t>25.6</w:t>
            </w:r>
          </w:p>
        </w:tc>
        <w:tc>
          <w:tcPr>
            <w:tcW w:w="0" w:type="dxa"/>
            <w:vAlign w:val="bottom"/>
          </w:tcPr>
          <w:p>
            <w:pPr>
              <w:spacing w:after="0"/>
              <w:rPr>
                <w:sz w:val="1"/>
                <w:szCs w:val="1"/>
                <w:color w:val="auto"/>
              </w:rPr>
            </w:pPr>
          </w:p>
        </w:tc>
      </w:tr>
      <w:tr>
        <w:trPr>
          <w:trHeight w:val="206"/>
        </w:trPr>
        <w:tc>
          <w:tcPr>
            <w:tcW w:w="4520" w:type="dxa"/>
            <w:vAlign w:val="bottom"/>
            <w:tcBorders>
              <w:left w:val="single" w:sz="8" w:color="auto"/>
              <w:right w:val="single" w:sz="8" w:color="auto"/>
            </w:tcBorders>
          </w:tcPr>
          <w:p>
            <w:pPr>
              <w:spacing w:after="0" w:line="206" w:lineRule="exact"/>
              <w:rPr>
                <w:sz w:val="20"/>
                <w:szCs w:val="20"/>
                <w:color w:val="auto"/>
              </w:rPr>
            </w:pPr>
            <w:r>
              <w:rPr>
                <w:rFonts w:ascii="Calibri" w:cs="Calibri" w:eastAsia="Calibri" w:hAnsi="Calibri"/>
                <w:sz w:val="17"/>
                <w:szCs w:val="17"/>
                <w:b w:val="1"/>
                <w:bCs w:val="1"/>
                <w:color w:val="auto"/>
              </w:rPr>
              <w:t>Pacifco</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520" w:type="dxa"/>
            <w:vAlign w:val="bottom"/>
            <w:tcBorders>
              <w:left w:val="single" w:sz="8" w:color="auto"/>
              <w:bottom w:val="single" w:sz="8" w:color="auto"/>
              <w:right w:val="single" w:sz="8" w:color="auto"/>
            </w:tcBorders>
          </w:tcPr>
          <w:p>
            <w:pPr>
              <w:spacing w:after="0" w:line="231" w:lineRule="exact"/>
              <w:rPr>
                <w:sz w:val="20"/>
                <w:szCs w:val="20"/>
                <w:color w:val="auto"/>
              </w:rPr>
            </w:pPr>
            <w:r>
              <w:rPr>
                <w:rFonts w:ascii="Calibri" w:cs="Calibri" w:eastAsia="Calibri" w:hAnsi="Calibri"/>
                <w:sz w:val="16"/>
                <w:szCs w:val="16"/>
                <w:color w:val="auto"/>
              </w:rPr>
              <w:t xml:space="preserve">Digital Policies (thousands) </w:t>
            </w:r>
            <w:r>
              <w:rPr>
                <w:rFonts w:ascii="Calibri" w:cs="Calibri" w:eastAsia="Calibri" w:hAnsi="Calibri"/>
                <w:sz w:val="25"/>
                <w:szCs w:val="25"/>
                <w:color w:val="auto"/>
                <w:vertAlign w:val="superscript"/>
              </w:rPr>
              <w:t>(9)</w:t>
            </w:r>
          </w:p>
        </w:tc>
        <w:tc>
          <w:tcPr>
            <w:tcW w:w="110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rPr>
              <w:t>582.0</w:t>
            </w: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w w:val="97"/>
              </w:rPr>
              <w:t>722.3</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w w:val="97"/>
              </w:rPr>
              <w:t>579.0</w:t>
            </w:r>
          </w:p>
        </w:tc>
        <w:tc>
          <w:tcPr>
            <w:tcW w:w="840" w:type="dxa"/>
            <w:vAlign w:val="bottom"/>
            <w:tcBorders>
              <w:bottom w:val="single" w:sz="8" w:color="auto"/>
            </w:tcBorders>
          </w:tcPr>
          <w:p>
            <w:pPr>
              <w:jc w:val="center"/>
              <w:ind w:left="153"/>
              <w:spacing w:after="0"/>
              <w:rPr>
                <w:sz w:val="20"/>
                <w:szCs w:val="20"/>
                <w:color w:val="auto"/>
              </w:rPr>
            </w:pPr>
            <w:r>
              <w:rPr>
                <w:rFonts w:ascii="Calibri" w:cs="Calibri" w:eastAsia="Calibri" w:hAnsi="Calibri"/>
                <w:sz w:val="17"/>
                <w:szCs w:val="17"/>
                <w:color w:val="auto"/>
              </w:rPr>
              <w:t>1111.5</w:t>
            </w:r>
          </w:p>
        </w:tc>
        <w:tc>
          <w:tcPr>
            <w:tcW w:w="1400" w:type="dxa"/>
            <w:vAlign w:val="bottom"/>
            <w:tcBorders>
              <w:bottom w:val="single" w:sz="8" w:color="auto"/>
              <w:right w:val="single" w:sz="8" w:color="auto"/>
            </w:tcBorders>
          </w:tcPr>
          <w:p>
            <w:pPr>
              <w:jc w:val="center"/>
              <w:ind w:left="133"/>
              <w:spacing w:after="0"/>
              <w:rPr>
                <w:sz w:val="20"/>
                <w:szCs w:val="20"/>
                <w:color w:val="auto"/>
              </w:rPr>
            </w:pPr>
            <w:r>
              <w:rPr>
                <w:rFonts w:ascii="Calibri" w:cs="Calibri" w:eastAsia="Calibri" w:hAnsi="Calibri"/>
                <w:sz w:val="17"/>
                <w:szCs w:val="17"/>
                <w:color w:val="auto"/>
                <w:w w:val="96"/>
              </w:rPr>
              <w:t>1301.3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 w:hanging="156"/>
        <w:spacing w:after="0"/>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Management fgures. Figures for June 2024, March 2025, and June 2025.</w:t>
      </w:r>
    </w:p>
    <w:p>
      <w:pPr>
        <w:ind w:left="160" w:hanging="156"/>
        <w:spacing w:after="0"/>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As a percentage of Credicorp</w:t>
      </w:r>
      <w:r>
        <w:rPr>
          <w:rFonts w:ascii="Arial" w:cs="Arial" w:eastAsia="Arial" w:hAnsi="Arial"/>
          <w:sz w:val="11"/>
          <w:szCs w:val="11"/>
          <w:color w:val="auto"/>
        </w:rPr>
        <w:t>ʼ</w:t>
      </w:r>
      <w:r>
        <w:rPr>
          <w:rFonts w:ascii="Calibri" w:cs="Calibri" w:eastAsia="Calibri" w:hAnsi="Calibri"/>
          <w:sz w:val="11"/>
          <w:szCs w:val="11"/>
          <w:color w:val="auto"/>
        </w:rPr>
        <w:t>s total Risk-Adjusted Revenue.</w:t>
      </w:r>
    </w:p>
    <w:p>
      <w:pPr>
        <w:spacing w:after="0" w:line="45" w:lineRule="exact"/>
        <w:rPr>
          <w:rFonts w:ascii="Calibri" w:cs="Calibri" w:eastAsia="Calibri" w:hAnsi="Calibri"/>
          <w:sz w:val="11"/>
          <w:szCs w:val="11"/>
          <w:color w:val="auto"/>
        </w:rPr>
      </w:pPr>
    </w:p>
    <w:p>
      <w:pPr>
        <w:ind w:left="160" w:hanging="156"/>
        <w:spacing w:after="0" w:line="212" w:lineRule="auto"/>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Retail clients that made 70%, or more, of their transactons through digital channels in the last 6 months (including Yape).</w:t>
      </w:r>
    </w:p>
    <w:p>
      <w:pPr>
        <w:spacing w:after="0" w:line="9" w:lineRule="exact"/>
        <w:rPr>
          <w:rFonts w:ascii="Calibri" w:cs="Calibri" w:eastAsia="Calibri" w:hAnsi="Calibri"/>
          <w:sz w:val="11"/>
          <w:szCs w:val="11"/>
          <w:color w:val="auto"/>
        </w:rPr>
      </w:pPr>
    </w:p>
    <w:p>
      <w:pPr>
        <w:ind w:left="160" w:hanging="156"/>
        <w:spacing w:after="0"/>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Monetary Transactons conducted through Mobile Banking, Internet Banking, Yape and Telecredito/Total Monetary Transactons in Retail Banking.</w:t>
      </w:r>
    </w:p>
    <w:p>
      <w:pPr>
        <w:spacing w:after="0" w:line="8" w:lineRule="exact"/>
        <w:rPr>
          <w:rFonts w:ascii="Calibri" w:cs="Calibri" w:eastAsia="Calibri" w:hAnsi="Calibri"/>
          <w:sz w:val="11"/>
          <w:szCs w:val="11"/>
          <w:color w:val="auto"/>
        </w:rPr>
      </w:pPr>
    </w:p>
    <w:p>
      <w:pPr>
        <w:ind w:left="160" w:hanging="156"/>
        <w:spacing w:after="0"/>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Amount transacted through Mobile Banking, Internet Banking, Yape y POS/Total amount transacted through Retail Banking.</w:t>
      </w:r>
    </w:p>
    <w:p>
      <w:pPr>
        <w:spacing w:after="0" w:line="8" w:lineRule="exact"/>
        <w:rPr>
          <w:rFonts w:ascii="Calibri" w:cs="Calibri" w:eastAsia="Calibri" w:hAnsi="Calibri"/>
          <w:sz w:val="11"/>
          <w:szCs w:val="11"/>
          <w:color w:val="auto"/>
        </w:rPr>
      </w:pPr>
    </w:p>
    <w:p>
      <w:pPr>
        <w:ind w:left="160" w:hanging="156"/>
        <w:spacing w:after="0"/>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Disbursements generated through leads/Total disbursements.</w:t>
      </w:r>
    </w:p>
    <w:p>
      <w:pPr>
        <w:ind w:left="160" w:hanging="156"/>
        <w:spacing w:after="0" w:line="232" w:lineRule="auto"/>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Disbursements conducted through alternatve channels/Total disbursements. Figures difer from previously reported due to a methodological change.</w:t>
      </w:r>
    </w:p>
    <w:p>
      <w:pPr>
        <w:spacing w:after="0" w:line="8" w:lineRule="exact"/>
        <w:rPr>
          <w:rFonts w:ascii="Calibri" w:cs="Calibri" w:eastAsia="Calibri" w:hAnsi="Calibri"/>
          <w:sz w:val="11"/>
          <w:szCs w:val="11"/>
          <w:color w:val="auto"/>
        </w:rPr>
      </w:pPr>
    </w:p>
    <w:p>
      <w:pPr>
        <w:ind w:left="160" w:hanging="156"/>
        <w:spacing w:after="0"/>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Number of loans disbursed/Total relatonship managers.</w:t>
      </w:r>
    </w:p>
    <w:p>
      <w:pPr>
        <w:spacing w:after="0" w:line="8" w:lineRule="exact"/>
        <w:rPr>
          <w:rFonts w:ascii="Calibri" w:cs="Calibri" w:eastAsia="Calibri" w:hAnsi="Calibri"/>
          <w:sz w:val="11"/>
          <w:szCs w:val="11"/>
          <w:color w:val="auto"/>
        </w:rPr>
      </w:pPr>
    </w:p>
    <w:p>
      <w:pPr>
        <w:ind w:left="160" w:hanging="156"/>
        <w:spacing w:after="0"/>
        <w:tabs>
          <w:tab w:leader="none" w:pos="16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Number of insurance policies issued through digital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775335</wp:posOffset>
            </wp:positionV>
            <wp:extent cx="713740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130810</wp:posOffset>
            </wp:positionV>
            <wp:extent cx="6509385" cy="545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09385" cy="54546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4" w:name="page15"/>
    <w:bookmarkEnd w:id="14"/>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Credicorp’s Strategy Update</w:t>
      </w:r>
    </w:p>
    <w:p>
      <w:pPr>
        <w:spacing w:after="0" w:line="38" w:lineRule="exact"/>
        <w:rPr>
          <w:sz w:val="20"/>
          <w:szCs w:val="20"/>
          <w:color w:val="auto"/>
        </w:rPr>
      </w:pPr>
    </w:p>
    <w:p>
      <w:pPr>
        <w:spacing w:after="0"/>
        <w:rPr>
          <w:sz w:val="20"/>
          <w:szCs w:val="20"/>
          <w:color w:val="auto"/>
        </w:rPr>
      </w:pPr>
      <w:r>
        <w:rPr>
          <w:rFonts w:ascii="Calibri" w:cs="Calibri" w:eastAsia="Calibri" w:hAnsi="Calibri"/>
          <w:sz w:val="31"/>
          <w:szCs w:val="31"/>
          <w:color w:val="E93BAC"/>
        </w:rPr>
        <w:t>Yape</w:t>
      </w:r>
    </w:p>
    <w:p>
      <w:pPr>
        <w:spacing w:after="0" w:line="5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Main Management KPI’s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334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2"/>
                <w:szCs w:val="12"/>
                <w:b w:val="1"/>
                <w:bCs w:val="1"/>
                <w:color w:val="FFFFFF"/>
              </w:rPr>
              <w:t xml:space="preserve">Management KPI's </w:t>
            </w:r>
            <w:r>
              <w:rPr>
                <w:rFonts w:ascii="Calibri" w:cs="Calibri" w:eastAsia="Calibri" w:hAnsi="Calibri"/>
                <w:sz w:val="20"/>
                <w:szCs w:val="20"/>
                <w:b w:val="1"/>
                <w:bCs w:val="1"/>
                <w:color w:val="FFFFFF"/>
                <w:vertAlign w:val="superscript"/>
              </w:rPr>
              <w:t>(1)</w:t>
            </w:r>
          </w:p>
        </w:tc>
        <w:tc>
          <w:tcPr>
            <w:tcW w:w="940" w:type="dxa"/>
            <w:vAlign w:val="bottom"/>
            <w:tcBorders>
              <w:top w:val="single" w:sz="8" w:color="auto"/>
            </w:tcBorders>
            <w:shd w:val="clear" w:color="auto" w:fill="33CCCC"/>
          </w:tcPr>
          <w:p>
            <w:pPr>
              <w:spacing w:after="0"/>
              <w:rPr>
                <w:sz w:val="13"/>
                <w:szCs w:val="13"/>
                <w:color w:val="auto"/>
              </w:rPr>
            </w:pPr>
          </w:p>
        </w:tc>
        <w:tc>
          <w:tcPr>
            <w:tcW w:w="980" w:type="dxa"/>
            <w:vAlign w:val="bottom"/>
            <w:tcBorders>
              <w:top w:val="single" w:sz="8" w:color="auto"/>
            </w:tcBorders>
            <w:shd w:val="clear" w:color="auto" w:fill="33CCCC"/>
          </w:tcPr>
          <w:p>
            <w:pPr>
              <w:ind w:left="280"/>
              <w:spacing w:after="0"/>
              <w:rPr>
                <w:sz w:val="20"/>
                <w:szCs w:val="20"/>
                <w:color w:val="auto"/>
              </w:rPr>
            </w:pPr>
            <w:r>
              <w:rPr>
                <w:rFonts w:ascii="Calibri" w:cs="Calibri" w:eastAsia="Calibri" w:hAnsi="Calibri"/>
                <w:sz w:val="12"/>
                <w:szCs w:val="12"/>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3"/>
                <w:szCs w:val="13"/>
                <w:color w:val="auto"/>
              </w:rPr>
            </w:pPr>
          </w:p>
        </w:tc>
        <w:tc>
          <w:tcPr>
            <w:tcW w:w="660" w:type="dxa"/>
            <w:vAlign w:val="bottom"/>
            <w:tcBorders>
              <w:top w:val="single" w:sz="8" w:color="auto"/>
            </w:tcBorders>
            <w:shd w:val="clear" w:color="auto" w:fill="33CCCC"/>
          </w:tcPr>
          <w:p>
            <w:pPr>
              <w:spacing w:after="0"/>
              <w:rPr>
                <w:sz w:val="13"/>
                <w:szCs w:val="13"/>
                <w:color w:val="auto"/>
              </w:rPr>
            </w:pPr>
          </w:p>
        </w:tc>
        <w:tc>
          <w:tcPr>
            <w:tcW w:w="124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2"/>
                <w:szCs w:val="12"/>
                <w:b w:val="1"/>
                <w:bCs w:val="1"/>
                <w:color w:val="FFFFFF"/>
              </w:rPr>
              <w:t>Change %</w:t>
            </w:r>
          </w:p>
        </w:tc>
        <w:tc>
          <w:tcPr>
            <w:tcW w:w="740" w:type="dxa"/>
            <w:vAlign w:val="bottom"/>
            <w:tcBorders>
              <w:top w:val="single" w:sz="8" w:color="auto"/>
            </w:tcBorders>
            <w:shd w:val="clear" w:color="auto" w:fill="33CCCC"/>
          </w:tcPr>
          <w:p>
            <w:pPr>
              <w:spacing w:after="0"/>
              <w:rPr>
                <w:sz w:val="13"/>
                <w:szCs w:val="13"/>
                <w:color w:val="auto"/>
              </w:rPr>
            </w:pPr>
          </w:p>
        </w:tc>
        <w:tc>
          <w:tcPr>
            <w:tcW w:w="116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2"/>
                <w:szCs w:val="12"/>
                <w:b w:val="1"/>
                <w:bCs w:val="1"/>
                <w:color w:val="FFFFFF"/>
              </w:rPr>
              <w:t>Up to</w:t>
            </w:r>
          </w:p>
        </w:tc>
        <w:tc>
          <w:tcPr>
            <w:tcW w:w="124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w w:val="99"/>
              </w:rPr>
              <w:t>Change %</w:t>
            </w: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bottom w:val="single" w:sz="8" w:color="33CCCC"/>
              <w:right w:val="single" w:sz="8" w:color="auto"/>
            </w:tcBorders>
            <w:vMerge w:val="continue"/>
            <w:shd w:val="clear" w:color="auto" w:fill="33CCCC"/>
          </w:tcPr>
          <w:p>
            <w:pPr>
              <w:spacing w:after="0"/>
              <w:rPr>
                <w:sz w:val="12"/>
                <w:szCs w:val="12"/>
                <w:color w:val="auto"/>
              </w:rPr>
            </w:pPr>
          </w:p>
        </w:tc>
        <w:tc>
          <w:tcPr>
            <w:tcW w:w="940" w:type="dxa"/>
            <w:vAlign w:val="bottom"/>
            <w:tcBorders>
              <w:bottom w:val="single" w:sz="8" w:color="33CCCC"/>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2Q24</w:t>
            </w:r>
          </w:p>
        </w:tc>
        <w:tc>
          <w:tcPr>
            <w:tcW w:w="980" w:type="dxa"/>
            <w:vAlign w:val="bottom"/>
            <w:tcBorders>
              <w:bottom w:val="single" w:sz="8" w:color="33CCCC"/>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1Q25</w:t>
            </w:r>
          </w:p>
        </w:tc>
        <w:tc>
          <w:tcPr>
            <w:tcW w:w="960" w:type="dxa"/>
            <w:vAlign w:val="bottom"/>
            <w:tcBorders>
              <w:bottom w:val="single" w:sz="8" w:color="33CCCC"/>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2Q25</w:t>
            </w:r>
          </w:p>
        </w:tc>
        <w:tc>
          <w:tcPr>
            <w:tcW w:w="660" w:type="dxa"/>
            <w:vAlign w:val="bottom"/>
            <w:tcBorders>
              <w:bottom w:val="single" w:sz="8" w:color="33CCCC"/>
            </w:tcBorders>
            <w:shd w:val="clear" w:color="auto" w:fill="33CCCC"/>
          </w:tcPr>
          <w:p>
            <w:pPr>
              <w:ind w:left="360"/>
              <w:spacing w:after="0" w:line="143" w:lineRule="exact"/>
              <w:rPr>
                <w:sz w:val="20"/>
                <w:szCs w:val="20"/>
                <w:color w:val="auto"/>
              </w:rPr>
            </w:pPr>
            <w:r>
              <w:rPr>
                <w:rFonts w:ascii="Calibri" w:cs="Calibri" w:eastAsia="Calibri" w:hAnsi="Calibri"/>
                <w:sz w:val="12"/>
                <w:szCs w:val="12"/>
                <w:b w:val="1"/>
                <w:bCs w:val="1"/>
                <w:color w:val="FFFFFF"/>
              </w:rPr>
              <w:t>QoQ</w:t>
            </w:r>
          </w:p>
        </w:tc>
        <w:tc>
          <w:tcPr>
            <w:tcW w:w="1240" w:type="dxa"/>
            <w:vAlign w:val="bottom"/>
            <w:tcBorders>
              <w:bottom w:val="single" w:sz="8" w:color="33CCCC"/>
              <w:right w:val="single" w:sz="8" w:color="auto"/>
            </w:tcBorders>
            <w:shd w:val="clear" w:color="auto" w:fill="33CCCC"/>
          </w:tcPr>
          <w:p>
            <w:pPr>
              <w:ind w:left="660"/>
              <w:spacing w:after="0" w:line="143" w:lineRule="exact"/>
              <w:rPr>
                <w:sz w:val="20"/>
                <w:szCs w:val="20"/>
                <w:color w:val="auto"/>
              </w:rPr>
            </w:pPr>
            <w:r>
              <w:rPr>
                <w:rFonts w:ascii="Calibri" w:cs="Calibri" w:eastAsia="Calibri" w:hAnsi="Calibri"/>
                <w:sz w:val="12"/>
                <w:szCs w:val="12"/>
                <w:b w:val="1"/>
                <w:bCs w:val="1"/>
                <w:color w:val="FFFFFF"/>
              </w:rPr>
              <w:t>YoY</w:t>
            </w:r>
          </w:p>
        </w:tc>
        <w:tc>
          <w:tcPr>
            <w:tcW w:w="740" w:type="dxa"/>
            <w:vAlign w:val="bottom"/>
            <w:tcBorders>
              <w:bottom w:val="single" w:sz="8" w:color="33CCCC"/>
            </w:tcBorders>
            <w:shd w:val="clear" w:color="auto" w:fill="33CCCC"/>
          </w:tcPr>
          <w:p>
            <w:pPr>
              <w:ind w:left="300"/>
              <w:spacing w:after="0" w:line="143" w:lineRule="exact"/>
              <w:rPr>
                <w:sz w:val="20"/>
                <w:szCs w:val="20"/>
                <w:color w:val="auto"/>
              </w:rPr>
            </w:pPr>
            <w:r>
              <w:rPr>
                <w:rFonts w:ascii="Calibri" w:cs="Calibri" w:eastAsia="Calibri" w:hAnsi="Calibri"/>
                <w:sz w:val="12"/>
                <w:szCs w:val="12"/>
                <w:b w:val="1"/>
                <w:bCs w:val="1"/>
                <w:color w:val="FFFFFF"/>
              </w:rPr>
              <w:t>Jun 24</w:t>
            </w:r>
          </w:p>
        </w:tc>
        <w:tc>
          <w:tcPr>
            <w:tcW w:w="1160" w:type="dxa"/>
            <w:vAlign w:val="bottom"/>
            <w:tcBorders>
              <w:bottom w:val="single" w:sz="8" w:color="33CCCC"/>
              <w:right w:val="single" w:sz="8" w:color="auto"/>
            </w:tcBorders>
            <w:shd w:val="clear" w:color="auto" w:fill="33CCCC"/>
          </w:tcPr>
          <w:p>
            <w:pPr>
              <w:ind w:left="520"/>
              <w:spacing w:after="0" w:line="143" w:lineRule="exact"/>
              <w:rPr>
                <w:sz w:val="20"/>
                <w:szCs w:val="20"/>
                <w:color w:val="auto"/>
              </w:rPr>
            </w:pPr>
            <w:r>
              <w:rPr>
                <w:rFonts w:ascii="Calibri" w:cs="Calibri" w:eastAsia="Calibri" w:hAnsi="Calibri"/>
                <w:sz w:val="12"/>
                <w:szCs w:val="12"/>
                <w:b w:val="1"/>
                <w:bCs w:val="1"/>
                <w:color w:val="FFFFFF"/>
              </w:rPr>
              <w:t>Jun 25</w:t>
            </w:r>
          </w:p>
        </w:tc>
        <w:tc>
          <w:tcPr>
            <w:tcW w:w="1240" w:type="dxa"/>
            <w:vAlign w:val="bottom"/>
            <w:tcBorders>
              <w:bottom w:val="single" w:sz="8" w:color="33CCCC"/>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9"/>
              </w:rPr>
              <w:t>Jun 25 / Jun 24</w:t>
            </w:r>
          </w:p>
        </w:tc>
        <w:tc>
          <w:tcPr>
            <w:tcW w:w="0" w:type="dxa"/>
            <w:vAlign w:val="bottom"/>
          </w:tcPr>
          <w:p>
            <w:pPr>
              <w:spacing w:after="0"/>
              <w:rPr>
                <w:sz w:val="1"/>
                <w:szCs w:val="1"/>
                <w:color w:val="auto"/>
              </w:rPr>
            </w:pPr>
          </w:p>
        </w:tc>
      </w:tr>
      <w:tr>
        <w:trPr>
          <w:trHeight w:val="125"/>
        </w:trPr>
        <w:tc>
          <w:tcPr>
            <w:tcW w:w="3340" w:type="dxa"/>
            <w:vAlign w:val="bottom"/>
            <w:tcBorders>
              <w:top w:val="single" w:sz="8" w:color="auto"/>
              <w:left w:val="single" w:sz="8" w:color="auto"/>
              <w:right w:val="single" w:sz="8" w:color="auto"/>
            </w:tcBorders>
          </w:tcPr>
          <w:p>
            <w:pPr>
              <w:ind w:left="20"/>
              <w:spacing w:after="0" w:line="126" w:lineRule="exact"/>
              <w:rPr>
                <w:sz w:val="20"/>
                <w:szCs w:val="20"/>
                <w:color w:val="auto"/>
              </w:rPr>
            </w:pPr>
            <w:r>
              <w:rPr>
                <w:rFonts w:ascii="Calibri" w:cs="Calibri" w:eastAsia="Calibri" w:hAnsi="Calibri"/>
                <w:sz w:val="12"/>
                <w:szCs w:val="12"/>
                <w:b w:val="1"/>
                <w:bCs w:val="1"/>
                <w:color w:val="auto"/>
              </w:rPr>
              <w:t>Users</w:t>
            </w:r>
          </w:p>
        </w:tc>
        <w:tc>
          <w:tcPr>
            <w:tcW w:w="9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96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40" w:type="dxa"/>
            <w:vAlign w:val="bottom"/>
            <w:tcBorders>
              <w:top w:val="single" w:sz="8" w:color="auto"/>
              <w:right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160" w:type="dxa"/>
            <w:vAlign w:val="bottom"/>
            <w:tcBorders>
              <w:top w:val="single" w:sz="8" w:color="auto"/>
              <w:right w:val="single" w:sz="8" w:color="auto"/>
            </w:tcBorders>
          </w:tcPr>
          <w:p>
            <w:pPr>
              <w:spacing w:after="0"/>
              <w:rPr>
                <w:sz w:val="10"/>
                <w:szCs w:val="10"/>
                <w:color w:val="auto"/>
              </w:rPr>
            </w:pPr>
          </w:p>
        </w:tc>
        <w:tc>
          <w:tcPr>
            <w:tcW w:w="12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34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color w:val="auto"/>
              </w:rPr>
              <w:t>Users (millions)</w:t>
            </w:r>
          </w:p>
        </w:tc>
        <w:tc>
          <w:tcPr>
            <w:tcW w:w="940" w:type="dxa"/>
            <w:vAlign w:val="bottom"/>
          </w:tcPr>
          <w:p>
            <w:pPr>
              <w:jc w:val="center"/>
              <w:spacing w:after="0" w:line="137" w:lineRule="exact"/>
              <w:rPr>
                <w:sz w:val="20"/>
                <w:szCs w:val="20"/>
                <w:color w:val="auto"/>
              </w:rPr>
            </w:pPr>
            <w:r>
              <w:rPr>
                <w:rFonts w:ascii="Calibri" w:cs="Calibri" w:eastAsia="Calibri" w:hAnsi="Calibri"/>
                <w:sz w:val="12"/>
                <w:szCs w:val="12"/>
                <w:color w:val="auto"/>
              </w:rPr>
              <w:t>15.9</w:t>
            </w:r>
          </w:p>
        </w:tc>
        <w:tc>
          <w:tcPr>
            <w:tcW w:w="980" w:type="dxa"/>
            <w:vAlign w:val="bottom"/>
          </w:tcPr>
          <w:p>
            <w:pPr>
              <w:jc w:val="center"/>
              <w:spacing w:after="0" w:line="137" w:lineRule="exact"/>
              <w:rPr>
                <w:sz w:val="20"/>
                <w:szCs w:val="20"/>
                <w:color w:val="auto"/>
              </w:rPr>
            </w:pPr>
            <w:r>
              <w:rPr>
                <w:rFonts w:ascii="Calibri" w:cs="Calibri" w:eastAsia="Calibri" w:hAnsi="Calibri"/>
                <w:sz w:val="12"/>
                <w:szCs w:val="12"/>
                <w:color w:val="auto"/>
              </w:rPr>
              <w:t>18.0</w:t>
            </w:r>
          </w:p>
        </w:tc>
        <w:tc>
          <w:tcPr>
            <w:tcW w:w="96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color w:val="auto"/>
              </w:rPr>
              <w:t>18.6</w:t>
            </w:r>
          </w:p>
        </w:tc>
        <w:tc>
          <w:tcPr>
            <w:tcW w:w="660" w:type="dxa"/>
            <w:vAlign w:val="bottom"/>
          </w:tcPr>
          <w:p>
            <w:pPr>
              <w:jc w:val="center"/>
              <w:ind w:left="239"/>
              <w:spacing w:after="0" w:line="137" w:lineRule="exact"/>
              <w:rPr>
                <w:sz w:val="20"/>
                <w:szCs w:val="20"/>
                <w:color w:val="auto"/>
              </w:rPr>
            </w:pPr>
            <w:r>
              <w:rPr>
                <w:rFonts w:ascii="Calibri" w:cs="Calibri" w:eastAsia="Calibri" w:hAnsi="Calibri"/>
                <w:sz w:val="12"/>
                <w:szCs w:val="12"/>
                <w:color w:val="auto"/>
              </w:rPr>
              <w:t>3.5%</w:t>
            </w:r>
          </w:p>
        </w:tc>
        <w:tc>
          <w:tcPr>
            <w:tcW w:w="1240" w:type="dxa"/>
            <w:vAlign w:val="bottom"/>
            <w:tcBorders>
              <w:right w:val="single" w:sz="8" w:color="auto"/>
            </w:tcBorders>
          </w:tcPr>
          <w:p>
            <w:pPr>
              <w:jc w:val="center"/>
              <w:ind w:left="199"/>
              <w:spacing w:after="0" w:line="137" w:lineRule="exact"/>
              <w:rPr>
                <w:sz w:val="20"/>
                <w:szCs w:val="20"/>
                <w:color w:val="auto"/>
              </w:rPr>
            </w:pPr>
            <w:r>
              <w:rPr>
                <w:rFonts w:ascii="Calibri" w:cs="Calibri" w:eastAsia="Calibri" w:hAnsi="Calibri"/>
                <w:sz w:val="12"/>
                <w:szCs w:val="12"/>
                <w:color w:val="auto"/>
              </w:rPr>
              <w:t>17.3%</w:t>
            </w:r>
          </w:p>
        </w:tc>
        <w:tc>
          <w:tcPr>
            <w:tcW w:w="740" w:type="dxa"/>
            <w:vAlign w:val="bottom"/>
          </w:tcPr>
          <w:p>
            <w:pPr>
              <w:jc w:val="center"/>
              <w:ind w:left="139"/>
              <w:spacing w:after="0" w:line="137" w:lineRule="exact"/>
              <w:rPr>
                <w:sz w:val="20"/>
                <w:szCs w:val="20"/>
                <w:color w:val="auto"/>
              </w:rPr>
            </w:pPr>
            <w:r>
              <w:rPr>
                <w:rFonts w:ascii="Calibri" w:cs="Calibri" w:eastAsia="Calibri" w:hAnsi="Calibri"/>
                <w:sz w:val="12"/>
                <w:szCs w:val="12"/>
                <w:color w:val="auto"/>
              </w:rPr>
              <w:t>15.9</w:t>
            </w:r>
          </w:p>
        </w:tc>
        <w:tc>
          <w:tcPr>
            <w:tcW w:w="1160" w:type="dxa"/>
            <w:vAlign w:val="bottom"/>
            <w:tcBorders>
              <w:right w:val="single" w:sz="8" w:color="auto"/>
            </w:tcBorders>
          </w:tcPr>
          <w:p>
            <w:pPr>
              <w:jc w:val="center"/>
              <w:ind w:left="119"/>
              <w:spacing w:after="0" w:line="137" w:lineRule="exact"/>
              <w:rPr>
                <w:sz w:val="20"/>
                <w:szCs w:val="20"/>
                <w:color w:val="auto"/>
              </w:rPr>
            </w:pPr>
            <w:r>
              <w:rPr>
                <w:rFonts w:ascii="Calibri" w:cs="Calibri" w:eastAsia="Calibri" w:hAnsi="Calibri"/>
                <w:sz w:val="12"/>
                <w:szCs w:val="12"/>
                <w:color w:val="auto"/>
              </w:rPr>
              <w:t>18.6</w:t>
            </w:r>
          </w:p>
        </w:tc>
        <w:tc>
          <w:tcPr>
            <w:tcW w:w="124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color w:val="auto"/>
              </w:rPr>
              <w:t>17.3%</w:t>
            </w:r>
          </w:p>
        </w:tc>
        <w:tc>
          <w:tcPr>
            <w:tcW w:w="0" w:type="dxa"/>
            <w:vAlign w:val="bottom"/>
          </w:tcPr>
          <w:p>
            <w:pPr>
              <w:spacing w:after="0"/>
              <w:rPr>
                <w:sz w:val="1"/>
                <w:szCs w:val="1"/>
                <w:color w:val="auto"/>
              </w:rPr>
            </w:pPr>
          </w:p>
        </w:tc>
      </w:tr>
      <w:tr>
        <w:trPr>
          <w:trHeight w:val="150"/>
        </w:trPr>
        <w:tc>
          <w:tcPr>
            <w:tcW w:w="3340" w:type="dxa"/>
            <w:vAlign w:val="bottom"/>
            <w:tcBorders>
              <w:left w:val="single" w:sz="8" w:color="auto"/>
              <w:right w:val="single" w:sz="8" w:color="auto"/>
            </w:tcBorders>
          </w:tcPr>
          <w:p>
            <w:pPr>
              <w:ind w:left="20"/>
              <w:spacing w:after="0" w:line="150" w:lineRule="exact"/>
              <w:rPr>
                <w:sz w:val="20"/>
                <w:szCs w:val="20"/>
                <w:color w:val="auto"/>
              </w:rPr>
            </w:pPr>
            <w:r>
              <w:rPr>
                <w:rFonts w:ascii="Calibri" w:cs="Calibri" w:eastAsia="Calibri" w:hAnsi="Calibri"/>
                <w:sz w:val="10"/>
                <w:szCs w:val="10"/>
                <w:color w:val="auto"/>
              </w:rPr>
              <w:t xml:space="preserve">Monthly Actve Users (MAU) (millions) </w:t>
            </w:r>
            <w:r>
              <w:rPr>
                <w:rFonts w:ascii="Calibri" w:cs="Calibri" w:eastAsia="Calibri" w:hAnsi="Calibri"/>
                <w:sz w:val="16"/>
                <w:szCs w:val="16"/>
                <w:color w:val="auto"/>
                <w:vertAlign w:val="superscript"/>
              </w:rPr>
              <w:t>(2)</w:t>
            </w:r>
          </w:p>
        </w:tc>
        <w:tc>
          <w:tcPr>
            <w:tcW w:w="940" w:type="dxa"/>
            <w:vAlign w:val="bottom"/>
          </w:tcPr>
          <w:p>
            <w:pPr>
              <w:jc w:val="center"/>
              <w:spacing w:after="0"/>
              <w:rPr>
                <w:sz w:val="20"/>
                <w:szCs w:val="20"/>
                <w:color w:val="auto"/>
              </w:rPr>
            </w:pPr>
            <w:r>
              <w:rPr>
                <w:rFonts w:ascii="Calibri" w:cs="Calibri" w:eastAsia="Calibri" w:hAnsi="Calibri"/>
                <w:sz w:val="12"/>
                <w:szCs w:val="12"/>
                <w:color w:val="auto"/>
              </w:rPr>
              <w:t>12.3</w:t>
            </w:r>
          </w:p>
        </w:tc>
        <w:tc>
          <w:tcPr>
            <w:tcW w:w="980" w:type="dxa"/>
            <w:vAlign w:val="bottom"/>
          </w:tcPr>
          <w:p>
            <w:pPr>
              <w:jc w:val="center"/>
              <w:spacing w:after="0"/>
              <w:rPr>
                <w:sz w:val="20"/>
                <w:szCs w:val="20"/>
                <w:color w:val="auto"/>
              </w:rPr>
            </w:pPr>
            <w:r>
              <w:rPr>
                <w:rFonts w:ascii="Calibri" w:cs="Calibri" w:eastAsia="Calibri" w:hAnsi="Calibri"/>
                <w:sz w:val="12"/>
                <w:szCs w:val="12"/>
                <w:color w:val="auto"/>
              </w:rPr>
              <w:t>14.3</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14.9</w:t>
            </w:r>
          </w:p>
        </w:tc>
        <w:tc>
          <w:tcPr>
            <w:tcW w:w="660" w:type="dxa"/>
            <w:vAlign w:val="bottom"/>
          </w:tcPr>
          <w:p>
            <w:pPr>
              <w:jc w:val="center"/>
              <w:ind w:left="239"/>
              <w:spacing w:after="0"/>
              <w:rPr>
                <w:sz w:val="20"/>
                <w:szCs w:val="20"/>
                <w:color w:val="auto"/>
              </w:rPr>
            </w:pPr>
            <w:r>
              <w:rPr>
                <w:rFonts w:ascii="Calibri" w:cs="Calibri" w:eastAsia="Calibri" w:hAnsi="Calibri"/>
                <w:sz w:val="12"/>
                <w:szCs w:val="12"/>
                <w:color w:val="auto"/>
              </w:rPr>
              <w:t>4.2%</w:t>
            </w:r>
          </w:p>
        </w:tc>
        <w:tc>
          <w:tcPr>
            <w:tcW w:w="1240" w:type="dxa"/>
            <w:vAlign w:val="bottom"/>
            <w:tcBorders>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21.9%</w:t>
            </w:r>
          </w:p>
        </w:tc>
        <w:tc>
          <w:tcPr>
            <w:tcW w:w="740" w:type="dxa"/>
            <w:vAlign w:val="bottom"/>
          </w:tcPr>
          <w:p>
            <w:pPr>
              <w:jc w:val="center"/>
              <w:ind w:left="139"/>
              <w:spacing w:after="0"/>
              <w:rPr>
                <w:sz w:val="20"/>
                <w:szCs w:val="20"/>
                <w:color w:val="auto"/>
              </w:rPr>
            </w:pPr>
            <w:r>
              <w:rPr>
                <w:rFonts w:ascii="Calibri" w:cs="Calibri" w:eastAsia="Calibri" w:hAnsi="Calibri"/>
                <w:sz w:val="12"/>
                <w:szCs w:val="12"/>
                <w:color w:val="auto"/>
              </w:rPr>
              <w:t>12.3</w:t>
            </w:r>
          </w:p>
        </w:tc>
        <w:tc>
          <w:tcPr>
            <w:tcW w:w="1160" w:type="dxa"/>
            <w:vAlign w:val="bottom"/>
            <w:tcBorders>
              <w:right w:val="single" w:sz="8" w:color="auto"/>
            </w:tcBorders>
          </w:tcPr>
          <w:p>
            <w:pPr>
              <w:jc w:val="center"/>
              <w:ind w:left="119"/>
              <w:spacing w:after="0"/>
              <w:rPr>
                <w:sz w:val="20"/>
                <w:szCs w:val="20"/>
                <w:color w:val="auto"/>
              </w:rPr>
            </w:pPr>
            <w:r>
              <w:rPr>
                <w:rFonts w:ascii="Calibri" w:cs="Calibri" w:eastAsia="Calibri" w:hAnsi="Calibri"/>
                <w:sz w:val="12"/>
                <w:szCs w:val="12"/>
                <w:color w:val="auto"/>
              </w:rPr>
              <w:t>14.9</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21.9%</w:t>
            </w:r>
          </w:p>
        </w:tc>
        <w:tc>
          <w:tcPr>
            <w:tcW w:w="0" w:type="dxa"/>
            <w:vAlign w:val="bottom"/>
          </w:tcPr>
          <w:p>
            <w:pPr>
              <w:spacing w:after="0"/>
              <w:rPr>
                <w:sz w:val="1"/>
                <w:szCs w:val="1"/>
                <w:color w:val="auto"/>
              </w:rPr>
            </w:pPr>
          </w:p>
        </w:tc>
      </w:tr>
      <w:tr>
        <w:trPr>
          <w:trHeight w:val="150"/>
        </w:trPr>
        <w:tc>
          <w:tcPr>
            <w:tcW w:w="3340" w:type="dxa"/>
            <w:vAlign w:val="bottom"/>
            <w:tcBorders>
              <w:left w:val="single" w:sz="8" w:color="auto"/>
              <w:bottom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Revenue Generatng MAU (millions)</w:t>
            </w:r>
          </w:p>
        </w:tc>
        <w:tc>
          <w:tcPr>
            <w:tcW w:w="9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1"/>
              </w:rPr>
              <w:t>9.5</w:t>
            </w:r>
          </w:p>
        </w:tc>
        <w:tc>
          <w:tcPr>
            <w:tcW w:w="98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12.0</w:t>
            </w:r>
          </w:p>
        </w:tc>
        <w:tc>
          <w:tcPr>
            <w:tcW w:w="96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12.6</w:t>
            </w:r>
          </w:p>
        </w:tc>
        <w:tc>
          <w:tcPr>
            <w:tcW w:w="660" w:type="dxa"/>
            <w:vAlign w:val="bottom"/>
            <w:tcBorders>
              <w:bottom w:val="single" w:sz="8" w:color="auto"/>
            </w:tcBorders>
          </w:tcPr>
          <w:p>
            <w:pPr>
              <w:jc w:val="center"/>
              <w:ind w:left="239"/>
              <w:spacing w:after="0" w:line="145" w:lineRule="exact"/>
              <w:rPr>
                <w:sz w:val="20"/>
                <w:szCs w:val="20"/>
                <w:color w:val="auto"/>
              </w:rPr>
            </w:pPr>
            <w:r>
              <w:rPr>
                <w:rFonts w:ascii="Calibri" w:cs="Calibri" w:eastAsia="Calibri" w:hAnsi="Calibri"/>
                <w:sz w:val="12"/>
                <w:szCs w:val="12"/>
                <w:color w:val="auto"/>
              </w:rPr>
              <w:t>4.9%</w:t>
            </w:r>
          </w:p>
        </w:tc>
        <w:tc>
          <w:tcPr>
            <w:tcW w:w="1240" w:type="dxa"/>
            <w:vAlign w:val="bottom"/>
            <w:tcBorders>
              <w:bottom w:val="single" w:sz="8" w:color="auto"/>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32.5%</w:t>
            </w:r>
          </w:p>
        </w:tc>
        <w:tc>
          <w:tcPr>
            <w:tcW w:w="740" w:type="dxa"/>
            <w:vAlign w:val="bottom"/>
            <w:tcBorders>
              <w:bottom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w w:val="91"/>
              </w:rPr>
              <w:t>9.5</w:t>
            </w:r>
          </w:p>
        </w:tc>
        <w:tc>
          <w:tcPr>
            <w:tcW w:w="1160" w:type="dxa"/>
            <w:vAlign w:val="bottom"/>
            <w:tcBorders>
              <w:bottom w:val="single" w:sz="8" w:color="auto"/>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rPr>
              <w:t>12.6</w:t>
            </w:r>
          </w:p>
        </w:tc>
        <w:tc>
          <w:tcPr>
            <w:tcW w:w="12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32.5%</w:t>
            </w:r>
          </w:p>
        </w:tc>
        <w:tc>
          <w:tcPr>
            <w:tcW w:w="0" w:type="dxa"/>
            <w:vAlign w:val="bottom"/>
          </w:tcPr>
          <w:p>
            <w:pPr>
              <w:spacing w:after="0"/>
              <w:rPr>
                <w:sz w:val="1"/>
                <w:szCs w:val="1"/>
                <w:color w:val="auto"/>
              </w:rPr>
            </w:pPr>
          </w:p>
        </w:tc>
      </w:tr>
      <w:tr>
        <w:trPr>
          <w:trHeight w:val="130"/>
        </w:trPr>
        <w:tc>
          <w:tcPr>
            <w:tcW w:w="334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2"/>
                <w:szCs w:val="12"/>
                <w:b w:val="1"/>
                <w:bCs w:val="1"/>
                <w:color w:val="auto"/>
              </w:rPr>
              <w:t>Engagement</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 Transactons (millions)</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rPr>
              <w:t>1,400.6</w:t>
            </w:r>
          </w:p>
        </w:tc>
        <w:tc>
          <w:tcPr>
            <w:tcW w:w="98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2,025.4</w:t>
            </w:r>
          </w:p>
        </w:tc>
        <w:tc>
          <w:tcPr>
            <w:tcW w:w="9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2,384.9</w:t>
            </w:r>
          </w:p>
        </w:tc>
        <w:tc>
          <w:tcPr>
            <w:tcW w:w="66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17.8%</w:t>
            </w:r>
          </w:p>
        </w:tc>
        <w:tc>
          <w:tcPr>
            <w:tcW w:w="124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70.3%</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rPr>
              <w:t>2,528.3</w:t>
            </w:r>
          </w:p>
        </w:tc>
        <w:tc>
          <w:tcPr>
            <w:tcW w:w="116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rPr>
              <w:t>4,410.3</w:t>
            </w:r>
          </w:p>
        </w:tc>
        <w:tc>
          <w:tcPr>
            <w:tcW w:w="12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74.4%</w:t>
            </w: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 Transactons / MAU</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rPr>
              <w:t>40.2</w:t>
            </w:r>
          </w:p>
        </w:tc>
        <w:tc>
          <w:tcPr>
            <w:tcW w:w="980" w:type="dxa"/>
            <w:vAlign w:val="bottom"/>
          </w:tcPr>
          <w:p>
            <w:pPr>
              <w:jc w:val="center"/>
              <w:spacing w:after="0" w:line="143" w:lineRule="exact"/>
              <w:rPr>
                <w:sz w:val="20"/>
                <w:szCs w:val="20"/>
                <w:color w:val="auto"/>
              </w:rPr>
            </w:pPr>
            <w:r>
              <w:rPr>
                <w:rFonts w:ascii="Calibri" w:cs="Calibri" w:eastAsia="Calibri" w:hAnsi="Calibri"/>
                <w:sz w:val="12"/>
                <w:szCs w:val="12"/>
                <w:color w:val="auto"/>
              </w:rPr>
              <w:t>52.1</w:t>
            </w:r>
          </w:p>
        </w:tc>
        <w:tc>
          <w:tcPr>
            <w:tcW w:w="9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54.5</w:t>
            </w:r>
          </w:p>
        </w:tc>
        <w:tc>
          <w:tcPr>
            <w:tcW w:w="660" w:type="dxa"/>
            <w:vAlign w:val="bottom"/>
          </w:tcPr>
          <w:p>
            <w:pPr>
              <w:jc w:val="center"/>
              <w:ind w:left="239"/>
              <w:spacing w:after="0" w:line="143" w:lineRule="exact"/>
              <w:rPr>
                <w:sz w:val="20"/>
                <w:szCs w:val="20"/>
                <w:color w:val="auto"/>
              </w:rPr>
            </w:pPr>
            <w:r>
              <w:rPr>
                <w:rFonts w:ascii="Calibri" w:cs="Calibri" w:eastAsia="Calibri" w:hAnsi="Calibri"/>
                <w:sz w:val="12"/>
                <w:szCs w:val="12"/>
                <w:color w:val="auto"/>
              </w:rPr>
              <w:t>4.6%</w:t>
            </w:r>
          </w:p>
        </w:tc>
        <w:tc>
          <w:tcPr>
            <w:tcW w:w="124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35.6%</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rPr>
              <w:t>40.2</w:t>
            </w:r>
          </w:p>
        </w:tc>
        <w:tc>
          <w:tcPr>
            <w:tcW w:w="116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rPr>
              <w:t>54.5</w:t>
            </w:r>
          </w:p>
        </w:tc>
        <w:tc>
          <w:tcPr>
            <w:tcW w:w="12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35.6%</w:t>
            </w:r>
          </w:p>
        </w:tc>
        <w:tc>
          <w:tcPr>
            <w:tcW w:w="0" w:type="dxa"/>
            <w:vAlign w:val="bottom"/>
          </w:tcPr>
          <w:p>
            <w:pPr>
              <w:spacing w:after="0"/>
              <w:rPr>
                <w:sz w:val="1"/>
                <w:szCs w:val="1"/>
                <w:color w:val="auto"/>
              </w:rPr>
            </w:pPr>
          </w:p>
        </w:tc>
      </w:tr>
      <w:tr>
        <w:trPr>
          <w:trHeight w:val="150"/>
        </w:trPr>
        <w:tc>
          <w:tcPr>
            <w:tcW w:w="3340" w:type="dxa"/>
            <w:vAlign w:val="bottom"/>
            <w:tcBorders>
              <w:left w:val="single" w:sz="8" w:color="auto"/>
              <w:bottom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 Average Functonalites / MAU</w:t>
            </w:r>
          </w:p>
        </w:tc>
        <w:tc>
          <w:tcPr>
            <w:tcW w:w="9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1"/>
              </w:rPr>
              <w:t>2.3</w:t>
            </w:r>
          </w:p>
        </w:tc>
        <w:tc>
          <w:tcPr>
            <w:tcW w:w="98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2.6</w:t>
            </w:r>
          </w:p>
        </w:tc>
        <w:tc>
          <w:tcPr>
            <w:tcW w:w="96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1"/>
              </w:rPr>
              <w:t>2.7</w:t>
            </w:r>
          </w:p>
        </w:tc>
        <w:tc>
          <w:tcPr>
            <w:tcW w:w="660" w:type="dxa"/>
            <w:vAlign w:val="bottom"/>
            <w:tcBorders>
              <w:bottom w:val="single" w:sz="8" w:color="auto"/>
            </w:tcBorders>
          </w:tcPr>
          <w:p>
            <w:pPr>
              <w:jc w:val="center"/>
              <w:ind w:left="239"/>
              <w:spacing w:after="0" w:line="145" w:lineRule="exact"/>
              <w:rPr>
                <w:sz w:val="20"/>
                <w:szCs w:val="20"/>
                <w:color w:val="auto"/>
              </w:rPr>
            </w:pPr>
            <w:r>
              <w:rPr>
                <w:rFonts w:ascii="Calibri" w:cs="Calibri" w:eastAsia="Calibri" w:hAnsi="Calibri"/>
                <w:sz w:val="12"/>
                <w:szCs w:val="12"/>
                <w:color w:val="auto"/>
              </w:rPr>
              <w:t>1.5%</w:t>
            </w:r>
          </w:p>
        </w:tc>
        <w:tc>
          <w:tcPr>
            <w:tcW w:w="1240" w:type="dxa"/>
            <w:vAlign w:val="bottom"/>
            <w:tcBorders>
              <w:bottom w:val="single" w:sz="8" w:color="auto"/>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14.2%</w:t>
            </w:r>
          </w:p>
        </w:tc>
        <w:tc>
          <w:tcPr>
            <w:tcW w:w="740" w:type="dxa"/>
            <w:vAlign w:val="bottom"/>
            <w:tcBorders>
              <w:bottom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w w:val="91"/>
              </w:rPr>
              <w:t>2.3</w:t>
            </w:r>
          </w:p>
        </w:tc>
        <w:tc>
          <w:tcPr>
            <w:tcW w:w="1160" w:type="dxa"/>
            <w:vAlign w:val="bottom"/>
            <w:tcBorders>
              <w:bottom w:val="single" w:sz="8" w:color="auto"/>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rPr>
              <w:t>2.7</w:t>
            </w:r>
          </w:p>
        </w:tc>
        <w:tc>
          <w:tcPr>
            <w:tcW w:w="12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14.2%</w:t>
            </w:r>
          </w:p>
        </w:tc>
        <w:tc>
          <w:tcPr>
            <w:tcW w:w="0" w:type="dxa"/>
            <w:vAlign w:val="bottom"/>
          </w:tcPr>
          <w:p>
            <w:pPr>
              <w:spacing w:after="0"/>
              <w:rPr>
                <w:sz w:val="1"/>
                <w:szCs w:val="1"/>
                <w:color w:val="auto"/>
              </w:rPr>
            </w:pPr>
          </w:p>
        </w:tc>
      </w:tr>
      <w:tr>
        <w:trPr>
          <w:trHeight w:val="123"/>
        </w:trPr>
        <w:tc>
          <w:tcPr>
            <w:tcW w:w="3340" w:type="dxa"/>
            <w:vAlign w:val="bottom"/>
            <w:tcBorders>
              <w:left w:val="single" w:sz="8" w:color="auto"/>
              <w:right w:val="single" w:sz="8" w:color="auto"/>
            </w:tcBorders>
          </w:tcPr>
          <w:p>
            <w:pPr>
              <w:ind w:left="20"/>
              <w:spacing w:after="0" w:line="123" w:lineRule="exact"/>
              <w:rPr>
                <w:sz w:val="20"/>
                <w:szCs w:val="20"/>
                <w:color w:val="auto"/>
              </w:rPr>
            </w:pPr>
            <w:r>
              <w:rPr>
                <w:rFonts w:ascii="Calibri" w:cs="Calibri" w:eastAsia="Calibri" w:hAnsi="Calibri"/>
                <w:sz w:val="12"/>
                <w:szCs w:val="12"/>
                <w:b w:val="1"/>
                <w:bCs w:val="1"/>
                <w:color w:val="auto"/>
              </w:rPr>
              <w:t>Experience</w:t>
            </w: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340" w:type="dxa"/>
            <w:vAlign w:val="bottom"/>
            <w:tcBorders>
              <w:left w:val="single" w:sz="8" w:color="auto"/>
              <w:bottom w:val="single" w:sz="8" w:color="auto"/>
              <w:right w:val="single" w:sz="8" w:color="auto"/>
            </w:tcBorders>
          </w:tcPr>
          <w:p>
            <w:pPr>
              <w:ind w:left="20"/>
              <w:spacing w:after="0" w:line="161" w:lineRule="exact"/>
              <w:rPr>
                <w:sz w:val="20"/>
                <w:szCs w:val="20"/>
                <w:color w:val="auto"/>
              </w:rPr>
            </w:pPr>
            <w:r>
              <w:rPr>
                <w:rFonts w:ascii="Calibri" w:cs="Calibri" w:eastAsia="Calibri" w:hAnsi="Calibri"/>
                <w:sz w:val="17"/>
                <w:szCs w:val="17"/>
                <w:color w:val="auto"/>
                <w:vertAlign w:val="subscript"/>
              </w:rPr>
              <w:t>NPS</w:t>
            </w:r>
            <w:r>
              <w:rPr>
                <w:rFonts w:ascii="Calibri" w:cs="Calibri" w:eastAsia="Calibri" w:hAnsi="Calibri"/>
                <w:sz w:val="8"/>
                <w:szCs w:val="8"/>
                <w:color w:val="auto"/>
              </w:rPr>
              <w:t xml:space="preserve"> (3)</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76</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8"/>
              </w:rPr>
              <w:t>77</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8"/>
              </w:rPr>
              <w:t>77</w:t>
            </w:r>
          </w:p>
        </w:tc>
        <w:tc>
          <w:tcPr>
            <w:tcW w:w="660" w:type="dxa"/>
            <w:vAlign w:val="bottom"/>
            <w:tcBorders>
              <w:bottom w:val="single" w:sz="8" w:color="auto"/>
            </w:tcBorders>
          </w:tcPr>
          <w:p>
            <w:pPr>
              <w:jc w:val="center"/>
              <w:ind w:left="239"/>
              <w:spacing w:after="0"/>
              <w:rPr>
                <w:sz w:val="20"/>
                <w:szCs w:val="20"/>
                <w:color w:val="auto"/>
              </w:rPr>
            </w:pPr>
            <w:r>
              <w:rPr>
                <w:rFonts w:ascii="Calibri" w:cs="Calibri" w:eastAsia="Calibri" w:hAnsi="Calibri"/>
                <w:sz w:val="12"/>
                <w:szCs w:val="12"/>
                <w:color w:val="auto"/>
              </w:rPr>
              <w:t>0.0%</w:t>
            </w:r>
          </w:p>
        </w:tc>
        <w:tc>
          <w:tcPr>
            <w:tcW w:w="1240" w:type="dxa"/>
            <w:vAlign w:val="bottom"/>
            <w:tcBorders>
              <w:bottom w:val="single" w:sz="8" w:color="auto"/>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60.0%</w:t>
            </w:r>
          </w:p>
        </w:tc>
        <w:tc>
          <w:tcPr>
            <w:tcW w:w="740" w:type="dxa"/>
            <w:vAlign w:val="bottom"/>
            <w:tcBorders>
              <w:bottom w:val="single" w:sz="8" w:color="auto"/>
            </w:tcBorders>
          </w:tcPr>
          <w:p>
            <w:pPr>
              <w:jc w:val="center"/>
              <w:ind w:left="139"/>
              <w:spacing w:after="0"/>
              <w:rPr>
                <w:sz w:val="20"/>
                <w:szCs w:val="20"/>
                <w:color w:val="auto"/>
              </w:rPr>
            </w:pPr>
            <w:r>
              <w:rPr>
                <w:rFonts w:ascii="Calibri" w:cs="Calibri" w:eastAsia="Calibri" w:hAnsi="Calibri"/>
                <w:sz w:val="12"/>
                <w:szCs w:val="12"/>
                <w:color w:val="auto"/>
              </w:rPr>
              <w:t>77</w:t>
            </w:r>
          </w:p>
        </w:tc>
        <w:tc>
          <w:tcPr>
            <w:tcW w:w="1160" w:type="dxa"/>
            <w:vAlign w:val="bottom"/>
            <w:tcBorders>
              <w:bottom w:val="single" w:sz="8" w:color="auto"/>
              <w:right w:val="single" w:sz="8" w:color="auto"/>
            </w:tcBorders>
          </w:tcPr>
          <w:p>
            <w:pPr>
              <w:jc w:val="center"/>
              <w:ind w:left="139"/>
              <w:spacing w:after="0"/>
              <w:rPr>
                <w:sz w:val="20"/>
                <w:szCs w:val="20"/>
                <w:color w:val="auto"/>
              </w:rPr>
            </w:pPr>
            <w:r>
              <w:rPr>
                <w:rFonts w:ascii="Calibri" w:cs="Calibri" w:eastAsia="Calibri" w:hAnsi="Calibri"/>
                <w:sz w:val="12"/>
                <w:szCs w:val="12"/>
                <w:color w:val="auto"/>
                <w:w w:val="98"/>
              </w:rPr>
              <w:t>77</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-40.0%</w:t>
            </w:r>
          </w:p>
        </w:tc>
        <w:tc>
          <w:tcPr>
            <w:tcW w:w="0" w:type="dxa"/>
            <w:vAlign w:val="bottom"/>
          </w:tcPr>
          <w:p>
            <w:pPr>
              <w:spacing w:after="0"/>
              <w:rPr>
                <w:sz w:val="1"/>
                <w:szCs w:val="1"/>
                <w:color w:val="auto"/>
              </w:rPr>
            </w:pPr>
          </w:p>
        </w:tc>
      </w:tr>
      <w:tr>
        <w:trPr>
          <w:trHeight w:val="118"/>
        </w:trPr>
        <w:tc>
          <w:tcPr>
            <w:tcW w:w="3340" w:type="dxa"/>
            <w:vAlign w:val="bottom"/>
            <w:tcBorders>
              <w:left w:val="single" w:sz="8" w:color="auto"/>
              <w:right w:val="single" w:sz="8" w:color="auto"/>
            </w:tcBorders>
          </w:tcPr>
          <w:p>
            <w:pPr>
              <w:ind w:left="20"/>
              <w:spacing w:after="0" w:line="118" w:lineRule="exact"/>
              <w:rPr>
                <w:sz w:val="20"/>
                <w:szCs w:val="20"/>
                <w:color w:val="auto"/>
              </w:rPr>
            </w:pPr>
            <w:r>
              <w:rPr>
                <w:rFonts w:ascii="Calibri" w:cs="Calibri" w:eastAsia="Calibri" w:hAnsi="Calibri"/>
                <w:sz w:val="12"/>
                <w:szCs w:val="12"/>
                <w:b w:val="1"/>
                <w:bCs w:val="1"/>
                <w:color w:val="auto"/>
              </w:rPr>
              <w:t>Unit Economics</w:t>
            </w: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340" w:type="dxa"/>
            <w:vAlign w:val="bottom"/>
            <w:tcBorders>
              <w:left w:val="single" w:sz="8" w:color="auto"/>
              <w:right w:val="single" w:sz="8" w:color="auto"/>
            </w:tcBorders>
          </w:tcPr>
          <w:p>
            <w:pPr>
              <w:ind w:left="20"/>
              <w:spacing w:after="0" w:line="150" w:lineRule="exact"/>
              <w:rPr>
                <w:sz w:val="20"/>
                <w:szCs w:val="20"/>
                <w:color w:val="auto"/>
              </w:rPr>
            </w:pPr>
            <w:r>
              <w:rPr>
                <w:rFonts w:ascii="Calibri" w:cs="Calibri" w:eastAsia="Calibri" w:hAnsi="Calibri"/>
                <w:sz w:val="10"/>
                <w:szCs w:val="10"/>
                <w:b w:val="1"/>
                <w:bCs w:val="1"/>
                <w:color w:val="auto"/>
              </w:rPr>
              <w:t xml:space="preserve">Monthly Indicators </w:t>
            </w:r>
            <w:r>
              <w:rPr>
                <w:rFonts w:ascii="Calibri" w:cs="Calibri" w:eastAsia="Calibri" w:hAnsi="Calibri"/>
                <w:sz w:val="16"/>
                <w:szCs w:val="16"/>
                <w:b w:val="1"/>
                <w:bCs w:val="1"/>
                <w:color w:val="auto"/>
                <w:vertAlign w:val="superscript"/>
              </w:rPr>
              <w:t>(4)</w:t>
            </w: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Revenues / MAU (S/)</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1"/>
              </w:rPr>
              <w:t>3.9</w:t>
            </w:r>
          </w:p>
        </w:tc>
        <w:tc>
          <w:tcPr>
            <w:tcW w:w="980" w:type="dxa"/>
            <w:vAlign w:val="bottom"/>
          </w:tcPr>
          <w:p>
            <w:pPr>
              <w:jc w:val="center"/>
              <w:spacing w:after="0" w:line="143" w:lineRule="exact"/>
              <w:rPr>
                <w:sz w:val="20"/>
                <w:szCs w:val="20"/>
                <w:color w:val="auto"/>
              </w:rPr>
            </w:pPr>
            <w:r>
              <w:rPr>
                <w:rFonts w:ascii="Calibri" w:cs="Calibri" w:eastAsia="Calibri" w:hAnsi="Calibri"/>
                <w:sz w:val="12"/>
                <w:szCs w:val="12"/>
                <w:color w:val="auto"/>
              </w:rPr>
              <w:t>6.2</w:t>
            </w:r>
          </w:p>
        </w:tc>
        <w:tc>
          <w:tcPr>
            <w:tcW w:w="9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1"/>
              </w:rPr>
              <w:t>6.5</w:t>
            </w:r>
          </w:p>
        </w:tc>
        <w:tc>
          <w:tcPr>
            <w:tcW w:w="660" w:type="dxa"/>
            <w:vAlign w:val="bottom"/>
          </w:tcPr>
          <w:p>
            <w:pPr>
              <w:jc w:val="center"/>
              <w:ind w:left="239"/>
              <w:spacing w:after="0" w:line="143" w:lineRule="exact"/>
              <w:rPr>
                <w:sz w:val="20"/>
                <w:szCs w:val="20"/>
                <w:color w:val="auto"/>
              </w:rPr>
            </w:pPr>
            <w:r>
              <w:rPr>
                <w:rFonts w:ascii="Calibri" w:cs="Calibri" w:eastAsia="Calibri" w:hAnsi="Calibri"/>
                <w:sz w:val="12"/>
                <w:szCs w:val="12"/>
                <w:color w:val="auto"/>
              </w:rPr>
              <w:t>3.8%</w:t>
            </w:r>
          </w:p>
        </w:tc>
        <w:tc>
          <w:tcPr>
            <w:tcW w:w="124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64.3%</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w w:val="91"/>
              </w:rPr>
              <w:t>3.9</w:t>
            </w:r>
          </w:p>
        </w:tc>
        <w:tc>
          <w:tcPr>
            <w:tcW w:w="116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6.5</w:t>
            </w:r>
          </w:p>
        </w:tc>
        <w:tc>
          <w:tcPr>
            <w:tcW w:w="12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64.3%</w:t>
            </w:r>
          </w:p>
        </w:tc>
        <w:tc>
          <w:tcPr>
            <w:tcW w:w="0" w:type="dxa"/>
            <w:vAlign w:val="bottom"/>
          </w:tcPr>
          <w:p>
            <w:pPr>
              <w:spacing w:after="0"/>
              <w:rPr>
                <w:sz w:val="1"/>
                <w:szCs w:val="1"/>
                <w:color w:val="auto"/>
              </w:rPr>
            </w:pPr>
          </w:p>
        </w:tc>
      </w:tr>
      <w:tr>
        <w:trPr>
          <w:trHeight w:val="136"/>
        </w:trPr>
        <w:tc>
          <w:tcPr>
            <w:tcW w:w="334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color w:val="auto"/>
              </w:rPr>
              <w:t>Expenses / MAU (S/)</w:t>
            </w:r>
          </w:p>
        </w:tc>
        <w:tc>
          <w:tcPr>
            <w:tcW w:w="940" w:type="dxa"/>
            <w:vAlign w:val="bottom"/>
          </w:tcPr>
          <w:p>
            <w:pPr>
              <w:jc w:val="center"/>
              <w:spacing w:after="0" w:line="137" w:lineRule="exact"/>
              <w:rPr>
                <w:sz w:val="20"/>
                <w:szCs w:val="20"/>
                <w:color w:val="auto"/>
              </w:rPr>
            </w:pPr>
            <w:r>
              <w:rPr>
                <w:rFonts w:ascii="Calibri" w:cs="Calibri" w:eastAsia="Calibri" w:hAnsi="Calibri"/>
                <w:sz w:val="12"/>
                <w:szCs w:val="12"/>
                <w:color w:val="auto"/>
                <w:w w:val="95"/>
              </w:rPr>
              <w:t>-3.9</w:t>
            </w:r>
          </w:p>
        </w:tc>
        <w:tc>
          <w:tcPr>
            <w:tcW w:w="980" w:type="dxa"/>
            <w:vAlign w:val="bottom"/>
          </w:tcPr>
          <w:p>
            <w:pPr>
              <w:jc w:val="center"/>
              <w:spacing w:after="0" w:line="137" w:lineRule="exact"/>
              <w:rPr>
                <w:sz w:val="20"/>
                <w:szCs w:val="20"/>
                <w:color w:val="auto"/>
              </w:rPr>
            </w:pPr>
            <w:r>
              <w:rPr>
                <w:rFonts w:ascii="Calibri" w:cs="Calibri" w:eastAsia="Calibri" w:hAnsi="Calibri"/>
                <w:sz w:val="12"/>
                <w:szCs w:val="12"/>
                <w:color w:val="auto"/>
                <w:w w:val="95"/>
              </w:rPr>
              <w:t>-4.7</w:t>
            </w:r>
          </w:p>
        </w:tc>
        <w:tc>
          <w:tcPr>
            <w:tcW w:w="96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color w:val="auto"/>
                <w:w w:val="95"/>
              </w:rPr>
              <w:t>-4.4</w:t>
            </w:r>
          </w:p>
        </w:tc>
        <w:tc>
          <w:tcPr>
            <w:tcW w:w="660" w:type="dxa"/>
            <w:vAlign w:val="bottom"/>
          </w:tcPr>
          <w:p>
            <w:pPr>
              <w:jc w:val="center"/>
              <w:ind w:left="219"/>
              <w:spacing w:after="0" w:line="137" w:lineRule="exact"/>
              <w:rPr>
                <w:sz w:val="20"/>
                <w:szCs w:val="20"/>
                <w:color w:val="auto"/>
              </w:rPr>
            </w:pPr>
            <w:r>
              <w:rPr>
                <w:rFonts w:ascii="Calibri" w:cs="Calibri" w:eastAsia="Calibri" w:hAnsi="Calibri"/>
                <w:sz w:val="12"/>
                <w:szCs w:val="12"/>
                <w:color w:val="auto"/>
                <w:w w:val="94"/>
              </w:rPr>
              <w:t>-6.9%</w:t>
            </w:r>
          </w:p>
        </w:tc>
        <w:tc>
          <w:tcPr>
            <w:tcW w:w="1240" w:type="dxa"/>
            <w:vAlign w:val="bottom"/>
            <w:tcBorders>
              <w:right w:val="single" w:sz="8" w:color="auto"/>
            </w:tcBorders>
          </w:tcPr>
          <w:p>
            <w:pPr>
              <w:jc w:val="center"/>
              <w:ind w:left="199"/>
              <w:spacing w:after="0" w:line="137" w:lineRule="exact"/>
              <w:rPr>
                <w:sz w:val="20"/>
                <w:szCs w:val="20"/>
                <w:color w:val="auto"/>
              </w:rPr>
            </w:pPr>
            <w:r>
              <w:rPr>
                <w:rFonts w:ascii="Calibri" w:cs="Calibri" w:eastAsia="Calibri" w:hAnsi="Calibri"/>
                <w:sz w:val="12"/>
                <w:szCs w:val="12"/>
                <w:color w:val="auto"/>
              </w:rPr>
              <w:t>11.5%</w:t>
            </w:r>
          </w:p>
        </w:tc>
        <w:tc>
          <w:tcPr>
            <w:tcW w:w="740" w:type="dxa"/>
            <w:vAlign w:val="bottom"/>
          </w:tcPr>
          <w:p>
            <w:pPr>
              <w:jc w:val="center"/>
              <w:ind w:left="139"/>
              <w:spacing w:after="0" w:line="137" w:lineRule="exact"/>
              <w:rPr>
                <w:sz w:val="20"/>
                <w:szCs w:val="20"/>
                <w:color w:val="auto"/>
              </w:rPr>
            </w:pPr>
            <w:r>
              <w:rPr>
                <w:rFonts w:ascii="Calibri" w:cs="Calibri" w:eastAsia="Calibri" w:hAnsi="Calibri"/>
                <w:sz w:val="12"/>
                <w:szCs w:val="12"/>
                <w:color w:val="auto"/>
                <w:w w:val="95"/>
              </w:rPr>
              <w:t>-3.9</w:t>
            </w:r>
          </w:p>
        </w:tc>
        <w:tc>
          <w:tcPr>
            <w:tcW w:w="1160" w:type="dxa"/>
            <w:vAlign w:val="bottom"/>
            <w:tcBorders>
              <w:right w:val="single" w:sz="8" w:color="auto"/>
            </w:tcBorders>
          </w:tcPr>
          <w:p>
            <w:pPr>
              <w:jc w:val="center"/>
              <w:ind w:left="119"/>
              <w:spacing w:after="0" w:line="137" w:lineRule="exact"/>
              <w:rPr>
                <w:sz w:val="20"/>
                <w:szCs w:val="20"/>
                <w:color w:val="auto"/>
              </w:rPr>
            </w:pPr>
            <w:r>
              <w:rPr>
                <w:rFonts w:ascii="Calibri" w:cs="Calibri" w:eastAsia="Calibri" w:hAnsi="Calibri"/>
                <w:sz w:val="12"/>
                <w:szCs w:val="12"/>
                <w:color w:val="auto"/>
                <w:w w:val="95"/>
              </w:rPr>
              <w:t>-4.4</w:t>
            </w:r>
          </w:p>
        </w:tc>
        <w:tc>
          <w:tcPr>
            <w:tcW w:w="124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color w:val="auto"/>
              </w:rPr>
              <w:t>11.5%</w:t>
            </w:r>
          </w:p>
        </w:tc>
        <w:tc>
          <w:tcPr>
            <w:tcW w:w="0" w:type="dxa"/>
            <w:vAlign w:val="bottom"/>
          </w:tcPr>
          <w:p>
            <w:pPr>
              <w:spacing w:after="0"/>
              <w:rPr>
                <w:sz w:val="1"/>
                <w:szCs w:val="1"/>
                <w:color w:val="auto"/>
              </w:rPr>
            </w:pPr>
          </w:p>
        </w:tc>
      </w:tr>
      <w:tr>
        <w:trPr>
          <w:trHeight w:val="150"/>
        </w:trPr>
        <w:tc>
          <w:tcPr>
            <w:tcW w:w="3340" w:type="dxa"/>
            <w:vAlign w:val="bottom"/>
            <w:tcBorders>
              <w:left w:val="single" w:sz="8" w:color="auto"/>
              <w:right w:val="single" w:sz="8" w:color="auto"/>
            </w:tcBorders>
          </w:tcPr>
          <w:p>
            <w:pPr>
              <w:ind w:left="20"/>
              <w:spacing w:after="0" w:line="150" w:lineRule="exact"/>
              <w:rPr>
                <w:sz w:val="20"/>
                <w:szCs w:val="20"/>
                <w:color w:val="auto"/>
              </w:rPr>
            </w:pPr>
            <w:r>
              <w:rPr>
                <w:rFonts w:ascii="Calibri" w:cs="Calibri" w:eastAsia="Calibri" w:hAnsi="Calibri"/>
                <w:sz w:val="10"/>
                <w:szCs w:val="10"/>
                <w:b w:val="1"/>
                <w:bCs w:val="1"/>
                <w:color w:val="auto"/>
              </w:rPr>
              <w:t xml:space="preserve">Quarterly Indicators </w:t>
            </w:r>
            <w:r>
              <w:rPr>
                <w:rFonts w:ascii="Calibri" w:cs="Calibri" w:eastAsia="Calibri" w:hAnsi="Calibri"/>
                <w:sz w:val="16"/>
                <w:szCs w:val="16"/>
                <w:b w:val="1"/>
                <w:bCs w:val="1"/>
                <w:color w:val="auto"/>
                <w:vertAlign w:val="superscript"/>
              </w:rPr>
              <w:t>(5)</w:t>
            </w: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Revenues / MAU (S/)</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1"/>
              </w:rPr>
              <w:t>3.8</w:t>
            </w:r>
          </w:p>
        </w:tc>
        <w:tc>
          <w:tcPr>
            <w:tcW w:w="980" w:type="dxa"/>
            <w:vAlign w:val="bottom"/>
          </w:tcPr>
          <w:p>
            <w:pPr>
              <w:jc w:val="center"/>
              <w:spacing w:after="0" w:line="143" w:lineRule="exact"/>
              <w:rPr>
                <w:sz w:val="20"/>
                <w:szCs w:val="20"/>
                <w:color w:val="auto"/>
              </w:rPr>
            </w:pPr>
            <w:r>
              <w:rPr>
                <w:rFonts w:ascii="Calibri" w:cs="Calibri" w:eastAsia="Calibri" w:hAnsi="Calibri"/>
                <w:sz w:val="12"/>
                <w:szCs w:val="12"/>
                <w:color w:val="auto"/>
              </w:rPr>
              <w:t>5.5</w:t>
            </w:r>
          </w:p>
        </w:tc>
        <w:tc>
          <w:tcPr>
            <w:tcW w:w="9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1"/>
              </w:rPr>
              <w:t>6.4</w:t>
            </w:r>
          </w:p>
        </w:tc>
        <w:tc>
          <w:tcPr>
            <w:tcW w:w="66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15.4%</w:t>
            </w:r>
          </w:p>
        </w:tc>
        <w:tc>
          <w:tcPr>
            <w:tcW w:w="124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69.4%</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w w:val="91"/>
              </w:rPr>
              <w:t>3.5</w:t>
            </w:r>
          </w:p>
        </w:tc>
        <w:tc>
          <w:tcPr>
            <w:tcW w:w="116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6.0</w:t>
            </w:r>
          </w:p>
        </w:tc>
        <w:tc>
          <w:tcPr>
            <w:tcW w:w="12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69.2%</w:t>
            </w:r>
          </w:p>
        </w:tc>
        <w:tc>
          <w:tcPr>
            <w:tcW w:w="0" w:type="dxa"/>
            <w:vAlign w:val="bottom"/>
          </w:tcPr>
          <w:p>
            <w:pPr>
              <w:spacing w:after="0"/>
              <w:rPr>
                <w:sz w:val="1"/>
                <w:szCs w:val="1"/>
                <w:color w:val="auto"/>
              </w:rPr>
            </w:pPr>
          </w:p>
        </w:tc>
      </w:tr>
      <w:tr>
        <w:trPr>
          <w:trHeight w:val="150"/>
        </w:trPr>
        <w:tc>
          <w:tcPr>
            <w:tcW w:w="3340" w:type="dxa"/>
            <w:vAlign w:val="bottom"/>
            <w:tcBorders>
              <w:left w:val="single" w:sz="8" w:color="auto"/>
              <w:bottom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Expenses / MAU (S/)</w:t>
            </w:r>
          </w:p>
        </w:tc>
        <w:tc>
          <w:tcPr>
            <w:tcW w:w="9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5"/>
              </w:rPr>
              <w:t>-3.9</w:t>
            </w:r>
          </w:p>
        </w:tc>
        <w:tc>
          <w:tcPr>
            <w:tcW w:w="98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5"/>
              </w:rPr>
              <w:t>-4.2</w:t>
            </w:r>
          </w:p>
        </w:tc>
        <w:tc>
          <w:tcPr>
            <w:tcW w:w="96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5"/>
              </w:rPr>
              <w:t>-4.5</w:t>
            </w:r>
          </w:p>
        </w:tc>
        <w:tc>
          <w:tcPr>
            <w:tcW w:w="660" w:type="dxa"/>
            <w:vAlign w:val="bottom"/>
            <w:tcBorders>
              <w:bottom w:val="single" w:sz="8" w:color="auto"/>
            </w:tcBorders>
          </w:tcPr>
          <w:p>
            <w:pPr>
              <w:jc w:val="center"/>
              <w:ind w:left="239"/>
              <w:spacing w:after="0" w:line="145" w:lineRule="exact"/>
              <w:rPr>
                <w:sz w:val="20"/>
                <w:szCs w:val="20"/>
                <w:color w:val="auto"/>
              </w:rPr>
            </w:pPr>
            <w:r>
              <w:rPr>
                <w:rFonts w:ascii="Calibri" w:cs="Calibri" w:eastAsia="Calibri" w:hAnsi="Calibri"/>
                <w:sz w:val="12"/>
                <w:szCs w:val="12"/>
                <w:color w:val="auto"/>
              </w:rPr>
              <w:t>5.3%</w:t>
            </w:r>
          </w:p>
        </w:tc>
        <w:tc>
          <w:tcPr>
            <w:tcW w:w="1240" w:type="dxa"/>
            <w:vAlign w:val="bottom"/>
            <w:tcBorders>
              <w:bottom w:val="single" w:sz="8" w:color="auto"/>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15.1%</w:t>
            </w:r>
          </w:p>
        </w:tc>
        <w:tc>
          <w:tcPr>
            <w:tcW w:w="740" w:type="dxa"/>
            <w:vAlign w:val="bottom"/>
            <w:tcBorders>
              <w:bottom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w w:val="95"/>
              </w:rPr>
              <w:t>-3.8</w:t>
            </w:r>
          </w:p>
        </w:tc>
        <w:tc>
          <w:tcPr>
            <w:tcW w:w="1160" w:type="dxa"/>
            <w:vAlign w:val="bottom"/>
            <w:tcBorders>
              <w:bottom w:val="single" w:sz="8" w:color="auto"/>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w w:val="95"/>
              </w:rPr>
              <w:t>-4.3</w:t>
            </w:r>
          </w:p>
        </w:tc>
        <w:tc>
          <w:tcPr>
            <w:tcW w:w="12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12.8%</w:t>
            </w:r>
          </w:p>
        </w:tc>
        <w:tc>
          <w:tcPr>
            <w:tcW w:w="0" w:type="dxa"/>
            <w:vAlign w:val="bottom"/>
          </w:tcPr>
          <w:p>
            <w:pPr>
              <w:spacing w:after="0"/>
              <w:rPr>
                <w:sz w:val="1"/>
                <w:szCs w:val="1"/>
                <w:color w:val="auto"/>
              </w:rPr>
            </w:pPr>
          </w:p>
        </w:tc>
      </w:tr>
      <w:tr>
        <w:trPr>
          <w:trHeight w:val="123"/>
        </w:trPr>
        <w:tc>
          <w:tcPr>
            <w:tcW w:w="3340" w:type="dxa"/>
            <w:vAlign w:val="bottom"/>
            <w:tcBorders>
              <w:left w:val="single" w:sz="8" w:color="auto"/>
              <w:right w:val="single" w:sz="8" w:color="auto"/>
            </w:tcBorders>
          </w:tcPr>
          <w:p>
            <w:pPr>
              <w:ind w:left="20"/>
              <w:spacing w:after="0" w:line="123" w:lineRule="exact"/>
              <w:rPr>
                <w:sz w:val="20"/>
                <w:szCs w:val="20"/>
                <w:color w:val="auto"/>
              </w:rPr>
            </w:pPr>
            <w:r>
              <w:rPr>
                <w:rFonts w:ascii="Calibri" w:cs="Calibri" w:eastAsia="Calibri" w:hAnsi="Calibri"/>
                <w:sz w:val="12"/>
                <w:szCs w:val="12"/>
                <w:b w:val="1"/>
                <w:bCs w:val="1"/>
                <w:color w:val="auto"/>
              </w:rPr>
              <w:t>Drivers Monetzaton</w:t>
            </w: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0"/>
                <w:szCs w:val="10"/>
                <w:color w:val="auto"/>
              </w:rPr>
              <w:t xml:space="preserve">Total TPV (S/, billions) </w:t>
            </w:r>
            <w:r>
              <w:rPr>
                <w:rFonts w:ascii="Calibri" w:cs="Calibri" w:eastAsia="Calibri" w:hAnsi="Calibri"/>
                <w:sz w:val="15"/>
                <w:szCs w:val="15"/>
                <w:color w:val="auto"/>
                <w:vertAlign w:val="superscript"/>
              </w:rPr>
              <w:t>(6)</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rPr>
              <w:t>62.1</w:t>
            </w:r>
          </w:p>
        </w:tc>
        <w:tc>
          <w:tcPr>
            <w:tcW w:w="980" w:type="dxa"/>
            <w:vAlign w:val="bottom"/>
          </w:tcPr>
          <w:p>
            <w:pPr>
              <w:jc w:val="center"/>
              <w:spacing w:after="0" w:line="143" w:lineRule="exact"/>
              <w:rPr>
                <w:sz w:val="20"/>
                <w:szCs w:val="20"/>
                <w:color w:val="auto"/>
              </w:rPr>
            </w:pPr>
            <w:r>
              <w:rPr>
                <w:rFonts w:ascii="Calibri" w:cs="Calibri" w:eastAsia="Calibri" w:hAnsi="Calibri"/>
                <w:sz w:val="12"/>
                <w:szCs w:val="12"/>
                <w:color w:val="auto"/>
              </w:rPr>
              <w:t>91.6</w:t>
            </w:r>
          </w:p>
        </w:tc>
        <w:tc>
          <w:tcPr>
            <w:tcW w:w="9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103.4</w:t>
            </w:r>
          </w:p>
        </w:tc>
        <w:tc>
          <w:tcPr>
            <w:tcW w:w="66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12.9%</w:t>
            </w:r>
          </w:p>
        </w:tc>
        <w:tc>
          <w:tcPr>
            <w:tcW w:w="124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66.3%</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w w:val="94"/>
              </w:rPr>
              <w:t>103.5</w:t>
            </w:r>
          </w:p>
        </w:tc>
        <w:tc>
          <w:tcPr>
            <w:tcW w:w="116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174.2</w:t>
            </w:r>
          </w:p>
        </w:tc>
        <w:tc>
          <w:tcPr>
            <w:tcW w:w="12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68.3%</w:t>
            </w:r>
          </w:p>
        </w:tc>
        <w:tc>
          <w:tcPr>
            <w:tcW w:w="0" w:type="dxa"/>
            <w:vAlign w:val="bottom"/>
          </w:tcPr>
          <w:p>
            <w:pPr>
              <w:spacing w:after="0"/>
              <w:rPr>
                <w:sz w:val="1"/>
                <w:szCs w:val="1"/>
                <w:color w:val="auto"/>
              </w:rPr>
            </w:pPr>
          </w:p>
        </w:tc>
      </w:tr>
      <w:tr>
        <w:trPr>
          <w:trHeight w:val="150"/>
        </w:trPr>
        <w:tc>
          <w:tcPr>
            <w:tcW w:w="3340" w:type="dxa"/>
            <w:vAlign w:val="bottom"/>
            <w:tcBorders>
              <w:left w:val="single" w:sz="8" w:color="auto"/>
              <w:right w:val="single" w:sz="8" w:color="auto"/>
            </w:tcBorders>
          </w:tcPr>
          <w:p>
            <w:pPr>
              <w:ind w:left="20"/>
              <w:spacing w:after="0" w:line="150" w:lineRule="exact"/>
              <w:rPr>
                <w:sz w:val="20"/>
                <w:szCs w:val="20"/>
                <w:color w:val="auto"/>
              </w:rPr>
            </w:pPr>
            <w:r>
              <w:rPr>
                <w:rFonts w:ascii="Calibri" w:cs="Calibri" w:eastAsia="Calibri" w:hAnsi="Calibri"/>
                <w:sz w:val="10"/>
                <w:szCs w:val="10"/>
                <w:color w:val="auto"/>
              </w:rPr>
              <w:t xml:space="preserve">Total Revenue Generatng TPV (S/, billions) </w:t>
            </w:r>
            <w:r>
              <w:rPr>
                <w:rFonts w:ascii="Calibri" w:cs="Calibri" w:eastAsia="Calibri" w:hAnsi="Calibri"/>
                <w:sz w:val="16"/>
                <w:szCs w:val="16"/>
                <w:color w:val="auto"/>
                <w:vertAlign w:val="superscript"/>
              </w:rPr>
              <w:t>(7)</w:t>
            </w:r>
          </w:p>
        </w:tc>
        <w:tc>
          <w:tcPr>
            <w:tcW w:w="940" w:type="dxa"/>
            <w:vAlign w:val="bottom"/>
          </w:tcPr>
          <w:p>
            <w:pPr>
              <w:jc w:val="center"/>
              <w:spacing w:after="0"/>
              <w:rPr>
                <w:sz w:val="20"/>
                <w:szCs w:val="20"/>
                <w:color w:val="auto"/>
              </w:rPr>
            </w:pPr>
            <w:r>
              <w:rPr>
                <w:rFonts w:ascii="Calibri" w:cs="Calibri" w:eastAsia="Calibri" w:hAnsi="Calibri"/>
                <w:sz w:val="12"/>
                <w:szCs w:val="12"/>
                <w:color w:val="auto"/>
                <w:w w:val="91"/>
              </w:rPr>
              <w:t>4.9</w:t>
            </w:r>
          </w:p>
        </w:tc>
        <w:tc>
          <w:tcPr>
            <w:tcW w:w="980" w:type="dxa"/>
            <w:vAlign w:val="bottom"/>
          </w:tcPr>
          <w:p>
            <w:pPr>
              <w:jc w:val="center"/>
              <w:spacing w:after="0"/>
              <w:rPr>
                <w:sz w:val="20"/>
                <w:szCs w:val="20"/>
                <w:color w:val="auto"/>
              </w:rPr>
            </w:pPr>
            <w:r>
              <w:rPr>
                <w:rFonts w:ascii="Calibri" w:cs="Calibri" w:eastAsia="Calibri" w:hAnsi="Calibri"/>
                <w:sz w:val="12"/>
                <w:szCs w:val="12"/>
                <w:color w:val="auto"/>
              </w:rPr>
              <w:t>8.7</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10.1</w:t>
            </w:r>
          </w:p>
        </w:tc>
        <w:tc>
          <w:tcPr>
            <w:tcW w:w="660" w:type="dxa"/>
            <w:vAlign w:val="bottom"/>
          </w:tcPr>
          <w:p>
            <w:pPr>
              <w:jc w:val="center"/>
              <w:ind w:left="219"/>
              <w:spacing w:after="0"/>
              <w:rPr>
                <w:sz w:val="20"/>
                <w:szCs w:val="20"/>
                <w:color w:val="auto"/>
              </w:rPr>
            </w:pPr>
            <w:r>
              <w:rPr>
                <w:rFonts w:ascii="Calibri" w:cs="Calibri" w:eastAsia="Calibri" w:hAnsi="Calibri"/>
                <w:sz w:val="12"/>
                <w:szCs w:val="12"/>
                <w:color w:val="auto"/>
              </w:rPr>
              <w:t>16.6%</w:t>
            </w:r>
          </w:p>
        </w:tc>
        <w:tc>
          <w:tcPr>
            <w:tcW w:w="1240" w:type="dxa"/>
            <w:vAlign w:val="bottom"/>
            <w:tcBorders>
              <w:right w:val="single" w:sz="8" w:color="auto"/>
            </w:tcBorders>
          </w:tcPr>
          <w:p>
            <w:pPr>
              <w:jc w:val="center"/>
              <w:ind w:left="219"/>
              <w:spacing w:after="0"/>
              <w:rPr>
                <w:sz w:val="20"/>
                <w:szCs w:val="20"/>
                <w:color w:val="auto"/>
              </w:rPr>
            </w:pPr>
            <w:r>
              <w:rPr>
                <w:rFonts w:ascii="Calibri" w:cs="Calibri" w:eastAsia="Calibri" w:hAnsi="Calibri"/>
                <w:sz w:val="12"/>
                <w:szCs w:val="12"/>
                <w:color w:val="auto"/>
              </w:rPr>
              <w:t>107.6%</w:t>
            </w:r>
          </w:p>
        </w:tc>
        <w:tc>
          <w:tcPr>
            <w:tcW w:w="740" w:type="dxa"/>
            <w:vAlign w:val="bottom"/>
          </w:tcPr>
          <w:p>
            <w:pPr>
              <w:jc w:val="center"/>
              <w:ind w:left="139"/>
              <w:spacing w:after="0"/>
              <w:rPr>
                <w:sz w:val="20"/>
                <w:szCs w:val="20"/>
                <w:color w:val="auto"/>
              </w:rPr>
            </w:pPr>
            <w:r>
              <w:rPr>
                <w:rFonts w:ascii="Calibri" w:cs="Calibri" w:eastAsia="Calibri" w:hAnsi="Calibri"/>
                <w:sz w:val="12"/>
                <w:szCs w:val="12"/>
                <w:color w:val="auto"/>
                <w:w w:val="91"/>
              </w:rPr>
              <w:t>8.7</w:t>
            </w:r>
          </w:p>
        </w:tc>
        <w:tc>
          <w:tcPr>
            <w:tcW w:w="1160" w:type="dxa"/>
            <w:vAlign w:val="bottom"/>
            <w:tcBorders>
              <w:right w:val="single" w:sz="8" w:color="auto"/>
            </w:tcBorders>
          </w:tcPr>
          <w:p>
            <w:pPr>
              <w:jc w:val="center"/>
              <w:ind w:left="119"/>
              <w:spacing w:after="0"/>
              <w:rPr>
                <w:sz w:val="20"/>
                <w:szCs w:val="20"/>
                <w:color w:val="auto"/>
              </w:rPr>
            </w:pPr>
            <w:r>
              <w:rPr>
                <w:rFonts w:ascii="Calibri" w:cs="Calibri" w:eastAsia="Calibri" w:hAnsi="Calibri"/>
                <w:sz w:val="12"/>
                <w:szCs w:val="12"/>
                <w:color w:val="auto"/>
              </w:rPr>
              <w:t>18.8</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117.9%</w:t>
            </w: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Payments</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 Bill Payments transactons (millions)</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rPr>
              <w:t>28.6</w:t>
            </w:r>
          </w:p>
        </w:tc>
        <w:tc>
          <w:tcPr>
            <w:tcW w:w="980" w:type="dxa"/>
            <w:vAlign w:val="bottom"/>
          </w:tcPr>
          <w:p>
            <w:pPr>
              <w:jc w:val="center"/>
              <w:spacing w:after="0" w:line="143" w:lineRule="exact"/>
              <w:rPr>
                <w:sz w:val="20"/>
                <w:szCs w:val="20"/>
                <w:color w:val="auto"/>
              </w:rPr>
            </w:pPr>
            <w:r>
              <w:rPr>
                <w:rFonts w:ascii="Calibri" w:cs="Calibri" w:eastAsia="Calibri" w:hAnsi="Calibri"/>
                <w:sz w:val="12"/>
                <w:szCs w:val="12"/>
                <w:color w:val="auto"/>
              </w:rPr>
              <w:t>45.0</w:t>
            </w:r>
          </w:p>
        </w:tc>
        <w:tc>
          <w:tcPr>
            <w:tcW w:w="9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50.1</w:t>
            </w:r>
          </w:p>
        </w:tc>
        <w:tc>
          <w:tcPr>
            <w:tcW w:w="66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11.4%</w:t>
            </w:r>
          </w:p>
        </w:tc>
        <w:tc>
          <w:tcPr>
            <w:tcW w:w="124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75.0%</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rPr>
              <w:t>52.1</w:t>
            </w:r>
          </w:p>
        </w:tc>
        <w:tc>
          <w:tcPr>
            <w:tcW w:w="116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rPr>
              <w:t>95.2</w:t>
            </w:r>
          </w:p>
        </w:tc>
        <w:tc>
          <w:tcPr>
            <w:tcW w:w="12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82.7%</w:t>
            </w: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Financials</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4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 Loans Disbursements (thousands)</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4"/>
              </w:rPr>
              <w:t>751.9</w:t>
            </w:r>
          </w:p>
        </w:tc>
        <w:tc>
          <w:tcPr>
            <w:tcW w:w="98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3,100.4</w:t>
            </w:r>
          </w:p>
        </w:tc>
        <w:tc>
          <w:tcPr>
            <w:tcW w:w="9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3,855.1</w:t>
            </w:r>
          </w:p>
        </w:tc>
        <w:tc>
          <w:tcPr>
            <w:tcW w:w="66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24.3%</w:t>
            </w:r>
          </w:p>
        </w:tc>
        <w:tc>
          <w:tcPr>
            <w:tcW w:w="1240" w:type="dxa"/>
            <w:vAlign w:val="bottom"/>
            <w:tcBorders>
              <w:right w:val="single" w:sz="8" w:color="auto"/>
            </w:tcBorders>
          </w:tcPr>
          <w:p>
            <w:pPr>
              <w:jc w:val="center"/>
              <w:ind w:left="219"/>
              <w:spacing w:after="0" w:line="143" w:lineRule="exact"/>
              <w:rPr>
                <w:sz w:val="20"/>
                <w:szCs w:val="20"/>
                <w:color w:val="auto"/>
              </w:rPr>
            </w:pPr>
            <w:r>
              <w:rPr>
                <w:rFonts w:ascii="Calibri" w:cs="Calibri" w:eastAsia="Calibri" w:hAnsi="Calibri"/>
                <w:sz w:val="12"/>
                <w:szCs w:val="12"/>
                <w:color w:val="auto"/>
              </w:rPr>
              <w:t>412.7%</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rPr>
              <w:t>1,264.3</w:t>
            </w:r>
          </w:p>
        </w:tc>
        <w:tc>
          <w:tcPr>
            <w:tcW w:w="116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rPr>
              <w:t>6,955.6</w:t>
            </w:r>
          </w:p>
        </w:tc>
        <w:tc>
          <w:tcPr>
            <w:tcW w:w="12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450.1%</w:t>
            </w:r>
          </w:p>
        </w:tc>
        <w:tc>
          <w:tcPr>
            <w:tcW w:w="0" w:type="dxa"/>
            <w:vAlign w:val="bottom"/>
          </w:tcPr>
          <w:p>
            <w:pPr>
              <w:spacing w:after="0"/>
              <w:rPr>
                <w:sz w:val="1"/>
                <w:szCs w:val="1"/>
                <w:color w:val="auto"/>
              </w:rPr>
            </w:pPr>
          </w:p>
        </w:tc>
      </w:tr>
      <w:tr>
        <w:trPr>
          <w:trHeight w:val="136"/>
        </w:trPr>
        <w:tc>
          <w:tcPr>
            <w:tcW w:w="334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b w:val="1"/>
                <w:bCs w:val="1"/>
                <w:color w:val="auto"/>
              </w:rPr>
              <w:t>E-Commerce</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Borders>
              <w:left w:val="single" w:sz="8" w:color="auto"/>
              <w:bottom w:val="single" w:sz="8" w:color="auto"/>
              <w:right w:val="single" w:sz="8" w:color="auto"/>
            </w:tcBorders>
          </w:tcPr>
          <w:p>
            <w:pPr>
              <w:ind w:left="20"/>
              <w:spacing w:after="0" w:line="161" w:lineRule="exact"/>
              <w:rPr>
                <w:sz w:val="20"/>
                <w:szCs w:val="20"/>
                <w:color w:val="auto"/>
              </w:rPr>
            </w:pPr>
            <w:r>
              <w:rPr>
                <w:rFonts w:ascii="Calibri" w:cs="Calibri" w:eastAsia="Calibri" w:hAnsi="Calibri"/>
                <w:sz w:val="11"/>
                <w:szCs w:val="11"/>
                <w:color w:val="auto"/>
              </w:rPr>
              <w:t xml:space="preserve">GMV (S/, millions) </w:t>
            </w:r>
            <w:r>
              <w:rPr>
                <w:rFonts w:ascii="Calibri" w:cs="Calibri" w:eastAsia="Calibri" w:hAnsi="Calibri"/>
                <w:sz w:val="17"/>
                <w:szCs w:val="17"/>
                <w:color w:val="auto"/>
                <w:vertAlign w:val="superscript"/>
              </w:rPr>
              <w:t>(8)</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75.0</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124.6</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129.1</w:t>
            </w:r>
          </w:p>
        </w:tc>
        <w:tc>
          <w:tcPr>
            <w:tcW w:w="660" w:type="dxa"/>
            <w:vAlign w:val="bottom"/>
            <w:tcBorders>
              <w:bottom w:val="single" w:sz="8" w:color="auto"/>
            </w:tcBorders>
          </w:tcPr>
          <w:p>
            <w:pPr>
              <w:jc w:val="center"/>
              <w:ind w:left="239"/>
              <w:spacing w:after="0"/>
              <w:rPr>
                <w:sz w:val="20"/>
                <w:szCs w:val="20"/>
                <w:color w:val="auto"/>
              </w:rPr>
            </w:pPr>
            <w:r>
              <w:rPr>
                <w:rFonts w:ascii="Calibri" w:cs="Calibri" w:eastAsia="Calibri" w:hAnsi="Calibri"/>
                <w:sz w:val="12"/>
                <w:szCs w:val="12"/>
                <w:color w:val="auto"/>
              </w:rPr>
              <w:t>3.6%</w:t>
            </w:r>
          </w:p>
        </w:tc>
        <w:tc>
          <w:tcPr>
            <w:tcW w:w="1240" w:type="dxa"/>
            <w:vAlign w:val="bottom"/>
            <w:tcBorders>
              <w:bottom w:val="single" w:sz="8" w:color="auto"/>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72.1%</w:t>
            </w:r>
          </w:p>
        </w:tc>
        <w:tc>
          <w:tcPr>
            <w:tcW w:w="740" w:type="dxa"/>
            <w:vAlign w:val="bottom"/>
            <w:tcBorders>
              <w:bottom w:val="single" w:sz="8" w:color="auto"/>
            </w:tcBorders>
          </w:tcPr>
          <w:p>
            <w:pPr>
              <w:jc w:val="center"/>
              <w:ind w:left="139"/>
              <w:spacing w:after="0"/>
              <w:rPr>
                <w:sz w:val="20"/>
                <w:szCs w:val="20"/>
                <w:color w:val="auto"/>
              </w:rPr>
            </w:pPr>
            <w:r>
              <w:rPr>
                <w:rFonts w:ascii="Calibri" w:cs="Calibri" w:eastAsia="Calibri" w:hAnsi="Calibri"/>
                <w:sz w:val="12"/>
                <w:szCs w:val="12"/>
                <w:color w:val="auto"/>
                <w:w w:val="94"/>
              </w:rPr>
              <w:t>134.1</w:t>
            </w:r>
          </w:p>
        </w:tc>
        <w:tc>
          <w:tcPr>
            <w:tcW w:w="1160" w:type="dxa"/>
            <w:vAlign w:val="bottom"/>
            <w:tcBorders>
              <w:bottom w:val="single" w:sz="8" w:color="auto"/>
              <w:right w:val="single" w:sz="8" w:color="auto"/>
            </w:tcBorders>
          </w:tcPr>
          <w:p>
            <w:pPr>
              <w:jc w:val="center"/>
              <w:ind w:left="139"/>
              <w:spacing w:after="0"/>
              <w:rPr>
                <w:sz w:val="20"/>
                <w:szCs w:val="20"/>
                <w:color w:val="auto"/>
              </w:rPr>
            </w:pPr>
            <w:r>
              <w:rPr>
                <w:rFonts w:ascii="Calibri" w:cs="Calibri" w:eastAsia="Calibri" w:hAnsi="Calibri"/>
                <w:sz w:val="12"/>
                <w:szCs w:val="12"/>
                <w:color w:val="auto"/>
              </w:rPr>
              <w:t>253.7</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89.2%</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hanging="236"/>
        <w:spacing w:after="0"/>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Management Figures.</w:t>
      </w:r>
    </w:p>
    <w:p>
      <w:pPr>
        <w:ind w:left="240" w:hanging="236"/>
        <w:spacing w:after="0" w:line="232"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Yape users that have made at least one outgoing transacton in the measurement month.</w:t>
      </w:r>
    </w:p>
    <w:p>
      <w:pPr>
        <w:ind w:left="240" w:hanging="236"/>
        <w:spacing w:after="0" w:line="232"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Net Promoter Score.</w:t>
      </w:r>
    </w:p>
    <w:p>
      <w:pPr>
        <w:ind w:left="240" w:hanging="236"/>
        <w:spacing w:after="0" w:line="232"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Monthly indicators consider the results of the last month of the quarter for the numerator and denominator.</w:t>
      </w:r>
    </w:p>
    <w:p>
      <w:pPr>
        <w:ind w:left="240" w:hanging="236"/>
        <w:spacing w:after="0" w:line="232"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Quarterly indicators are calculated using the sum of the three months in the period for numerator accounts, and the average of the denominator—based on last month’s data from both the current and previous quarters."</w:t>
      </w:r>
    </w:p>
    <w:p>
      <w:pPr>
        <w:ind w:left="240" w:hanging="236"/>
        <w:spacing w:after="0" w:line="232"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Total Payment Volume.</w:t>
      </w:r>
    </w:p>
    <w:p>
      <w:pPr>
        <w:ind w:left="240" w:hanging="236"/>
        <w:spacing w:after="0" w:line="232"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Revenue Generatng Total Payment Volume (TPV).</w:t>
      </w:r>
    </w:p>
    <w:p>
      <w:pPr>
        <w:ind w:left="240" w:hanging="236"/>
        <w:spacing w:after="0" w:line="232"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Gross Merchant Volume, includes the following functonalites: Yape Promos, Yape Store, Ticketng, Gaming, Delivery, Buses, Insurance, Gas, Brand Solutons and Insurance.</w:t>
      </w:r>
    </w:p>
    <w:p>
      <w:pPr>
        <w:spacing w:after="0" w:line="18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Main Financial Results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3340" w:type="dxa"/>
            <w:vAlign w:val="bottom"/>
            <w:tcBorders>
              <w:top w:val="single" w:sz="8" w:color="auto"/>
              <w:left w:val="single" w:sz="8" w:color="auto"/>
              <w:right w:val="single" w:sz="8" w:color="auto"/>
            </w:tcBorders>
            <w:shd w:val="clear" w:color="auto" w:fill="33CCCC"/>
          </w:tcPr>
          <w:p>
            <w:pPr>
              <w:ind w:left="20"/>
              <w:spacing w:after="0" w:line="156" w:lineRule="exact"/>
              <w:rPr>
                <w:sz w:val="20"/>
                <w:szCs w:val="20"/>
                <w:color w:val="auto"/>
              </w:rPr>
            </w:pPr>
            <w:r>
              <w:rPr>
                <w:rFonts w:ascii="Calibri" w:cs="Calibri" w:eastAsia="Calibri" w:hAnsi="Calibri"/>
                <w:sz w:val="11"/>
                <w:szCs w:val="11"/>
                <w:b w:val="1"/>
                <w:bCs w:val="1"/>
                <w:color w:val="FFFFFF"/>
              </w:rPr>
              <w:t xml:space="preserve">Financial Results </w:t>
            </w:r>
            <w:r>
              <w:rPr>
                <w:rFonts w:ascii="Calibri" w:cs="Calibri" w:eastAsia="Calibri" w:hAnsi="Calibri"/>
                <w:sz w:val="17"/>
                <w:szCs w:val="17"/>
                <w:b w:val="1"/>
                <w:bCs w:val="1"/>
                <w:color w:val="FFFFFF"/>
                <w:vertAlign w:val="superscript"/>
              </w:rPr>
              <w:t>(1)</w:t>
            </w:r>
          </w:p>
        </w:tc>
        <w:tc>
          <w:tcPr>
            <w:tcW w:w="920" w:type="dxa"/>
            <w:vAlign w:val="bottom"/>
            <w:tcBorders>
              <w:top w:val="single" w:sz="8" w:color="auto"/>
            </w:tcBorders>
            <w:shd w:val="clear" w:color="auto" w:fill="33CCCC"/>
          </w:tcPr>
          <w:p>
            <w:pPr>
              <w:spacing w:after="0"/>
              <w:rPr>
                <w:sz w:val="13"/>
                <w:szCs w:val="13"/>
                <w:color w:val="auto"/>
              </w:rPr>
            </w:pPr>
          </w:p>
        </w:tc>
        <w:tc>
          <w:tcPr>
            <w:tcW w:w="1000" w:type="dxa"/>
            <w:vAlign w:val="bottom"/>
            <w:tcBorders>
              <w:top w:val="single" w:sz="8" w:color="auto"/>
            </w:tcBorders>
            <w:shd w:val="clear" w:color="auto" w:fill="33CCCC"/>
          </w:tcPr>
          <w:p>
            <w:pPr>
              <w:ind w:left="300"/>
              <w:spacing w:after="0"/>
              <w:rPr>
                <w:sz w:val="20"/>
                <w:szCs w:val="20"/>
                <w:color w:val="auto"/>
              </w:rPr>
            </w:pPr>
            <w:r>
              <w:rPr>
                <w:rFonts w:ascii="Calibri" w:cs="Calibri" w:eastAsia="Calibri" w:hAnsi="Calibri"/>
                <w:sz w:val="12"/>
                <w:szCs w:val="12"/>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3"/>
                <w:szCs w:val="13"/>
                <w:color w:val="auto"/>
              </w:rPr>
            </w:pPr>
          </w:p>
        </w:tc>
        <w:tc>
          <w:tcPr>
            <w:tcW w:w="660" w:type="dxa"/>
            <w:vAlign w:val="bottom"/>
            <w:tcBorders>
              <w:top w:val="single" w:sz="8" w:color="auto"/>
            </w:tcBorders>
            <w:shd w:val="clear" w:color="auto" w:fill="33CCCC"/>
          </w:tcPr>
          <w:p>
            <w:pPr>
              <w:spacing w:after="0"/>
              <w:rPr>
                <w:sz w:val="13"/>
                <w:szCs w:val="13"/>
                <w:color w:val="auto"/>
              </w:rPr>
            </w:pPr>
          </w:p>
        </w:tc>
        <w:tc>
          <w:tcPr>
            <w:tcW w:w="124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2"/>
                <w:szCs w:val="12"/>
                <w:b w:val="1"/>
                <w:bCs w:val="1"/>
                <w:color w:val="FFFFFF"/>
              </w:rPr>
              <w:t>Change %</w:t>
            </w:r>
          </w:p>
        </w:tc>
        <w:tc>
          <w:tcPr>
            <w:tcW w:w="720" w:type="dxa"/>
            <w:vAlign w:val="bottom"/>
            <w:tcBorders>
              <w:top w:val="single" w:sz="8" w:color="auto"/>
            </w:tcBorders>
            <w:shd w:val="clear" w:color="auto" w:fill="33CCCC"/>
          </w:tcPr>
          <w:p>
            <w:pPr>
              <w:spacing w:after="0"/>
              <w:rPr>
                <w:sz w:val="13"/>
                <w:szCs w:val="13"/>
                <w:color w:val="auto"/>
              </w:rPr>
            </w:pPr>
          </w:p>
        </w:tc>
        <w:tc>
          <w:tcPr>
            <w:tcW w:w="118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2"/>
                <w:szCs w:val="12"/>
                <w:b w:val="1"/>
                <w:bCs w:val="1"/>
                <w:color w:val="FFFFFF"/>
              </w:rPr>
              <w:t>Up to</w:t>
            </w:r>
          </w:p>
        </w:tc>
        <w:tc>
          <w:tcPr>
            <w:tcW w:w="124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w w:val="99"/>
              </w:rPr>
              <w:t>Change %</w:t>
            </w:r>
          </w:p>
        </w:tc>
      </w:tr>
      <w:tr>
        <w:trPr>
          <w:trHeight w:val="143"/>
        </w:trPr>
        <w:tc>
          <w:tcPr>
            <w:tcW w:w="3340" w:type="dxa"/>
            <w:vAlign w:val="bottom"/>
            <w:tcBorders>
              <w:left w:val="single" w:sz="8" w:color="auto"/>
              <w:bottom w:val="single" w:sz="8" w:color="auto"/>
              <w:right w:val="single" w:sz="8" w:color="auto"/>
            </w:tcBorders>
            <w:shd w:val="clear" w:color="auto" w:fill="33CCCC"/>
          </w:tcPr>
          <w:p>
            <w:pPr>
              <w:ind w:left="20"/>
              <w:spacing w:after="0" w:line="143" w:lineRule="exact"/>
              <w:rPr>
                <w:sz w:val="20"/>
                <w:szCs w:val="20"/>
                <w:color w:val="auto"/>
              </w:rPr>
            </w:pPr>
            <w:r>
              <w:rPr>
                <w:rFonts w:ascii="Calibri" w:cs="Calibri" w:eastAsia="Calibri" w:hAnsi="Calibri"/>
                <w:sz w:val="12"/>
                <w:szCs w:val="12"/>
                <w:b w:val="1"/>
                <w:bCs w:val="1"/>
                <w:color w:val="FFFFFF"/>
              </w:rPr>
              <w:t>S/ millions</w:t>
            </w:r>
          </w:p>
        </w:tc>
        <w:tc>
          <w:tcPr>
            <w:tcW w:w="92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2Q24</w:t>
            </w:r>
          </w:p>
        </w:tc>
        <w:tc>
          <w:tcPr>
            <w:tcW w:w="100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1Q25</w:t>
            </w:r>
          </w:p>
        </w:tc>
        <w:tc>
          <w:tcPr>
            <w:tcW w:w="96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2Q25</w:t>
            </w:r>
          </w:p>
        </w:tc>
        <w:tc>
          <w:tcPr>
            <w:tcW w:w="660" w:type="dxa"/>
            <w:vAlign w:val="bottom"/>
            <w:tcBorders>
              <w:bottom w:val="single" w:sz="8" w:color="auto"/>
            </w:tcBorders>
            <w:shd w:val="clear" w:color="auto" w:fill="33CCCC"/>
          </w:tcPr>
          <w:p>
            <w:pPr>
              <w:ind w:left="360"/>
              <w:spacing w:after="0" w:line="143" w:lineRule="exact"/>
              <w:rPr>
                <w:sz w:val="20"/>
                <w:szCs w:val="20"/>
                <w:color w:val="auto"/>
              </w:rPr>
            </w:pPr>
            <w:r>
              <w:rPr>
                <w:rFonts w:ascii="Calibri" w:cs="Calibri" w:eastAsia="Calibri" w:hAnsi="Calibri"/>
                <w:sz w:val="12"/>
                <w:szCs w:val="12"/>
                <w:b w:val="1"/>
                <w:bCs w:val="1"/>
                <w:color w:val="FFFFFF"/>
              </w:rPr>
              <w:t>QoQ</w:t>
            </w:r>
          </w:p>
        </w:tc>
        <w:tc>
          <w:tcPr>
            <w:tcW w:w="1240" w:type="dxa"/>
            <w:vAlign w:val="bottom"/>
            <w:tcBorders>
              <w:bottom w:val="single" w:sz="8" w:color="auto"/>
              <w:right w:val="single" w:sz="8" w:color="auto"/>
            </w:tcBorders>
            <w:shd w:val="clear" w:color="auto" w:fill="33CCCC"/>
          </w:tcPr>
          <w:p>
            <w:pPr>
              <w:ind w:left="660"/>
              <w:spacing w:after="0" w:line="143" w:lineRule="exact"/>
              <w:rPr>
                <w:sz w:val="20"/>
                <w:szCs w:val="20"/>
                <w:color w:val="auto"/>
              </w:rPr>
            </w:pPr>
            <w:r>
              <w:rPr>
                <w:rFonts w:ascii="Calibri" w:cs="Calibri" w:eastAsia="Calibri" w:hAnsi="Calibri"/>
                <w:sz w:val="12"/>
                <w:szCs w:val="12"/>
                <w:b w:val="1"/>
                <w:bCs w:val="1"/>
                <w:color w:val="FFFFFF"/>
              </w:rPr>
              <w:t>YoY</w:t>
            </w:r>
          </w:p>
        </w:tc>
        <w:tc>
          <w:tcPr>
            <w:tcW w:w="720" w:type="dxa"/>
            <w:vAlign w:val="bottom"/>
            <w:tcBorders>
              <w:bottom w:val="single" w:sz="8" w:color="auto"/>
            </w:tcBorders>
            <w:shd w:val="clear" w:color="auto" w:fill="33CCCC"/>
          </w:tcPr>
          <w:p>
            <w:pPr>
              <w:ind w:left="300"/>
              <w:spacing w:after="0" w:line="143" w:lineRule="exact"/>
              <w:rPr>
                <w:sz w:val="20"/>
                <w:szCs w:val="20"/>
                <w:color w:val="auto"/>
              </w:rPr>
            </w:pPr>
            <w:r>
              <w:rPr>
                <w:rFonts w:ascii="Calibri" w:cs="Calibri" w:eastAsia="Calibri" w:hAnsi="Calibri"/>
                <w:sz w:val="12"/>
                <w:szCs w:val="12"/>
                <w:b w:val="1"/>
                <w:bCs w:val="1"/>
                <w:color w:val="FFFFFF"/>
              </w:rPr>
              <w:t>Jun 24</w:t>
            </w:r>
          </w:p>
        </w:tc>
        <w:tc>
          <w:tcPr>
            <w:tcW w:w="1180" w:type="dxa"/>
            <w:vAlign w:val="bottom"/>
            <w:tcBorders>
              <w:bottom w:val="single" w:sz="8" w:color="auto"/>
              <w:right w:val="single" w:sz="8" w:color="auto"/>
            </w:tcBorders>
            <w:shd w:val="clear" w:color="auto" w:fill="33CCCC"/>
          </w:tcPr>
          <w:p>
            <w:pPr>
              <w:ind w:left="540"/>
              <w:spacing w:after="0" w:line="143" w:lineRule="exact"/>
              <w:rPr>
                <w:sz w:val="20"/>
                <w:szCs w:val="20"/>
                <w:color w:val="auto"/>
              </w:rPr>
            </w:pPr>
            <w:r>
              <w:rPr>
                <w:rFonts w:ascii="Calibri" w:cs="Calibri" w:eastAsia="Calibri" w:hAnsi="Calibri"/>
                <w:sz w:val="12"/>
                <w:szCs w:val="12"/>
                <w:b w:val="1"/>
                <w:bCs w:val="1"/>
                <w:color w:val="FFFFFF"/>
              </w:rPr>
              <w:t>Jun 25</w:t>
            </w:r>
          </w:p>
        </w:tc>
        <w:tc>
          <w:tcPr>
            <w:tcW w:w="124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9"/>
              </w:rPr>
              <w:t>Jun 25 / Jun 24</w:t>
            </w:r>
          </w:p>
        </w:tc>
      </w:tr>
      <w:tr>
        <w:trPr>
          <w:trHeight w:val="118"/>
        </w:trPr>
        <w:tc>
          <w:tcPr>
            <w:tcW w:w="3340" w:type="dxa"/>
            <w:vAlign w:val="bottom"/>
            <w:tcBorders>
              <w:left w:val="single" w:sz="8" w:color="auto"/>
              <w:right w:val="single" w:sz="8" w:color="auto"/>
            </w:tcBorders>
          </w:tcPr>
          <w:p>
            <w:pPr>
              <w:ind w:left="20"/>
              <w:spacing w:after="0" w:line="118" w:lineRule="exact"/>
              <w:rPr>
                <w:sz w:val="20"/>
                <w:szCs w:val="20"/>
                <w:color w:val="auto"/>
              </w:rPr>
            </w:pPr>
            <w:r>
              <w:rPr>
                <w:rFonts w:ascii="Calibri" w:cs="Calibri" w:eastAsia="Calibri" w:hAnsi="Calibri"/>
                <w:sz w:val="8"/>
                <w:szCs w:val="8"/>
                <w:color w:val="auto"/>
              </w:rPr>
              <w:t xml:space="preserve">Net Interest Income afer Provisions </w:t>
            </w:r>
            <w:r>
              <w:rPr>
                <w:rFonts w:ascii="Calibri" w:cs="Calibri" w:eastAsia="Calibri" w:hAnsi="Calibri"/>
                <w:sz w:val="12"/>
                <w:szCs w:val="12"/>
                <w:color w:val="auto"/>
                <w:vertAlign w:val="superscript"/>
              </w:rPr>
              <w:t>(2)</w:t>
            </w:r>
          </w:p>
        </w:tc>
        <w:tc>
          <w:tcPr>
            <w:tcW w:w="920" w:type="dxa"/>
            <w:vAlign w:val="bottom"/>
          </w:tcPr>
          <w:p>
            <w:pPr>
              <w:jc w:val="center"/>
              <w:spacing w:after="0" w:line="118" w:lineRule="exact"/>
              <w:rPr>
                <w:sz w:val="20"/>
                <w:szCs w:val="20"/>
                <w:color w:val="auto"/>
              </w:rPr>
            </w:pPr>
            <w:r>
              <w:rPr>
                <w:rFonts w:ascii="Calibri" w:cs="Calibri" w:eastAsia="Calibri" w:hAnsi="Calibri"/>
                <w:sz w:val="12"/>
                <w:szCs w:val="12"/>
                <w:color w:val="auto"/>
              </w:rPr>
              <w:t>56.2</w:t>
            </w:r>
          </w:p>
        </w:tc>
        <w:tc>
          <w:tcPr>
            <w:tcW w:w="1000" w:type="dxa"/>
            <w:vAlign w:val="bottom"/>
          </w:tcPr>
          <w:p>
            <w:pPr>
              <w:jc w:val="center"/>
              <w:spacing w:after="0" w:line="118" w:lineRule="exact"/>
              <w:rPr>
                <w:sz w:val="20"/>
                <w:szCs w:val="20"/>
                <w:color w:val="auto"/>
              </w:rPr>
            </w:pPr>
            <w:r>
              <w:rPr>
                <w:rFonts w:ascii="Calibri" w:cs="Calibri" w:eastAsia="Calibri" w:hAnsi="Calibri"/>
                <w:sz w:val="12"/>
                <w:szCs w:val="12"/>
                <w:color w:val="auto"/>
              </w:rPr>
              <w:t>93.0</w:t>
            </w:r>
          </w:p>
        </w:tc>
        <w:tc>
          <w:tcPr>
            <w:tcW w:w="960" w:type="dxa"/>
            <w:vAlign w:val="bottom"/>
            <w:tcBorders>
              <w:right w:val="single" w:sz="8" w:color="auto"/>
            </w:tcBorders>
          </w:tcPr>
          <w:p>
            <w:pPr>
              <w:jc w:val="center"/>
              <w:spacing w:after="0" w:line="118" w:lineRule="exact"/>
              <w:rPr>
                <w:sz w:val="20"/>
                <w:szCs w:val="20"/>
                <w:color w:val="auto"/>
              </w:rPr>
            </w:pPr>
            <w:r>
              <w:rPr>
                <w:rFonts w:ascii="Calibri" w:cs="Calibri" w:eastAsia="Calibri" w:hAnsi="Calibri"/>
                <w:sz w:val="12"/>
                <w:szCs w:val="12"/>
                <w:color w:val="auto"/>
              </w:rPr>
              <w:t>123.9</w:t>
            </w:r>
          </w:p>
        </w:tc>
        <w:tc>
          <w:tcPr>
            <w:tcW w:w="660" w:type="dxa"/>
            <w:vAlign w:val="bottom"/>
          </w:tcPr>
          <w:p>
            <w:pPr>
              <w:jc w:val="center"/>
              <w:ind w:left="219"/>
              <w:spacing w:after="0" w:line="118" w:lineRule="exact"/>
              <w:rPr>
                <w:sz w:val="20"/>
                <w:szCs w:val="20"/>
                <w:color w:val="auto"/>
              </w:rPr>
            </w:pPr>
            <w:r>
              <w:rPr>
                <w:rFonts w:ascii="Calibri" w:cs="Calibri" w:eastAsia="Calibri" w:hAnsi="Calibri"/>
                <w:sz w:val="12"/>
                <w:szCs w:val="12"/>
                <w:color w:val="auto"/>
              </w:rPr>
              <w:t>33.2%</w:t>
            </w:r>
          </w:p>
        </w:tc>
        <w:tc>
          <w:tcPr>
            <w:tcW w:w="1240" w:type="dxa"/>
            <w:vAlign w:val="bottom"/>
            <w:tcBorders>
              <w:right w:val="single" w:sz="8" w:color="auto"/>
            </w:tcBorders>
          </w:tcPr>
          <w:p>
            <w:pPr>
              <w:jc w:val="center"/>
              <w:ind w:left="219"/>
              <w:spacing w:after="0" w:line="118" w:lineRule="exact"/>
              <w:rPr>
                <w:sz w:val="20"/>
                <w:szCs w:val="20"/>
                <w:color w:val="auto"/>
              </w:rPr>
            </w:pPr>
            <w:r>
              <w:rPr>
                <w:rFonts w:ascii="Calibri" w:cs="Calibri" w:eastAsia="Calibri" w:hAnsi="Calibri"/>
                <w:sz w:val="12"/>
                <w:szCs w:val="12"/>
                <w:color w:val="auto"/>
              </w:rPr>
              <w:t>120.4%</w:t>
            </w:r>
          </w:p>
        </w:tc>
        <w:tc>
          <w:tcPr>
            <w:tcW w:w="720" w:type="dxa"/>
            <w:vAlign w:val="bottom"/>
          </w:tcPr>
          <w:p>
            <w:pPr>
              <w:jc w:val="center"/>
              <w:ind w:left="159"/>
              <w:spacing w:after="0" w:line="118" w:lineRule="exact"/>
              <w:rPr>
                <w:sz w:val="20"/>
                <w:szCs w:val="20"/>
                <w:color w:val="auto"/>
              </w:rPr>
            </w:pPr>
            <w:r>
              <w:rPr>
                <w:rFonts w:ascii="Calibri" w:cs="Calibri" w:eastAsia="Calibri" w:hAnsi="Calibri"/>
                <w:sz w:val="12"/>
                <w:szCs w:val="12"/>
                <w:color w:val="auto"/>
                <w:w w:val="94"/>
              </w:rPr>
              <w:t>106.9</w:t>
            </w:r>
          </w:p>
        </w:tc>
        <w:tc>
          <w:tcPr>
            <w:tcW w:w="1180" w:type="dxa"/>
            <w:vAlign w:val="bottom"/>
            <w:tcBorders>
              <w:right w:val="single" w:sz="8" w:color="auto"/>
            </w:tcBorders>
          </w:tcPr>
          <w:p>
            <w:pPr>
              <w:jc w:val="center"/>
              <w:ind w:left="159"/>
              <w:spacing w:after="0" w:line="118" w:lineRule="exact"/>
              <w:rPr>
                <w:sz w:val="20"/>
                <w:szCs w:val="20"/>
                <w:color w:val="auto"/>
              </w:rPr>
            </w:pPr>
            <w:r>
              <w:rPr>
                <w:rFonts w:ascii="Calibri" w:cs="Calibri" w:eastAsia="Calibri" w:hAnsi="Calibri"/>
                <w:sz w:val="12"/>
                <w:szCs w:val="12"/>
                <w:color w:val="auto"/>
              </w:rPr>
              <w:t>216.9</w:t>
            </w:r>
          </w:p>
        </w:tc>
        <w:tc>
          <w:tcPr>
            <w:tcW w:w="1240" w:type="dxa"/>
            <w:vAlign w:val="bottom"/>
            <w:tcBorders>
              <w:right w:val="single" w:sz="8" w:color="auto"/>
            </w:tcBorders>
          </w:tcPr>
          <w:p>
            <w:pPr>
              <w:jc w:val="center"/>
              <w:spacing w:after="0" w:line="118" w:lineRule="exact"/>
              <w:rPr>
                <w:sz w:val="20"/>
                <w:szCs w:val="20"/>
                <w:color w:val="auto"/>
              </w:rPr>
            </w:pPr>
            <w:r>
              <w:rPr>
                <w:rFonts w:ascii="Calibri" w:cs="Calibri" w:eastAsia="Calibri" w:hAnsi="Calibri"/>
                <w:sz w:val="12"/>
                <w:szCs w:val="12"/>
                <w:color w:val="auto"/>
              </w:rPr>
              <w:t>103.0%</w:t>
            </w:r>
          </w:p>
        </w:tc>
      </w:tr>
      <w:tr>
        <w:trPr>
          <w:trHeight w:val="161"/>
        </w:trPr>
        <w:tc>
          <w:tcPr>
            <w:tcW w:w="3340" w:type="dxa"/>
            <w:vAlign w:val="bottom"/>
            <w:tcBorders>
              <w:left w:val="single" w:sz="8" w:color="auto"/>
              <w:bottom w:val="single" w:sz="8" w:color="auto"/>
              <w:right w:val="single" w:sz="8" w:color="auto"/>
            </w:tcBorders>
          </w:tcPr>
          <w:p>
            <w:pPr>
              <w:ind w:left="20"/>
              <w:spacing w:after="0" w:line="161" w:lineRule="exact"/>
              <w:rPr>
                <w:sz w:val="20"/>
                <w:szCs w:val="20"/>
                <w:color w:val="auto"/>
              </w:rPr>
            </w:pPr>
            <w:r>
              <w:rPr>
                <w:rFonts w:ascii="Calibri" w:cs="Calibri" w:eastAsia="Calibri" w:hAnsi="Calibri"/>
                <w:sz w:val="11"/>
                <w:szCs w:val="11"/>
                <w:color w:val="auto"/>
              </w:rPr>
              <w:t xml:space="preserve">Other Income </w:t>
            </w:r>
            <w:r>
              <w:rPr>
                <w:rFonts w:ascii="Calibri" w:cs="Calibri" w:eastAsia="Calibri" w:hAnsi="Calibri"/>
                <w:sz w:val="17"/>
                <w:szCs w:val="17"/>
                <w:color w:val="auto"/>
                <w:vertAlign w:val="superscript"/>
              </w:rPr>
              <w:t>(3)</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80.0</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141.6</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158.5</w:t>
            </w:r>
          </w:p>
        </w:tc>
        <w:tc>
          <w:tcPr>
            <w:tcW w:w="660" w:type="dxa"/>
            <w:vAlign w:val="bottom"/>
            <w:tcBorders>
              <w:bottom w:val="single" w:sz="8" w:color="auto"/>
            </w:tcBorders>
          </w:tcPr>
          <w:p>
            <w:pPr>
              <w:jc w:val="center"/>
              <w:ind w:left="219"/>
              <w:spacing w:after="0"/>
              <w:rPr>
                <w:sz w:val="20"/>
                <w:szCs w:val="20"/>
                <w:color w:val="auto"/>
              </w:rPr>
            </w:pPr>
            <w:r>
              <w:rPr>
                <w:rFonts w:ascii="Calibri" w:cs="Calibri" w:eastAsia="Calibri" w:hAnsi="Calibri"/>
                <w:sz w:val="12"/>
                <w:szCs w:val="12"/>
                <w:color w:val="auto"/>
              </w:rPr>
              <w:t>11.9%</w:t>
            </w:r>
          </w:p>
        </w:tc>
        <w:tc>
          <w:tcPr>
            <w:tcW w:w="1240" w:type="dxa"/>
            <w:vAlign w:val="bottom"/>
            <w:tcBorders>
              <w:bottom w:val="single" w:sz="8" w:color="auto"/>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98.2%</w:t>
            </w:r>
          </w:p>
        </w:tc>
        <w:tc>
          <w:tcPr>
            <w:tcW w:w="720" w:type="dxa"/>
            <w:vAlign w:val="bottom"/>
            <w:tcBorders>
              <w:bottom w:val="single" w:sz="8" w:color="auto"/>
            </w:tcBorders>
          </w:tcPr>
          <w:p>
            <w:pPr>
              <w:jc w:val="center"/>
              <w:ind w:left="159"/>
              <w:spacing w:after="0"/>
              <w:rPr>
                <w:sz w:val="20"/>
                <w:szCs w:val="20"/>
                <w:color w:val="auto"/>
              </w:rPr>
            </w:pPr>
            <w:r>
              <w:rPr>
                <w:rFonts w:ascii="Calibri" w:cs="Calibri" w:eastAsia="Calibri" w:hAnsi="Calibri"/>
                <w:sz w:val="12"/>
                <w:szCs w:val="12"/>
                <w:color w:val="auto"/>
                <w:w w:val="94"/>
              </w:rPr>
              <w:t>139.7</w:t>
            </w:r>
          </w:p>
        </w:tc>
        <w:tc>
          <w:tcPr>
            <w:tcW w:w="1180" w:type="dxa"/>
            <w:vAlign w:val="bottom"/>
            <w:tcBorders>
              <w:bottom w:val="single" w:sz="8" w:color="auto"/>
              <w:right w:val="single" w:sz="8" w:color="auto"/>
            </w:tcBorders>
          </w:tcPr>
          <w:p>
            <w:pPr>
              <w:jc w:val="center"/>
              <w:ind w:left="159"/>
              <w:spacing w:after="0"/>
              <w:rPr>
                <w:sz w:val="20"/>
                <w:szCs w:val="20"/>
                <w:color w:val="auto"/>
              </w:rPr>
            </w:pPr>
            <w:r>
              <w:rPr>
                <w:rFonts w:ascii="Calibri" w:cs="Calibri" w:eastAsia="Calibri" w:hAnsi="Calibri"/>
                <w:sz w:val="12"/>
                <w:szCs w:val="12"/>
                <w:color w:val="auto"/>
              </w:rPr>
              <w:t>300.1</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114.8%</w:t>
            </w:r>
          </w:p>
        </w:tc>
      </w:tr>
      <w:tr>
        <w:trPr>
          <w:trHeight w:val="136"/>
        </w:trPr>
        <w:tc>
          <w:tcPr>
            <w:tcW w:w="3340" w:type="dxa"/>
            <w:vAlign w:val="bottom"/>
            <w:tcBorders>
              <w:left w:val="single" w:sz="8" w:color="auto"/>
              <w:bottom w:val="single" w:sz="8" w:color="auto"/>
              <w:right w:val="single" w:sz="8" w:color="auto"/>
            </w:tcBorders>
          </w:tcPr>
          <w:p>
            <w:pPr>
              <w:ind w:left="20"/>
              <w:spacing w:after="0" w:line="136" w:lineRule="exact"/>
              <w:rPr>
                <w:sz w:val="20"/>
                <w:szCs w:val="20"/>
                <w:color w:val="auto"/>
              </w:rPr>
            </w:pPr>
            <w:r>
              <w:rPr>
                <w:rFonts w:ascii="Calibri" w:cs="Calibri" w:eastAsia="Calibri" w:hAnsi="Calibri"/>
                <w:sz w:val="12"/>
                <w:szCs w:val="12"/>
                <w:color w:val="auto"/>
              </w:rPr>
              <w:t>Total Income</w:t>
            </w:r>
          </w:p>
        </w:tc>
        <w:tc>
          <w:tcPr>
            <w:tcW w:w="920" w:type="dxa"/>
            <w:vAlign w:val="bottom"/>
            <w:tcBorders>
              <w:bottom w:val="single" w:sz="8" w:color="auto"/>
            </w:tcBorders>
          </w:tcPr>
          <w:p>
            <w:pPr>
              <w:jc w:val="center"/>
              <w:spacing w:after="0" w:line="136" w:lineRule="exact"/>
              <w:rPr>
                <w:sz w:val="20"/>
                <w:szCs w:val="20"/>
                <w:color w:val="auto"/>
              </w:rPr>
            </w:pPr>
            <w:r>
              <w:rPr>
                <w:rFonts w:ascii="Calibri" w:cs="Calibri" w:eastAsia="Calibri" w:hAnsi="Calibri"/>
                <w:sz w:val="12"/>
                <w:szCs w:val="12"/>
                <w:color w:val="auto"/>
                <w:w w:val="94"/>
              </w:rPr>
              <w:t>136.2</w:t>
            </w:r>
          </w:p>
        </w:tc>
        <w:tc>
          <w:tcPr>
            <w:tcW w:w="1000" w:type="dxa"/>
            <w:vAlign w:val="bottom"/>
            <w:tcBorders>
              <w:bottom w:val="single" w:sz="8" w:color="auto"/>
            </w:tcBorders>
          </w:tcPr>
          <w:p>
            <w:pPr>
              <w:jc w:val="center"/>
              <w:spacing w:after="0" w:line="136" w:lineRule="exact"/>
              <w:rPr>
                <w:sz w:val="20"/>
                <w:szCs w:val="20"/>
                <w:color w:val="auto"/>
              </w:rPr>
            </w:pPr>
            <w:r>
              <w:rPr>
                <w:rFonts w:ascii="Calibri" w:cs="Calibri" w:eastAsia="Calibri" w:hAnsi="Calibri"/>
                <w:sz w:val="12"/>
                <w:szCs w:val="12"/>
                <w:color w:val="auto"/>
              </w:rPr>
              <w:t>234.6</w:t>
            </w:r>
          </w:p>
        </w:tc>
        <w:tc>
          <w:tcPr>
            <w:tcW w:w="960" w:type="dxa"/>
            <w:vAlign w:val="bottom"/>
            <w:tcBorders>
              <w:bottom w:val="single" w:sz="8" w:color="auto"/>
              <w:right w:val="single" w:sz="8" w:color="auto"/>
            </w:tcBorders>
          </w:tcPr>
          <w:p>
            <w:pPr>
              <w:jc w:val="center"/>
              <w:spacing w:after="0" w:line="136" w:lineRule="exact"/>
              <w:rPr>
                <w:sz w:val="20"/>
                <w:szCs w:val="20"/>
                <w:color w:val="auto"/>
              </w:rPr>
            </w:pPr>
            <w:r>
              <w:rPr>
                <w:rFonts w:ascii="Calibri" w:cs="Calibri" w:eastAsia="Calibri" w:hAnsi="Calibri"/>
                <w:sz w:val="12"/>
                <w:szCs w:val="12"/>
                <w:color w:val="auto"/>
              </w:rPr>
              <w:t>282.4</w:t>
            </w:r>
          </w:p>
        </w:tc>
        <w:tc>
          <w:tcPr>
            <w:tcW w:w="660" w:type="dxa"/>
            <w:vAlign w:val="bottom"/>
            <w:tcBorders>
              <w:bottom w:val="single" w:sz="8" w:color="auto"/>
            </w:tcBorders>
          </w:tcPr>
          <w:p>
            <w:pPr>
              <w:jc w:val="center"/>
              <w:ind w:left="219"/>
              <w:spacing w:after="0" w:line="136" w:lineRule="exact"/>
              <w:rPr>
                <w:sz w:val="20"/>
                <w:szCs w:val="20"/>
                <w:color w:val="auto"/>
              </w:rPr>
            </w:pPr>
            <w:r>
              <w:rPr>
                <w:rFonts w:ascii="Calibri" w:cs="Calibri" w:eastAsia="Calibri" w:hAnsi="Calibri"/>
                <w:sz w:val="12"/>
                <w:szCs w:val="12"/>
                <w:color w:val="auto"/>
              </w:rPr>
              <w:t>20.4%</w:t>
            </w:r>
          </w:p>
        </w:tc>
        <w:tc>
          <w:tcPr>
            <w:tcW w:w="1240" w:type="dxa"/>
            <w:vAlign w:val="bottom"/>
            <w:tcBorders>
              <w:bottom w:val="single" w:sz="8" w:color="auto"/>
              <w:right w:val="single" w:sz="8" w:color="auto"/>
            </w:tcBorders>
          </w:tcPr>
          <w:p>
            <w:pPr>
              <w:jc w:val="center"/>
              <w:ind w:left="219"/>
              <w:spacing w:after="0" w:line="136" w:lineRule="exact"/>
              <w:rPr>
                <w:sz w:val="20"/>
                <w:szCs w:val="20"/>
                <w:color w:val="auto"/>
              </w:rPr>
            </w:pPr>
            <w:r>
              <w:rPr>
                <w:rFonts w:ascii="Calibri" w:cs="Calibri" w:eastAsia="Calibri" w:hAnsi="Calibri"/>
                <w:sz w:val="12"/>
                <w:szCs w:val="12"/>
                <w:color w:val="auto"/>
              </w:rPr>
              <w:t>107.4%</w:t>
            </w:r>
          </w:p>
        </w:tc>
        <w:tc>
          <w:tcPr>
            <w:tcW w:w="720" w:type="dxa"/>
            <w:vAlign w:val="bottom"/>
            <w:tcBorders>
              <w:bottom w:val="single" w:sz="8" w:color="auto"/>
            </w:tcBorders>
          </w:tcPr>
          <w:p>
            <w:pPr>
              <w:jc w:val="center"/>
              <w:ind w:left="159"/>
              <w:spacing w:after="0" w:line="136" w:lineRule="exact"/>
              <w:rPr>
                <w:sz w:val="20"/>
                <w:szCs w:val="20"/>
                <w:color w:val="auto"/>
              </w:rPr>
            </w:pPr>
            <w:r>
              <w:rPr>
                <w:rFonts w:ascii="Calibri" w:cs="Calibri" w:eastAsia="Calibri" w:hAnsi="Calibri"/>
                <w:sz w:val="12"/>
                <w:szCs w:val="12"/>
                <w:color w:val="auto"/>
                <w:w w:val="94"/>
              </w:rPr>
              <w:t>246.6</w:t>
            </w:r>
          </w:p>
        </w:tc>
        <w:tc>
          <w:tcPr>
            <w:tcW w:w="1180" w:type="dxa"/>
            <w:vAlign w:val="bottom"/>
            <w:tcBorders>
              <w:bottom w:val="single" w:sz="8" w:color="auto"/>
              <w:right w:val="single" w:sz="8" w:color="auto"/>
            </w:tcBorders>
          </w:tcPr>
          <w:p>
            <w:pPr>
              <w:jc w:val="center"/>
              <w:ind w:left="159"/>
              <w:spacing w:after="0" w:line="136" w:lineRule="exact"/>
              <w:rPr>
                <w:sz w:val="20"/>
                <w:szCs w:val="20"/>
                <w:color w:val="auto"/>
              </w:rPr>
            </w:pPr>
            <w:r>
              <w:rPr>
                <w:rFonts w:ascii="Calibri" w:cs="Calibri" w:eastAsia="Calibri" w:hAnsi="Calibri"/>
                <w:sz w:val="12"/>
                <w:szCs w:val="12"/>
                <w:color w:val="auto"/>
              </w:rPr>
              <w:t>517.0</w:t>
            </w:r>
          </w:p>
        </w:tc>
        <w:tc>
          <w:tcPr>
            <w:tcW w:w="1240" w:type="dxa"/>
            <w:vAlign w:val="bottom"/>
            <w:tcBorders>
              <w:bottom w:val="single" w:sz="8" w:color="auto"/>
              <w:right w:val="single" w:sz="8" w:color="auto"/>
            </w:tcBorders>
          </w:tcPr>
          <w:p>
            <w:pPr>
              <w:jc w:val="center"/>
              <w:spacing w:after="0" w:line="136" w:lineRule="exact"/>
              <w:rPr>
                <w:sz w:val="20"/>
                <w:szCs w:val="20"/>
                <w:color w:val="auto"/>
              </w:rPr>
            </w:pPr>
            <w:r>
              <w:rPr>
                <w:rFonts w:ascii="Calibri" w:cs="Calibri" w:eastAsia="Calibri" w:hAnsi="Calibri"/>
                <w:sz w:val="12"/>
                <w:szCs w:val="12"/>
                <w:color w:val="auto"/>
              </w:rPr>
              <w:t>109.7%</w:t>
            </w:r>
          </w:p>
        </w:tc>
      </w:tr>
      <w:tr>
        <w:trPr>
          <w:trHeight w:val="136"/>
        </w:trPr>
        <w:tc>
          <w:tcPr>
            <w:tcW w:w="3340" w:type="dxa"/>
            <w:vAlign w:val="bottom"/>
            <w:tcBorders>
              <w:left w:val="single" w:sz="8" w:color="auto"/>
              <w:bottom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color w:val="auto"/>
              </w:rPr>
              <w:t>Total Operatng Expenses</w:t>
            </w:r>
          </w:p>
        </w:tc>
        <w:tc>
          <w:tcPr>
            <w:tcW w:w="920" w:type="dxa"/>
            <w:vAlign w:val="bottom"/>
            <w:tcBorders>
              <w:bottom w:val="single" w:sz="8" w:color="auto"/>
            </w:tcBorders>
          </w:tcPr>
          <w:p>
            <w:pPr>
              <w:jc w:val="center"/>
              <w:spacing w:after="0" w:line="137" w:lineRule="exact"/>
              <w:rPr>
                <w:sz w:val="20"/>
                <w:szCs w:val="20"/>
                <w:color w:val="auto"/>
              </w:rPr>
            </w:pPr>
            <w:r>
              <w:rPr>
                <w:rFonts w:ascii="Calibri" w:cs="Calibri" w:eastAsia="Calibri" w:hAnsi="Calibri"/>
                <w:sz w:val="12"/>
                <w:szCs w:val="12"/>
                <w:color w:val="auto"/>
                <w:w w:val="96"/>
              </w:rPr>
              <w:t>-139.5</w:t>
            </w:r>
          </w:p>
        </w:tc>
        <w:tc>
          <w:tcPr>
            <w:tcW w:w="1000" w:type="dxa"/>
            <w:vAlign w:val="bottom"/>
            <w:tcBorders>
              <w:bottom w:val="single" w:sz="8" w:color="auto"/>
            </w:tcBorders>
          </w:tcPr>
          <w:p>
            <w:pPr>
              <w:jc w:val="center"/>
              <w:spacing w:after="0" w:line="137" w:lineRule="exact"/>
              <w:rPr>
                <w:sz w:val="20"/>
                <w:szCs w:val="20"/>
                <w:color w:val="auto"/>
              </w:rPr>
            </w:pPr>
            <w:r>
              <w:rPr>
                <w:rFonts w:ascii="Calibri" w:cs="Calibri" w:eastAsia="Calibri" w:hAnsi="Calibri"/>
                <w:sz w:val="12"/>
                <w:szCs w:val="12"/>
                <w:color w:val="auto"/>
              </w:rPr>
              <w:t>-179.1</w:t>
            </w:r>
          </w:p>
        </w:tc>
        <w:tc>
          <w:tcPr>
            <w:tcW w:w="960" w:type="dxa"/>
            <w:vAlign w:val="bottom"/>
            <w:tcBorders>
              <w:bottom w:val="single" w:sz="8" w:color="auto"/>
              <w:right w:val="single" w:sz="8" w:color="auto"/>
            </w:tcBorders>
          </w:tcPr>
          <w:p>
            <w:pPr>
              <w:jc w:val="center"/>
              <w:spacing w:after="0" w:line="137" w:lineRule="exact"/>
              <w:rPr>
                <w:sz w:val="20"/>
                <w:szCs w:val="20"/>
                <w:color w:val="auto"/>
              </w:rPr>
            </w:pPr>
            <w:r>
              <w:rPr>
                <w:rFonts w:ascii="Calibri" w:cs="Calibri" w:eastAsia="Calibri" w:hAnsi="Calibri"/>
                <w:sz w:val="12"/>
                <w:szCs w:val="12"/>
                <w:color w:val="auto"/>
                <w:w w:val="96"/>
              </w:rPr>
              <w:t>-196.6</w:t>
            </w:r>
          </w:p>
        </w:tc>
        <w:tc>
          <w:tcPr>
            <w:tcW w:w="660" w:type="dxa"/>
            <w:vAlign w:val="bottom"/>
            <w:tcBorders>
              <w:bottom w:val="single" w:sz="8" w:color="auto"/>
            </w:tcBorders>
          </w:tcPr>
          <w:p>
            <w:pPr>
              <w:jc w:val="center"/>
              <w:ind w:left="239"/>
              <w:spacing w:after="0" w:line="137" w:lineRule="exact"/>
              <w:rPr>
                <w:sz w:val="20"/>
                <w:szCs w:val="20"/>
                <w:color w:val="auto"/>
              </w:rPr>
            </w:pPr>
            <w:r>
              <w:rPr>
                <w:rFonts w:ascii="Calibri" w:cs="Calibri" w:eastAsia="Calibri" w:hAnsi="Calibri"/>
                <w:sz w:val="12"/>
                <w:szCs w:val="12"/>
                <w:color w:val="auto"/>
              </w:rPr>
              <w:t>9.7%</w:t>
            </w:r>
          </w:p>
        </w:tc>
        <w:tc>
          <w:tcPr>
            <w:tcW w:w="1240" w:type="dxa"/>
            <w:vAlign w:val="bottom"/>
            <w:tcBorders>
              <w:bottom w:val="single" w:sz="8" w:color="auto"/>
              <w:right w:val="single" w:sz="8" w:color="auto"/>
            </w:tcBorders>
          </w:tcPr>
          <w:p>
            <w:pPr>
              <w:jc w:val="center"/>
              <w:ind w:left="199"/>
              <w:spacing w:after="0" w:line="137" w:lineRule="exact"/>
              <w:rPr>
                <w:sz w:val="20"/>
                <w:szCs w:val="20"/>
                <w:color w:val="auto"/>
              </w:rPr>
            </w:pPr>
            <w:r>
              <w:rPr>
                <w:rFonts w:ascii="Calibri" w:cs="Calibri" w:eastAsia="Calibri" w:hAnsi="Calibri"/>
                <w:sz w:val="12"/>
                <w:szCs w:val="12"/>
                <w:color w:val="auto"/>
              </w:rPr>
              <w:t>40.9%</w:t>
            </w:r>
          </w:p>
        </w:tc>
        <w:tc>
          <w:tcPr>
            <w:tcW w:w="720" w:type="dxa"/>
            <w:vAlign w:val="bottom"/>
            <w:tcBorders>
              <w:bottom w:val="single" w:sz="8" w:color="auto"/>
            </w:tcBorders>
          </w:tcPr>
          <w:p>
            <w:pPr>
              <w:jc w:val="center"/>
              <w:ind w:left="159"/>
              <w:spacing w:after="0" w:line="137" w:lineRule="exact"/>
              <w:rPr>
                <w:sz w:val="20"/>
                <w:szCs w:val="20"/>
                <w:color w:val="auto"/>
              </w:rPr>
            </w:pPr>
            <w:r>
              <w:rPr>
                <w:rFonts w:ascii="Calibri" w:cs="Calibri" w:eastAsia="Calibri" w:hAnsi="Calibri"/>
                <w:sz w:val="12"/>
                <w:szCs w:val="12"/>
                <w:color w:val="auto"/>
                <w:w w:val="96"/>
              </w:rPr>
              <w:t>-268.4</w:t>
            </w:r>
          </w:p>
        </w:tc>
        <w:tc>
          <w:tcPr>
            <w:tcW w:w="1180" w:type="dxa"/>
            <w:vAlign w:val="bottom"/>
            <w:tcBorders>
              <w:bottom w:val="single" w:sz="8" w:color="auto"/>
              <w:right w:val="single" w:sz="8" w:color="auto"/>
            </w:tcBorders>
          </w:tcPr>
          <w:p>
            <w:pPr>
              <w:jc w:val="center"/>
              <w:ind w:left="159"/>
              <w:spacing w:after="0" w:line="137" w:lineRule="exact"/>
              <w:rPr>
                <w:sz w:val="20"/>
                <w:szCs w:val="20"/>
                <w:color w:val="auto"/>
              </w:rPr>
            </w:pPr>
            <w:r>
              <w:rPr>
                <w:rFonts w:ascii="Calibri" w:cs="Calibri" w:eastAsia="Calibri" w:hAnsi="Calibri"/>
                <w:sz w:val="12"/>
                <w:szCs w:val="12"/>
                <w:color w:val="auto"/>
              </w:rPr>
              <w:t>-375.7</w:t>
            </w:r>
          </w:p>
        </w:tc>
        <w:tc>
          <w:tcPr>
            <w:tcW w:w="1240" w:type="dxa"/>
            <w:vAlign w:val="bottom"/>
            <w:tcBorders>
              <w:bottom w:val="single" w:sz="8" w:color="auto"/>
              <w:right w:val="single" w:sz="8" w:color="auto"/>
            </w:tcBorders>
          </w:tcPr>
          <w:p>
            <w:pPr>
              <w:jc w:val="center"/>
              <w:spacing w:after="0" w:line="137" w:lineRule="exact"/>
              <w:rPr>
                <w:sz w:val="20"/>
                <w:szCs w:val="20"/>
                <w:color w:val="auto"/>
              </w:rPr>
            </w:pPr>
            <w:r>
              <w:rPr>
                <w:rFonts w:ascii="Calibri" w:cs="Calibri" w:eastAsia="Calibri" w:hAnsi="Calibri"/>
                <w:sz w:val="12"/>
                <w:szCs w:val="12"/>
                <w:color w:val="auto"/>
              </w:rPr>
              <w:t>40.0%</w:t>
            </w:r>
          </w:p>
        </w:tc>
      </w:tr>
    </w:tbl>
    <w:p>
      <w:pPr>
        <w:ind w:left="320" w:hanging="316"/>
        <w:spacing w:after="0" w:line="222" w:lineRule="auto"/>
        <w:tabs>
          <w:tab w:leader="none" w:pos="320" w:val="left"/>
        </w:tabs>
        <w:numPr>
          <w:ilvl w:val="0"/>
          <w:numId w:val="8"/>
        </w:numPr>
        <w:rPr>
          <w:rFonts w:ascii="Calibri" w:cs="Calibri" w:eastAsia="Calibri" w:hAnsi="Calibri"/>
          <w:sz w:val="11"/>
          <w:szCs w:val="11"/>
          <w:color w:val="auto"/>
        </w:rPr>
      </w:pPr>
      <w:r>
        <w:rPr>
          <w:rFonts w:ascii="Calibri" w:cs="Calibri" w:eastAsia="Calibri" w:hAnsi="Calibri"/>
          <w:sz w:val="11"/>
          <w:szCs w:val="11"/>
          <w:color w:val="auto"/>
        </w:rPr>
        <w:t>Management fgures. Beginning in 1Q25, reclassifcatons between Operatng Expenses and Fee Income have been incorporated, along with new accountng allocatons —primarily related to interest expenses associated with the Deposit Insurance Fund. Figures for prior periods have been restated for comparability and may difer from those previously reported.</w:t>
      </w:r>
    </w:p>
    <w:p>
      <w:pPr>
        <w:ind w:left="320" w:hanging="316"/>
        <w:spacing w:after="0" w:line="232" w:lineRule="auto"/>
        <w:tabs>
          <w:tab w:leader="none" w:pos="320" w:val="left"/>
        </w:tabs>
        <w:numPr>
          <w:ilvl w:val="0"/>
          <w:numId w:val="8"/>
        </w:numPr>
        <w:rPr>
          <w:rFonts w:ascii="Calibri" w:cs="Calibri" w:eastAsia="Calibri" w:hAnsi="Calibri"/>
          <w:sz w:val="11"/>
          <w:szCs w:val="11"/>
          <w:color w:val="auto"/>
        </w:rPr>
      </w:pPr>
      <w:r>
        <w:rPr>
          <w:rFonts w:ascii="Calibri" w:cs="Calibri" w:eastAsia="Calibri" w:hAnsi="Calibri"/>
          <w:sz w:val="11"/>
          <w:szCs w:val="11"/>
          <w:color w:val="auto"/>
        </w:rPr>
        <w:t>Includes interest income, interest expense and net provisions.</w:t>
      </w:r>
    </w:p>
    <w:p>
      <w:pPr>
        <w:ind w:left="320" w:hanging="316"/>
        <w:spacing w:after="0" w:line="232" w:lineRule="auto"/>
        <w:tabs>
          <w:tab w:leader="none" w:pos="320" w:val="left"/>
        </w:tabs>
        <w:numPr>
          <w:ilvl w:val="0"/>
          <w:numId w:val="8"/>
        </w:numPr>
        <w:rPr>
          <w:rFonts w:ascii="Calibri" w:cs="Calibri" w:eastAsia="Calibri" w:hAnsi="Calibri"/>
          <w:sz w:val="11"/>
          <w:szCs w:val="11"/>
          <w:color w:val="auto"/>
        </w:rPr>
      </w:pPr>
      <w:r>
        <w:rPr>
          <w:rFonts w:ascii="Calibri" w:cs="Calibri" w:eastAsia="Calibri" w:hAnsi="Calibri"/>
          <w:sz w:val="11"/>
          <w:szCs w:val="11"/>
          <w:color w:val="auto"/>
        </w:rPr>
        <w:t>Includes Other income recorded in BCP and in Yape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758825</wp:posOffset>
            </wp:positionV>
            <wp:extent cx="713740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130810</wp:posOffset>
            </wp:positionV>
            <wp:extent cx="6517640" cy="528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17640" cy="52895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5" w:name="page16"/>
    <w:bookmarkEnd w:id="15"/>
    <w:p>
      <w:pPr>
        <w:ind w:left="2580"/>
        <w:spacing w:after="0"/>
        <w:tabs>
          <w:tab w:leader="none" w:pos="302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Calibri" w:cs="Calibri" w:eastAsia="Calibri" w:hAnsi="Calibri"/>
          <w:sz w:val="21"/>
          <w:szCs w:val="21"/>
          <w:b w:val="1"/>
          <w:bCs w:val="1"/>
          <w:color w:val="FFFFFF"/>
        </w:rPr>
        <w:t>Credicorp’s Strategy Update</w:t>
      </w:r>
    </w:p>
    <w:p>
      <w:pPr>
        <w:spacing w:after="0" w:line="2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Main Operatng Results</w:t>
      </w:r>
    </w:p>
    <w:p>
      <w:pPr>
        <w:spacing w:after="0" w:line="210" w:lineRule="exact"/>
        <w:rPr>
          <w:sz w:val="20"/>
          <w:szCs w:val="20"/>
          <w:color w:val="auto"/>
        </w:rPr>
      </w:pPr>
    </w:p>
    <w:p>
      <w:pPr>
        <w:jc w:val="both"/>
        <w:ind w:right="340"/>
        <w:spacing w:after="0"/>
        <w:rPr>
          <w:sz w:val="20"/>
          <w:szCs w:val="20"/>
          <w:color w:val="auto"/>
        </w:rPr>
      </w:pPr>
      <w:r>
        <w:rPr>
          <w:rFonts w:ascii="Calibri" w:cs="Calibri" w:eastAsia="Calibri" w:hAnsi="Calibri"/>
          <w:sz w:val="17"/>
          <w:szCs w:val="17"/>
          <w:color w:val="auto"/>
        </w:rPr>
        <w:t xml:space="preserve">At the end of 2Q25, Yape reached the 14.9-million mark for actve monthly users (MAU), equivalent to 75% of the EAP. The Super-App contnues to add more than half a million users per quarter and is on track to achieving its aspiraton of 16.5 million MAU by 2026. The average use per user also showed a favorable trend, with transactons per MAU increasing to 54.5, while the average use of functonalites within the app rose to 2.7. These indicators refect growing adopton and deeper engagement with the platorm, driven by the contnued expansion of its business lines in </w:t>
      </w:r>
      <w:r>
        <w:rPr>
          <w:rFonts w:ascii="Calibri" w:cs="Calibri" w:eastAsia="Calibri" w:hAnsi="Calibri"/>
          <w:sz w:val="17"/>
          <w:szCs w:val="17"/>
          <w:b w:val="1"/>
          <w:bCs w:val="1"/>
          <w:color w:val="auto"/>
        </w:rPr>
        <w:t>Payments</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Financial</w:t>
      </w:r>
      <w:r>
        <w:rPr>
          <w:rFonts w:ascii="Calibri" w:cs="Calibri" w:eastAsia="Calibri" w:hAnsi="Calibri"/>
          <w:sz w:val="17"/>
          <w:szCs w:val="17"/>
          <w:color w:val="auto"/>
        </w:rPr>
        <w:t xml:space="preserve"> services, and </w:t>
      </w:r>
      <w:r>
        <w:rPr>
          <w:rFonts w:ascii="Calibri" w:cs="Calibri" w:eastAsia="Calibri" w:hAnsi="Calibri"/>
          <w:sz w:val="17"/>
          <w:szCs w:val="17"/>
          <w:b w:val="1"/>
          <w:bCs w:val="1"/>
          <w:color w:val="auto"/>
        </w:rPr>
        <w:t>E-commerce</w:t>
      </w:r>
      <w:r>
        <w:rPr>
          <w:rFonts w:ascii="Calibri" w:cs="Calibri" w:eastAsia="Calibri" w:hAnsi="Calibri"/>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Monetzaton Drivers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40"/>
        <w:spacing w:after="0"/>
        <w:rPr>
          <w:sz w:val="20"/>
          <w:szCs w:val="20"/>
          <w:color w:val="auto"/>
        </w:rPr>
      </w:pPr>
      <w:r>
        <w:rPr>
          <w:rFonts w:ascii="Calibri" w:cs="Calibri" w:eastAsia="Calibri" w:hAnsi="Calibri"/>
          <w:sz w:val="14"/>
          <w:szCs w:val="14"/>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Evoluton of MAU, # of Transactons and # of Functonalites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146685</wp:posOffset>
            </wp:positionV>
            <wp:extent cx="3171825" cy="1957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1825" cy="1957705"/>
                    </a:xfrm>
                    <a:prstGeom prst="rect">
                      <a:avLst/>
                    </a:prstGeom>
                    <a:noFill/>
                  </pic:spPr>
                </pic:pic>
              </a:graphicData>
            </a:graphic>
          </wp:anchor>
        </w:drawing>
      </w:r>
    </w:p>
    <w:p>
      <w:pPr>
        <w:spacing w:after="0" w:line="3699" w:lineRule="exact"/>
        <w:rPr>
          <w:sz w:val="20"/>
          <w:szCs w:val="20"/>
          <w:color w:val="auto"/>
        </w:rPr>
      </w:pPr>
    </w:p>
    <w:p>
      <w:pPr>
        <w:sectPr>
          <w:pgSz w:w="11900" w:h="16838" w:orient="portrait"/>
          <w:cols w:equalWidth="0" w:num="2">
            <w:col w:w="5740" w:space="720"/>
            <w:col w:w="4780"/>
          </w:cols>
          <w:pgMar w:left="320" w:top="444" w:right="339" w:bottom="1440" w:gutter="0" w:footer="0" w:header="0"/>
        </w:sectPr>
      </w:pPr>
    </w:p>
    <w:p>
      <w:pPr>
        <w:spacing w:after="0" w:line="10" w:lineRule="exact"/>
        <w:rPr>
          <w:sz w:val="20"/>
          <w:szCs w:val="20"/>
          <w:color w:val="auto"/>
        </w:rPr>
      </w:pPr>
    </w:p>
    <w:p>
      <w:pPr>
        <w:ind w:right="240"/>
        <w:spacing w:after="0" w:line="239" w:lineRule="auto"/>
        <w:rPr>
          <w:sz w:val="20"/>
          <w:szCs w:val="20"/>
          <w:color w:val="auto"/>
        </w:rPr>
      </w:pPr>
      <w:r>
        <w:rPr>
          <w:rFonts w:ascii="Calibri" w:cs="Calibri" w:eastAsia="Calibri" w:hAnsi="Calibri"/>
          <w:sz w:val="17"/>
          <w:szCs w:val="17"/>
          <w:color w:val="auto"/>
        </w:rPr>
        <w:t>Yape contnues to strengthen its monetzaton strategy, with sustained growth in operatonal leverage per user. As of 2Q25, the gap between revenue (S/6.5) and expense (S/4.4) per MAU contnues to widen steadily.</w:t>
      </w:r>
    </w:p>
    <w:p>
      <w:pPr>
        <w:spacing w:after="0" w:line="197" w:lineRule="exact"/>
        <w:rPr>
          <w:sz w:val="20"/>
          <w:szCs w:val="20"/>
          <w:color w:val="auto"/>
        </w:rPr>
      </w:pPr>
    </w:p>
    <w:p>
      <w:pPr>
        <w:spacing w:after="0"/>
        <w:tabs>
          <w:tab w:leader="none" w:pos="6740" w:val="left"/>
        </w:tabs>
        <w:rPr>
          <w:sz w:val="20"/>
          <w:szCs w:val="20"/>
          <w:color w:val="auto"/>
        </w:rPr>
      </w:pPr>
      <w:r>
        <w:rPr>
          <w:rFonts w:ascii="Calibri" w:cs="Calibri" w:eastAsia="Calibri" w:hAnsi="Calibri"/>
          <w:sz w:val="17"/>
          <w:szCs w:val="17"/>
          <w:color w:val="auto"/>
        </w:rPr>
        <w:t xml:space="preserve">The </w:t>
      </w:r>
      <w:r>
        <w:rPr>
          <w:rFonts w:ascii="Calibri" w:cs="Calibri" w:eastAsia="Calibri" w:hAnsi="Calibri"/>
          <w:sz w:val="17"/>
          <w:szCs w:val="17"/>
          <w:b w:val="1"/>
          <w:bCs w:val="1"/>
          <w:color w:val="auto"/>
        </w:rPr>
        <w:t>Payments</w:t>
      </w:r>
      <w:r>
        <w:rPr>
          <w:rFonts w:ascii="Calibri" w:cs="Calibri" w:eastAsia="Calibri" w:hAnsi="Calibri"/>
          <w:sz w:val="17"/>
          <w:szCs w:val="17"/>
          <w:color w:val="auto"/>
        </w:rPr>
        <w:t xml:space="preserve"> business remains the main driver of monetzaton. Performance</w:t>
      </w:r>
      <w:r>
        <w:rPr>
          <w:sz w:val="20"/>
          <w:szCs w:val="20"/>
          <w:color w:val="auto"/>
        </w:rPr>
        <w:tab/>
      </w:r>
      <w:r>
        <w:rPr>
          <w:rFonts w:ascii="Calibri" w:cs="Calibri" w:eastAsia="Calibri" w:hAnsi="Calibri"/>
          <w:sz w:val="17"/>
          <w:szCs w:val="17"/>
          <w:b w:val="1"/>
          <w:bCs w:val="1"/>
          <w:color w:val="auto"/>
        </w:rPr>
        <w:t>Evoluton of monthly revenue and expenses / MAU</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was driven by an uptck in the transactons volume through Service Payments,</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where the average tcket sizes and income per transacton have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-116840</wp:posOffset>
            </wp:positionV>
            <wp:extent cx="2783840" cy="1445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83840" cy="1445895"/>
                    </a:xfrm>
                    <a:prstGeom prst="rect">
                      <a:avLst/>
                    </a:prstGeom>
                    <a:noFill/>
                  </pic:spPr>
                </pic:pic>
              </a:graphicData>
            </a:graphic>
          </wp:anchor>
        </w:drawing>
      </w:r>
    </w:p>
    <w:p>
      <w:pPr>
        <w:spacing w:after="0"/>
        <w:rPr>
          <w:sz w:val="20"/>
          <w:szCs w:val="20"/>
          <w:color w:val="auto"/>
        </w:rPr>
      </w:pPr>
      <w:r>
        <w:rPr>
          <w:rFonts w:ascii="Calibri" w:cs="Calibri" w:eastAsia="Calibri" w:hAnsi="Calibri"/>
          <w:sz w:val="17"/>
          <w:szCs w:val="17"/>
          <w:color w:val="auto"/>
        </w:rPr>
        <w:t>Commercial initatves, such as seasonal and holiday-centered campaigns,</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have boosted organic growth. It is important to note that the pace of growth</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of the revenue-generatng TPV (RGTPV) has outstripped the pace of expansion</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of the total TPV, refectng greater sophistcaton and diversifcaton of</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functonalites.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 xml:space="preserve">The pace of growth in the </w:t>
      </w:r>
      <w:r>
        <w:rPr>
          <w:rFonts w:ascii="Calibri" w:cs="Calibri" w:eastAsia="Calibri" w:hAnsi="Calibri"/>
          <w:sz w:val="17"/>
          <w:szCs w:val="17"/>
          <w:b w:val="1"/>
          <w:bCs w:val="1"/>
          <w:color w:val="auto"/>
        </w:rPr>
        <w:t>Financial</w:t>
      </w:r>
      <w:r>
        <w:rPr>
          <w:rFonts w:ascii="Calibri" w:cs="Calibri" w:eastAsia="Calibri" w:hAnsi="Calibri"/>
          <w:sz w:val="17"/>
          <w:szCs w:val="17"/>
          <w:color w:val="auto"/>
        </w:rPr>
        <w:t xml:space="preserve"> business rose across business lines, driven by the balance increase of the loan portolio. The number of disbursements contnues to rise, which refects an uptck in the efectveness of leads. The portolio compositon remained stable, with single installment and mult-installment loans each representng 50% of the loans’s balance. In June, a new credit line targetng SMEs was launched, ofering higher amounts and longer terms. Its impact is expected to materialize over the coming quarters. At the end of 2Q25, Yape reached the 3-million user mark for clients with at least one loan disbursement, as we move closer to our goal of 5 million for 2026. Almost 30% of Yape’s borrowers accessed their frst formal fnancial system loan through the app, reafrming its role as an agent of fnancial inclusion. Finally, growth in net interest income was bolstered by an uptck in the Floatng generated by Yape, which rose on the back of growth in the entry volume.</w:t>
      </w:r>
    </w:p>
    <w:p>
      <w:pPr>
        <w:spacing w:after="0" w:line="21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In the </w:t>
      </w:r>
      <w:r>
        <w:rPr>
          <w:rFonts w:ascii="Calibri" w:cs="Calibri" w:eastAsia="Calibri" w:hAnsi="Calibri"/>
          <w:sz w:val="17"/>
          <w:szCs w:val="17"/>
          <w:b w:val="1"/>
          <w:bCs w:val="1"/>
          <w:color w:val="auto"/>
        </w:rPr>
        <w:t>E-Commerce</w:t>
      </w:r>
      <w:r>
        <w:rPr>
          <w:rFonts w:ascii="Calibri" w:cs="Calibri" w:eastAsia="Calibri" w:hAnsi="Calibri"/>
          <w:sz w:val="17"/>
          <w:szCs w:val="17"/>
          <w:color w:val="auto"/>
        </w:rPr>
        <w:t xml:space="preserve"> business, the GMV totaled S/129.1 million. This performance was driven by Yape Proms, which maintains solid transactons levels and is registering improvement in the conversion of visits to sales.</w:t>
      </w:r>
    </w:p>
    <w:p>
      <w:pPr>
        <w:spacing w:after="0" w:line="197" w:lineRule="exact"/>
        <w:rPr>
          <w:sz w:val="20"/>
          <w:szCs w:val="20"/>
          <w:color w:val="auto"/>
        </w:rPr>
      </w:pPr>
    </w:p>
    <w:p>
      <w:pPr>
        <w:spacing w:after="0"/>
        <w:tabs>
          <w:tab w:leader="none" w:pos="7380" w:val="left"/>
        </w:tabs>
        <w:rPr>
          <w:sz w:val="20"/>
          <w:szCs w:val="20"/>
          <w:color w:val="auto"/>
        </w:rPr>
      </w:pPr>
      <w:r>
        <w:rPr>
          <w:rFonts w:ascii="Calibri" w:cs="Calibri" w:eastAsia="Calibri" w:hAnsi="Calibri"/>
          <w:sz w:val="17"/>
          <w:szCs w:val="17"/>
          <w:b w:val="1"/>
          <w:bCs w:val="1"/>
          <w:color w:val="auto"/>
        </w:rPr>
        <w:t>Financial Results</w:t>
      </w:r>
      <w:r>
        <w:rPr>
          <w:sz w:val="20"/>
          <w:szCs w:val="20"/>
          <w:color w:val="auto"/>
        </w:rPr>
        <w:tab/>
      </w:r>
      <w:r>
        <w:rPr>
          <w:rFonts w:ascii="Calibri" w:cs="Calibri" w:eastAsia="Calibri" w:hAnsi="Calibri"/>
          <w:sz w:val="17"/>
          <w:szCs w:val="17"/>
          <w:b w:val="1"/>
          <w:bCs w:val="1"/>
          <w:color w:val="auto"/>
        </w:rPr>
        <w:t>Evoluton of revenue by business</w:t>
      </w:r>
    </w:p>
    <w:p>
      <w:pPr>
        <w:spacing w:after="0" w:line="210" w:lineRule="exact"/>
        <w:rPr>
          <w:sz w:val="20"/>
          <w:szCs w:val="20"/>
          <w:color w:val="auto"/>
        </w:rPr>
      </w:pPr>
    </w:p>
    <w:p>
      <w:pPr>
        <w:jc w:val="both"/>
        <w:ind w:right="5840"/>
        <w:spacing w:after="0" w:line="239" w:lineRule="auto"/>
        <w:rPr>
          <w:sz w:val="20"/>
          <w:szCs w:val="20"/>
          <w:color w:val="auto"/>
        </w:rPr>
      </w:pPr>
      <w:r>
        <w:rPr>
          <w:rFonts w:ascii="Calibri" w:cs="Calibri" w:eastAsia="Calibri" w:hAnsi="Calibri"/>
          <w:sz w:val="17"/>
          <w:szCs w:val="17"/>
          <w:color w:val="auto"/>
        </w:rPr>
        <w:t>At the end of 2Q25, Yape represents 5.5% of Credicorp’s risk- adjusted revenue, refectng a growing share of MAUs actvely contributng to revenue generaton.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-379730</wp:posOffset>
            </wp:positionV>
            <wp:extent cx="3362325" cy="1520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2325" cy="1520190"/>
                    </a:xfrm>
                    <a:prstGeom prst="rect">
                      <a:avLst/>
                    </a:prstGeom>
                    <a:noFill/>
                  </pic:spPr>
                </pic:pic>
              </a:graphicData>
            </a:graphic>
          </wp:anchor>
        </w:drawing>
      </w:r>
    </w:p>
    <w:p>
      <w:pPr>
        <w:spacing w:after="0" w:line="193" w:lineRule="exact"/>
        <w:rPr>
          <w:sz w:val="20"/>
          <w:szCs w:val="20"/>
          <w:color w:val="auto"/>
        </w:rPr>
      </w:pPr>
    </w:p>
    <w:p>
      <w:pPr>
        <w:jc w:val="both"/>
        <w:ind w:right="5840"/>
        <w:spacing w:after="0"/>
        <w:rPr>
          <w:sz w:val="20"/>
          <w:szCs w:val="20"/>
          <w:color w:val="auto"/>
        </w:rPr>
      </w:pPr>
      <w:r>
        <w:rPr>
          <w:rFonts w:ascii="Calibri" w:cs="Calibri" w:eastAsia="Calibri" w:hAnsi="Calibri"/>
          <w:sz w:val="17"/>
          <w:szCs w:val="17"/>
          <w:color w:val="auto"/>
        </w:rPr>
        <w:t xml:space="preserve">In the quarter, the </w:t>
      </w:r>
      <w:r>
        <w:rPr>
          <w:rFonts w:ascii="Calibri" w:cs="Calibri" w:eastAsia="Calibri" w:hAnsi="Calibri"/>
          <w:sz w:val="17"/>
          <w:szCs w:val="17"/>
          <w:b w:val="1"/>
          <w:bCs w:val="1"/>
          <w:color w:val="auto"/>
        </w:rPr>
        <w:t>Payments</w:t>
      </w:r>
      <w:r>
        <w:rPr>
          <w:rFonts w:ascii="Calibri" w:cs="Calibri" w:eastAsia="Calibri" w:hAnsi="Calibri"/>
          <w:sz w:val="17"/>
          <w:szCs w:val="17"/>
          <w:color w:val="auto"/>
        </w:rPr>
        <w:t xml:space="preserve"> business accounted for 53% of Yape’s revenue. The Bill Payments, Merchant fees, and Top-Ups are most mature solutons and main contributors. The </w:t>
      </w:r>
      <w:r>
        <w:rPr>
          <w:rFonts w:ascii="Calibri" w:cs="Calibri" w:eastAsia="Calibri" w:hAnsi="Calibri"/>
          <w:sz w:val="17"/>
          <w:szCs w:val="17"/>
          <w:b w:val="1"/>
          <w:bCs w:val="1"/>
          <w:color w:val="auto"/>
        </w:rPr>
        <w:t>Financial</w:t>
      </w:r>
      <w:r>
        <w:rPr>
          <w:rFonts w:ascii="Calibri" w:cs="Calibri" w:eastAsia="Calibri" w:hAnsi="Calibri"/>
          <w:sz w:val="17"/>
          <w:szCs w:val="17"/>
          <w:color w:val="auto"/>
        </w:rPr>
        <w:t xml:space="preserve"> business generated 44% of revenue, where Floatng contnues to be the main contributor. The Loan business, nevertheless, is gainingnoteworthy tracton, and increased its share of total revenue from 4% in 2Q24 to 18% in 2Q25.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932815</wp:posOffset>
            </wp:positionV>
            <wp:extent cx="71374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213995</wp:posOffset>
            </wp:positionV>
            <wp:extent cx="6525895" cy="495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25895" cy="49593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type w:val="continuous"/>
        </w:sectPr>
      </w:pPr>
    </w:p>
    <w:bookmarkStart w:id="16" w:name="page17"/>
    <w:bookmarkEnd w:id="16"/>
    <w:p>
      <w:pPr>
        <w:ind w:left="2560"/>
        <w:spacing w:after="0"/>
        <w:tabs>
          <w:tab w:leader="none" w:pos="3000" w:val="left"/>
          <w:tab w:leader="none" w:pos="766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188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7400" cy="71882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375"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Credicorp’s Strategy Update</w:t>
      </w:r>
    </w:p>
    <w:p>
      <w:pPr>
        <w:spacing w:after="0" w:line="5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Integratng Sustainability in Our Businesses</w:t>
      </w:r>
    </w:p>
    <w:p>
      <w:pPr>
        <w:spacing w:after="0" w:line="14"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We contnue to successfully roll out our </w:t>
      </w:r>
      <w:r>
        <w:rPr>
          <w:rFonts w:ascii="Calibri" w:cs="Calibri" w:eastAsia="Calibri" w:hAnsi="Calibri"/>
          <w:sz w:val="17"/>
          <w:szCs w:val="17"/>
          <w:u w:val="single" w:color="auto"/>
          <w:color w:val="auto"/>
        </w:rPr>
        <w:t>Sustainability Strategy 2025–2030</w:t>
      </w:r>
      <w:r>
        <w:rPr>
          <w:rFonts w:ascii="Calibri" w:cs="Calibri" w:eastAsia="Calibri" w:hAnsi="Calibri"/>
          <w:sz w:val="17"/>
          <w:szCs w:val="17"/>
          <w:color w:val="auto"/>
        </w:rPr>
        <w:t>. This strategy focuses on three pillars within a plan for impact: Inclusion, Finance for the</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Future and Trust, which a transversal axis of Country Vision. The milestones achieved in 2Q25 include:</w:t>
      </w:r>
    </w:p>
    <w:p>
      <w:pPr>
        <w:spacing w:after="0" w:line="2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Inclusion</w:t>
      </w:r>
    </w:p>
    <w:p>
      <w:pPr>
        <w:spacing w:after="0" w:line="2" w:lineRule="exact"/>
        <w:rPr>
          <w:sz w:val="20"/>
          <w:szCs w:val="20"/>
          <w:color w:val="auto"/>
        </w:rPr>
      </w:pPr>
    </w:p>
    <w:p>
      <w:pPr>
        <w:ind w:left="380" w:hanging="376"/>
        <w:spacing w:after="0" w:line="239" w:lineRule="auto"/>
        <w:tabs>
          <w:tab w:leader="none" w:pos="38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BCP and Yape fnancially included 100 thousand people in 2Q25, and cumulatve growth stands at 6.1 million since 2020. More than 1.9 million clients disbursed loans through Yape and 190 thousand were fnancially included through this channel during the quarter.</w:t>
      </w:r>
    </w:p>
    <w:p>
      <w:pPr>
        <w:spacing w:after="0" w:line="2" w:lineRule="exact"/>
        <w:rPr>
          <w:rFonts w:ascii="Calibri" w:cs="Calibri" w:eastAsia="Calibri" w:hAnsi="Calibri"/>
          <w:sz w:val="17"/>
          <w:szCs w:val="17"/>
          <w:color w:val="auto"/>
        </w:rPr>
      </w:pPr>
    </w:p>
    <w:p>
      <w:pPr>
        <w:ind w:left="380" w:hanging="376"/>
        <w:spacing w:after="0" w:line="239" w:lineRule="auto"/>
        <w:tabs>
          <w:tab w:leader="none" w:pos="38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BCP achieved a change in behavior among more than 159 thousand clients this quarter through fnancial educaton initatves, focused on promotng healthy personal fnancial practces and preventng over-indebtedness, late payments, overdrawing credit cards, among others.</w:t>
      </w:r>
    </w:p>
    <w:p>
      <w:pPr>
        <w:spacing w:after="0" w:line="2" w:lineRule="exact"/>
        <w:rPr>
          <w:rFonts w:ascii="Calibri" w:cs="Calibri" w:eastAsia="Calibri" w:hAnsi="Calibri"/>
          <w:sz w:val="17"/>
          <w:szCs w:val="17"/>
          <w:color w:val="auto"/>
        </w:rPr>
      </w:pPr>
    </w:p>
    <w:p>
      <w:pPr>
        <w:ind w:left="380" w:hanging="376"/>
        <w:spacing w:after="0" w:line="239" w:lineRule="auto"/>
        <w:tabs>
          <w:tab w:leader="none" w:pos="38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Yape rolled out an in-app version of its fnancial educaton material to give users access to its modules. By the end of 2Q25, clients had completed +122 thousand modules.</w:t>
      </w:r>
    </w:p>
    <w:p>
      <w:pPr>
        <w:spacing w:after="0" w:line="2" w:lineRule="exact"/>
        <w:rPr>
          <w:rFonts w:ascii="Calibri" w:cs="Calibri" w:eastAsia="Calibri" w:hAnsi="Calibri"/>
          <w:sz w:val="17"/>
          <w:szCs w:val="17"/>
          <w:color w:val="auto"/>
        </w:rPr>
      </w:pPr>
    </w:p>
    <w:p>
      <w:pPr>
        <w:ind w:left="380" w:hanging="376"/>
        <w:spacing w:after="0" w:line="180" w:lineRule="auto"/>
        <w:tabs>
          <w:tab w:leader="none" w:pos="38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Pacifco reported that as of 2Q25, 2.9 million clients had received inclusive insurance protecton</w:t>
      </w:r>
      <w:r>
        <w:rPr>
          <w:rFonts w:ascii="Calibri" w:cs="Calibri" w:eastAsia="Calibri" w:hAnsi="Calibri"/>
          <w:sz w:val="28"/>
          <w:szCs w:val="28"/>
          <w:color w:val="auto"/>
          <w:vertAlign w:val="superscript"/>
        </w:rPr>
        <w:t>1</w:t>
      </w:r>
      <w:r>
        <w:rPr>
          <w:rFonts w:ascii="Calibri" w:cs="Calibri" w:eastAsia="Calibri" w:hAnsi="Calibri"/>
          <w:sz w:val="17"/>
          <w:szCs w:val="17"/>
          <w:color w:val="auto"/>
        </w:rPr>
        <w:t xml:space="preserve"> through channels at BCP, Mibanco and Yape. Pacifco provided insurance coverage to 391 thousand people by the end of the quarter, highlightng the launch of its new product Salud Yape.</w:t>
      </w:r>
    </w:p>
    <w:p>
      <w:pPr>
        <w:spacing w:after="0" w:line="19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Finances for the Future</w:t>
      </w:r>
    </w:p>
    <w:p>
      <w:pPr>
        <w:spacing w:after="0" w:line="2" w:lineRule="exact"/>
        <w:rPr>
          <w:sz w:val="20"/>
          <w:szCs w:val="20"/>
          <w:color w:val="auto"/>
        </w:rPr>
      </w:pPr>
    </w:p>
    <w:p>
      <w:pPr>
        <w:ind w:left="380" w:right="160" w:hanging="376"/>
        <w:spacing w:after="0" w:line="226" w:lineRule="auto"/>
        <w:tabs>
          <w:tab w:leader="none" w:pos="380" w:val="left"/>
        </w:tabs>
        <w:numPr>
          <w:ilvl w:val="0"/>
          <w:numId w:val="10"/>
        </w:numPr>
        <w:rPr>
          <w:rFonts w:ascii="Calibri" w:cs="Calibri" w:eastAsia="Calibri" w:hAnsi="Calibri"/>
          <w:sz w:val="19"/>
          <w:szCs w:val="19"/>
          <w:color w:val="auto"/>
        </w:rPr>
      </w:pPr>
      <w:r>
        <w:rPr>
          <w:rFonts w:ascii="Calibri" w:cs="Calibri" w:eastAsia="Calibri" w:hAnsi="Calibri"/>
          <w:sz w:val="17"/>
          <w:szCs w:val="17"/>
          <w:color w:val="auto"/>
        </w:rPr>
        <w:t>Mibanco Peru signed a fnancing contract for up to US$100 million with IDB Invest and JICA to drive access to credit for micro, small and medium enterprises (MSMEs) in Peru, including those led by women.</w:t>
      </w:r>
    </w:p>
    <w:p>
      <w:pPr>
        <w:spacing w:after="0" w:line="2" w:lineRule="exact"/>
        <w:rPr>
          <w:rFonts w:ascii="Calibri" w:cs="Calibri" w:eastAsia="Calibri" w:hAnsi="Calibri"/>
          <w:sz w:val="19"/>
          <w:szCs w:val="19"/>
          <w:color w:val="auto"/>
        </w:rPr>
      </w:pPr>
    </w:p>
    <w:p>
      <w:pPr>
        <w:ind w:left="380" w:right="80" w:hanging="376"/>
        <w:spacing w:after="0" w:line="239" w:lineRule="auto"/>
        <w:tabs>
          <w:tab w:leader="none" w:pos="38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The Crediagua product at Mibanco Peru, which provides fnancing for household drinking water and sewage connectons, disbursed 190 million soles to serve more than 12 thousand people in 2Q25.</w:t>
      </w:r>
    </w:p>
    <w:p>
      <w:pPr>
        <w:spacing w:after="0" w:line="1" w:lineRule="exact"/>
        <w:rPr>
          <w:rFonts w:ascii="Calibri" w:cs="Calibri" w:eastAsia="Calibri" w:hAnsi="Calibri"/>
          <w:sz w:val="17"/>
          <w:szCs w:val="17"/>
          <w:color w:val="auto"/>
        </w:rPr>
      </w:pPr>
    </w:p>
    <w:p>
      <w:pPr>
        <w:ind w:left="380" w:hanging="376"/>
        <w:spacing w:after="0"/>
        <w:tabs>
          <w:tab w:leader="none" w:pos="38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As of May 31, BCP disbursed USD 1,150 million in sustainable fnancing, including working capital loans for the agricultural sector.</w:t>
      </w:r>
    </w:p>
    <w:p>
      <w:pPr>
        <w:spacing w:after="0" w:line="2" w:lineRule="exact"/>
        <w:rPr>
          <w:rFonts w:ascii="Calibri" w:cs="Calibri" w:eastAsia="Calibri" w:hAnsi="Calibri"/>
          <w:sz w:val="17"/>
          <w:szCs w:val="17"/>
          <w:color w:val="auto"/>
        </w:rPr>
      </w:pPr>
    </w:p>
    <w:p>
      <w:pPr>
        <w:ind w:left="380" w:hanging="376"/>
        <w:spacing w:after="0" w:line="239" w:lineRule="auto"/>
        <w:tabs>
          <w:tab w:leader="none" w:pos="38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BCP, in the framework of the program “Contgo Emprendedor,” served more than 122 thousand MSMEs clients through its Whatsapp accompaniment programs, promotng improvements in fnancial management.</w:t>
      </w:r>
    </w:p>
    <w:p>
      <w:pPr>
        <w:spacing w:after="0" w:line="2" w:lineRule="exact"/>
        <w:rPr>
          <w:rFonts w:ascii="Calibri" w:cs="Calibri" w:eastAsia="Calibri" w:hAnsi="Calibri"/>
          <w:sz w:val="17"/>
          <w:szCs w:val="17"/>
          <w:color w:val="auto"/>
        </w:rPr>
      </w:pPr>
    </w:p>
    <w:p>
      <w:pPr>
        <w:ind w:left="380" w:hanging="376"/>
        <w:spacing w:after="0" w:line="239" w:lineRule="auto"/>
        <w:tabs>
          <w:tab w:leader="none" w:pos="38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Pacifco contnued to drive training in risk preventon to strengthen resilience through its “ABC de Pacifco”, “Comunidad Segura” and “Protege365” programs, which have educated more than 74 thousand people thus far this year, including clients, non-clients and employees at companies.</w:t>
      </w:r>
    </w:p>
    <w:p>
      <w:pPr>
        <w:spacing w:after="0" w:line="2" w:lineRule="exact"/>
        <w:rPr>
          <w:rFonts w:ascii="Calibri" w:cs="Calibri" w:eastAsia="Calibri" w:hAnsi="Calibri"/>
          <w:sz w:val="17"/>
          <w:szCs w:val="17"/>
          <w:color w:val="auto"/>
        </w:rPr>
      </w:pPr>
    </w:p>
    <w:p>
      <w:pPr>
        <w:jc w:val="both"/>
        <w:ind w:left="380" w:hanging="376"/>
        <w:spacing w:after="0" w:line="230" w:lineRule="auto"/>
        <w:tabs>
          <w:tab w:leader="none" w:pos="380" w:val="left"/>
        </w:tabs>
        <w:numPr>
          <w:ilvl w:val="0"/>
          <w:numId w:val="10"/>
        </w:numPr>
        <w:rPr>
          <w:rFonts w:ascii="Calibri" w:cs="Calibri" w:eastAsia="Calibri" w:hAnsi="Calibri"/>
          <w:sz w:val="19"/>
          <w:szCs w:val="19"/>
          <w:color w:val="auto"/>
        </w:rPr>
      </w:pPr>
      <w:r>
        <w:rPr>
          <w:rFonts w:ascii="Calibri" w:cs="Calibri" w:eastAsia="Calibri" w:hAnsi="Calibri"/>
          <w:sz w:val="17"/>
          <w:szCs w:val="17"/>
          <w:color w:val="auto"/>
        </w:rPr>
        <w:t>We published and presented a study on emissions factors for economic actvites in Peru, which we developed with Universidad del Pacifco. This pioneering tool in the region enables fnancial insttutons to estmate their fnanced emissions, supportng more informed and responsible climate management of their portolios.</w:t>
      </w:r>
    </w:p>
    <w:p>
      <w:pPr>
        <w:spacing w:after="0" w:line="21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Trust</w:t>
      </w:r>
    </w:p>
    <w:p>
      <w:pPr>
        <w:spacing w:after="0" w:line="2" w:lineRule="exact"/>
        <w:rPr>
          <w:sz w:val="20"/>
          <w:szCs w:val="20"/>
          <w:color w:val="auto"/>
        </w:rPr>
      </w:pPr>
    </w:p>
    <w:p>
      <w:pPr>
        <w:jc w:val="both"/>
        <w:ind w:left="380" w:hanging="376"/>
        <w:spacing w:after="0" w:line="197" w:lineRule="auto"/>
        <w:tabs>
          <w:tab w:leader="none" w:pos="380"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For the second consecutve year, we worked alongside Peru Sostenible</w:t>
      </w:r>
      <w:r>
        <w:rPr>
          <w:rFonts w:ascii="Calibri" w:cs="Calibri" w:eastAsia="Calibri" w:hAnsi="Calibri"/>
          <w:sz w:val="28"/>
          <w:szCs w:val="28"/>
          <w:color w:val="auto"/>
          <w:vertAlign w:val="superscript"/>
        </w:rPr>
        <w:t>2</w:t>
      </w:r>
      <w:r>
        <w:rPr>
          <w:rFonts w:ascii="Calibri" w:cs="Calibri" w:eastAsia="Calibri" w:hAnsi="Calibri"/>
          <w:sz w:val="17"/>
          <w:szCs w:val="17"/>
          <w:color w:val="auto"/>
        </w:rPr>
        <w:t xml:space="preserve"> and Valora Consultores to promote the CFO Program to strengthen sustainability leadership in fnance areas. More than 38 leading companies actvely partcipate in this initatve, which atests to our commitment to addressing the country’s development goals and promotng responsible and sustainability-based business management practces.</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The table below summaries some of our main results: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000" w:type="dxa"/>
            <w:vAlign w:val="bottom"/>
            <w:tcBorders>
              <w:top w:val="single" w:sz="8" w:color="auto"/>
              <w:left w:val="single" w:sz="8" w:color="auto"/>
              <w:bottom w:val="single" w:sz="8" w:color="auto"/>
              <w:right w:val="single" w:sz="8" w:color="auto"/>
            </w:tcBorders>
            <w:shd w:val="clear" w:color="auto" w:fill="33CCCC"/>
          </w:tcPr>
          <w:p>
            <w:pPr>
              <w:ind w:left="2260"/>
              <w:spacing w:after="0"/>
              <w:rPr>
                <w:sz w:val="20"/>
                <w:szCs w:val="20"/>
                <w:color w:val="auto"/>
              </w:rPr>
            </w:pPr>
            <w:r>
              <w:rPr>
                <w:rFonts w:ascii="Calibri" w:cs="Calibri" w:eastAsia="Calibri" w:hAnsi="Calibri"/>
                <w:sz w:val="16"/>
                <w:szCs w:val="16"/>
                <w:b w:val="1"/>
                <w:bCs w:val="1"/>
                <w:color w:val="FFFFFF"/>
              </w:rPr>
              <w:t>Indicator</w:t>
            </w:r>
          </w:p>
        </w:tc>
        <w:tc>
          <w:tcPr>
            <w:tcW w:w="17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w w:val="95"/>
              </w:rPr>
              <w:t>Company</w:t>
            </w:r>
          </w:p>
        </w:tc>
        <w:tc>
          <w:tcPr>
            <w:tcW w:w="11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w w:val="97"/>
              </w:rPr>
              <w:t>Unit</w:t>
            </w:r>
          </w:p>
        </w:tc>
        <w:tc>
          <w:tcPr>
            <w:tcW w:w="11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w w:val="98"/>
              </w:rPr>
              <w:t>2024</w:t>
            </w:r>
          </w:p>
        </w:tc>
        <w:tc>
          <w:tcPr>
            <w:tcW w:w="114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rPr>
              <w:t>1Q24</w:t>
            </w:r>
          </w:p>
        </w:tc>
        <w:tc>
          <w:tcPr>
            <w:tcW w:w="110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rPr>
              <w:t>1Q25</w:t>
            </w:r>
          </w:p>
        </w:tc>
      </w:tr>
      <w:tr>
        <w:trPr>
          <w:trHeight w:val="188"/>
        </w:trPr>
        <w:tc>
          <w:tcPr>
            <w:tcW w:w="5000" w:type="dxa"/>
            <w:vAlign w:val="bottom"/>
            <w:tcBorders>
              <w:left w:val="single" w:sz="8" w:color="auto"/>
              <w:bottom w:val="single" w:sz="8" w:color="auto"/>
            </w:tcBorders>
          </w:tcPr>
          <w:p>
            <w:pPr>
              <w:ind w:left="100"/>
              <w:spacing w:after="0" w:line="185" w:lineRule="exact"/>
              <w:rPr>
                <w:sz w:val="20"/>
                <w:szCs w:val="20"/>
                <w:color w:val="auto"/>
              </w:rPr>
            </w:pPr>
            <w:r>
              <w:rPr>
                <w:rFonts w:ascii="Calibri" w:cs="Calibri" w:eastAsia="Calibri" w:hAnsi="Calibri"/>
                <w:sz w:val="16"/>
                <w:szCs w:val="16"/>
                <w:b w:val="1"/>
                <w:bCs w:val="1"/>
                <w:color w:val="auto"/>
              </w:rPr>
              <w:t>Inclusion</w:t>
            </w:r>
          </w:p>
        </w:tc>
        <w:tc>
          <w:tcPr>
            <w:tcW w:w="1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r>
      <w:tr>
        <w:trPr>
          <w:trHeight w:val="193"/>
        </w:trPr>
        <w:tc>
          <w:tcPr>
            <w:tcW w:w="5000" w:type="dxa"/>
            <w:vAlign w:val="bottom"/>
            <w:tcBorders>
              <w:left w:val="single" w:sz="8" w:color="auto"/>
              <w:bottom w:val="single" w:sz="8" w:color="auto"/>
              <w:right w:val="single" w:sz="8" w:color="auto"/>
            </w:tcBorders>
          </w:tcPr>
          <w:p>
            <w:pPr>
              <w:ind w:left="100"/>
              <w:spacing w:after="0" w:line="193" w:lineRule="exact"/>
              <w:rPr>
                <w:sz w:val="20"/>
                <w:szCs w:val="20"/>
                <w:color w:val="auto"/>
              </w:rPr>
            </w:pPr>
            <w:r>
              <w:rPr>
                <w:rFonts w:ascii="Calibri" w:cs="Calibri" w:eastAsia="Calibri" w:hAnsi="Calibri"/>
                <w:sz w:val="13"/>
                <w:szCs w:val="13"/>
                <w:color w:val="auto"/>
              </w:rPr>
              <w:t>People included fnancially through BCP and Yape – cumulatve since 2020</w:t>
            </w:r>
            <w:r>
              <w:rPr>
                <w:rFonts w:ascii="Calibri" w:cs="Calibri" w:eastAsia="Calibri" w:hAnsi="Calibri"/>
                <w:sz w:val="21"/>
                <w:szCs w:val="21"/>
                <w:color w:val="auto"/>
                <w:vertAlign w:val="superscript"/>
              </w:rPr>
              <w:t>3</w:t>
            </w:r>
          </w:p>
        </w:tc>
        <w:tc>
          <w:tcPr>
            <w:tcW w:w="178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7"/>
              </w:rPr>
              <w:t>BCP Peru and Yape</w:t>
            </w:r>
          </w:p>
        </w:tc>
        <w:tc>
          <w:tcPr>
            <w:tcW w:w="112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7"/>
              </w:rPr>
              <w:t>Million</w:t>
            </w:r>
          </w:p>
        </w:tc>
        <w:tc>
          <w:tcPr>
            <w:tcW w:w="112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8"/>
              </w:rPr>
              <w:t>5.7</w:t>
            </w:r>
          </w:p>
        </w:tc>
        <w:tc>
          <w:tcPr>
            <w:tcW w:w="114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8"/>
              </w:rPr>
              <w:t>4.2</w:t>
            </w:r>
          </w:p>
        </w:tc>
        <w:tc>
          <w:tcPr>
            <w:tcW w:w="110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8"/>
              </w:rPr>
              <w:t>6.1</w:t>
            </w:r>
          </w:p>
        </w:tc>
      </w:tr>
      <w:tr>
        <w:trPr>
          <w:trHeight w:val="183"/>
        </w:trPr>
        <w:tc>
          <w:tcPr>
            <w:tcW w:w="5000" w:type="dxa"/>
            <w:vAlign w:val="bottom"/>
            <w:tcBorders>
              <w:left w:val="single" w:sz="8" w:color="auto"/>
              <w:bottom w:val="single" w:sz="8" w:color="auto"/>
              <w:right w:val="single" w:sz="8" w:color="auto"/>
            </w:tcBorders>
          </w:tcPr>
          <w:p>
            <w:pPr>
              <w:ind w:left="100"/>
              <w:spacing w:after="0" w:line="184" w:lineRule="exact"/>
              <w:rPr>
                <w:sz w:val="20"/>
                <w:szCs w:val="20"/>
                <w:color w:val="auto"/>
              </w:rPr>
            </w:pPr>
            <w:r>
              <w:rPr>
                <w:rFonts w:ascii="Calibri" w:cs="Calibri" w:eastAsia="Calibri" w:hAnsi="Calibri"/>
                <w:sz w:val="16"/>
                <w:szCs w:val="16"/>
                <w:color w:val="auto"/>
              </w:rPr>
              <w:t>Clients included in inclusive insurance services</w:t>
            </w:r>
          </w:p>
        </w:tc>
        <w:tc>
          <w:tcPr>
            <w:tcW w:w="178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rPr>
              <w:t>Pacifco</w:t>
            </w:r>
          </w:p>
        </w:tc>
        <w:tc>
          <w:tcPr>
            <w:tcW w:w="112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w w:val="97"/>
              </w:rPr>
              <w:t>Million</w:t>
            </w:r>
          </w:p>
        </w:tc>
        <w:tc>
          <w:tcPr>
            <w:tcW w:w="112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w w:val="98"/>
              </w:rPr>
              <w:t>2.7</w:t>
            </w:r>
          </w:p>
        </w:tc>
        <w:tc>
          <w:tcPr>
            <w:tcW w:w="1140" w:type="dxa"/>
            <w:vAlign w:val="bottom"/>
            <w:tcBorders>
              <w:bottom w:val="single" w:sz="8" w:color="auto"/>
              <w:right w:val="single" w:sz="8" w:color="auto"/>
            </w:tcBorders>
          </w:tcPr>
          <w:p>
            <w:pPr>
              <w:ind w:left="400"/>
              <w:spacing w:after="0" w:line="184" w:lineRule="exact"/>
              <w:rPr>
                <w:sz w:val="20"/>
                <w:szCs w:val="20"/>
                <w:color w:val="auto"/>
              </w:rPr>
            </w:pPr>
            <w:r>
              <w:rPr>
                <w:rFonts w:ascii="Calibri" w:cs="Calibri" w:eastAsia="Calibri" w:hAnsi="Calibri"/>
                <w:sz w:val="16"/>
                <w:szCs w:val="16"/>
                <w:color w:val="auto"/>
              </w:rPr>
              <w:t>N.D.</w:t>
            </w:r>
          </w:p>
        </w:tc>
        <w:tc>
          <w:tcPr>
            <w:tcW w:w="110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w w:val="98"/>
              </w:rPr>
              <w:t>2.9</w:t>
            </w:r>
          </w:p>
        </w:tc>
      </w:tr>
      <w:tr>
        <w:trPr>
          <w:trHeight w:val="183"/>
        </w:trPr>
        <w:tc>
          <w:tcPr>
            <w:tcW w:w="5000" w:type="dxa"/>
            <w:vAlign w:val="bottom"/>
            <w:tcBorders>
              <w:left w:val="single" w:sz="8" w:color="auto"/>
            </w:tcBorders>
          </w:tcPr>
          <w:p>
            <w:pPr>
              <w:ind w:left="100"/>
              <w:spacing w:after="0" w:line="184" w:lineRule="exact"/>
              <w:rPr>
                <w:sz w:val="20"/>
                <w:szCs w:val="20"/>
                <w:color w:val="auto"/>
              </w:rPr>
            </w:pPr>
            <w:r>
              <w:rPr>
                <w:rFonts w:ascii="Calibri" w:cs="Calibri" w:eastAsia="Calibri" w:hAnsi="Calibri"/>
                <w:sz w:val="16"/>
                <w:szCs w:val="16"/>
                <w:b w:val="1"/>
                <w:bCs w:val="1"/>
                <w:color w:val="auto"/>
              </w:rPr>
              <w:t>Finance for the Future</w:t>
            </w: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r>
      <w:tr>
        <w:trPr>
          <w:trHeight w:val="23"/>
        </w:trPr>
        <w:tc>
          <w:tcPr>
            <w:tcW w:w="5000" w:type="dxa"/>
            <w:vAlign w:val="bottom"/>
            <w:tcBorders>
              <w:left w:val="single" w:sz="8" w:color="auto"/>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83"/>
        </w:trPr>
        <w:tc>
          <w:tcPr>
            <w:tcW w:w="5000" w:type="dxa"/>
            <w:vAlign w:val="bottom"/>
            <w:tcBorders>
              <w:left w:val="single" w:sz="8" w:color="auto"/>
              <w:bottom w:val="single" w:sz="8" w:color="auto"/>
              <w:right w:val="single" w:sz="8" w:color="auto"/>
            </w:tcBorders>
          </w:tcPr>
          <w:p>
            <w:pPr>
              <w:ind w:left="100"/>
              <w:spacing w:after="0" w:line="184" w:lineRule="exact"/>
              <w:rPr>
                <w:sz w:val="20"/>
                <w:szCs w:val="20"/>
                <w:color w:val="auto"/>
              </w:rPr>
            </w:pPr>
            <w:r>
              <w:rPr>
                <w:rFonts w:ascii="Calibri" w:cs="Calibri" w:eastAsia="Calibri" w:hAnsi="Calibri"/>
                <w:sz w:val="16"/>
                <w:szCs w:val="16"/>
                <w:color w:val="auto"/>
              </w:rPr>
              <w:t>Total loan balance for micro and small businesses</w:t>
            </w:r>
          </w:p>
        </w:tc>
        <w:tc>
          <w:tcPr>
            <w:tcW w:w="178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w w:val="96"/>
              </w:rPr>
              <w:t>Mibanco Peru</w:t>
            </w:r>
          </w:p>
        </w:tc>
        <w:tc>
          <w:tcPr>
            <w:tcW w:w="112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w w:val="99"/>
              </w:rPr>
              <w:t>S/ Million</w:t>
            </w:r>
          </w:p>
        </w:tc>
        <w:tc>
          <w:tcPr>
            <w:tcW w:w="112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w w:val="98"/>
              </w:rPr>
              <w:t>11,356</w:t>
            </w:r>
          </w:p>
        </w:tc>
        <w:tc>
          <w:tcPr>
            <w:tcW w:w="114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w w:val="98"/>
              </w:rPr>
              <w:t>11,303</w:t>
            </w:r>
          </w:p>
        </w:tc>
        <w:tc>
          <w:tcPr>
            <w:tcW w:w="110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color w:val="auto"/>
                <w:w w:val="98"/>
              </w:rPr>
              <w:t>11,894</w:t>
            </w:r>
          </w:p>
        </w:tc>
      </w:tr>
      <w:tr>
        <w:trPr>
          <w:trHeight w:val="193"/>
        </w:trPr>
        <w:tc>
          <w:tcPr>
            <w:tcW w:w="5000" w:type="dxa"/>
            <w:vAlign w:val="bottom"/>
            <w:tcBorders>
              <w:left w:val="single" w:sz="8" w:color="auto"/>
              <w:bottom w:val="single" w:sz="8" w:color="auto"/>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Disbursements of sustainable fnancings - YTD</w:t>
            </w:r>
          </w:p>
        </w:tc>
        <w:tc>
          <w:tcPr>
            <w:tcW w:w="178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7"/>
              </w:rPr>
              <w:t>BCP Peru</w:t>
            </w:r>
          </w:p>
        </w:tc>
        <w:tc>
          <w:tcPr>
            <w:tcW w:w="112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4"/>
              </w:rPr>
              <w:t>$ Million</w:t>
            </w:r>
          </w:p>
        </w:tc>
        <w:tc>
          <w:tcPr>
            <w:tcW w:w="112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8"/>
              </w:rPr>
              <w:t>+1500</w:t>
            </w:r>
          </w:p>
        </w:tc>
        <w:tc>
          <w:tcPr>
            <w:tcW w:w="1140" w:type="dxa"/>
            <w:vAlign w:val="bottom"/>
            <w:tcBorders>
              <w:bottom w:val="single" w:sz="8" w:color="auto"/>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8"/>
              </w:rPr>
              <w:t>796</w:t>
            </w:r>
          </w:p>
        </w:tc>
        <w:tc>
          <w:tcPr>
            <w:tcW w:w="1100" w:type="dxa"/>
            <w:vAlign w:val="bottom"/>
            <w:tcBorders>
              <w:bottom w:val="single" w:sz="8" w:color="auto"/>
              <w:right w:val="single" w:sz="8" w:color="auto"/>
            </w:tcBorders>
          </w:tcPr>
          <w:p>
            <w:pPr>
              <w:jc w:val="center"/>
              <w:ind w:right="4"/>
              <w:spacing w:after="0" w:line="193" w:lineRule="exact"/>
              <w:rPr>
                <w:sz w:val="20"/>
                <w:szCs w:val="20"/>
                <w:color w:val="auto"/>
              </w:rPr>
            </w:pPr>
            <w:r>
              <w:rPr>
                <w:rFonts w:ascii="Calibri" w:cs="Calibri" w:eastAsia="Calibri" w:hAnsi="Calibri"/>
                <w:sz w:val="13"/>
                <w:szCs w:val="13"/>
                <w:color w:val="auto"/>
              </w:rPr>
              <w:t xml:space="preserve">1,150 </w:t>
            </w:r>
            <w:r>
              <w:rPr>
                <w:rFonts w:ascii="Calibri" w:cs="Calibri" w:eastAsia="Calibri" w:hAnsi="Calibri"/>
                <w:sz w:val="21"/>
                <w:szCs w:val="21"/>
                <w:color w:val="auto"/>
                <w:vertAlign w:val="superscript"/>
              </w:rPr>
              <w:t>4</w:t>
            </w:r>
          </w:p>
        </w:tc>
      </w:tr>
    </w:tbl>
    <w:p>
      <w:pPr>
        <w:spacing w:after="0" w:line="385" w:lineRule="exact"/>
        <w:rPr>
          <w:sz w:val="20"/>
          <w:szCs w:val="20"/>
          <w:color w:val="auto"/>
        </w:rPr>
      </w:pPr>
    </w:p>
    <w:p>
      <w:pPr>
        <w:ind w:left="160" w:hanging="156"/>
        <w:spacing w:after="0"/>
        <w:tabs>
          <w:tab w:leader="none" w:pos="1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Simple and affordable optional insurance products with single or monthly payments of S/40 or less.</w:t>
      </w:r>
    </w:p>
    <w:p>
      <w:pPr>
        <w:spacing w:after="0" w:line="6" w:lineRule="exact"/>
        <w:rPr>
          <w:rFonts w:ascii="Times New Roman" w:cs="Times New Roman" w:eastAsia="Times New Roman" w:hAnsi="Times New Roman"/>
          <w:sz w:val="12"/>
          <w:szCs w:val="12"/>
          <w:color w:val="auto"/>
        </w:rPr>
      </w:pPr>
    </w:p>
    <w:p>
      <w:pPr>
        <w:spacing w:after="0" w:line="22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  Perú Sostenible: A network of companies that promotes sustainable development in Peru.</w:t>
      </w:r>
    </w:p>
    <w:p>
      <w:pPr>
        <w:ind w:left="160" w:right="320" w:hanging="156"/>
        <w:spacing w:after="0" w:line="22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  Up to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-422910</wp:posOffset>
            </wp:positionV>
            <wp:extent cx="14293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293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749300</wp:posOffset>
            </wp:positionV>
            <wp:extent cx="713740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121285</wp:posOffset>
            </wp:positionV>
            <wp:extent cx="6509385" cy="528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09385" cy="52895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 w:name="page18"/>
    <w:bookmarkEnd w:id="17"/>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01 </w:t>
      </w:r>
      <w:r>
        <w:rPr>
          <w:rFonts w:ascii="Calibri" w:cs="Calibri" w:eastAsia="Calibri" w:hAnsi="Calibri"/>
          <w:sz w:val="31"/>
          <w:szCs w:val="31"/>
          <w:color w:val="E93BAC"/>
        </w:rPr>
        <w:t>Loan Portolio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137400" cy="1536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7400" cy="1536700"/>
                    </a:xfrm>
                    <a:prstGeom prst="rect">
                      <a:avLst/>
                    </a:prstGeom>
                    <a:noFill/>
                  </pic:spPr>
                </pic:pic>
              </a:graphicData>
            </a:graphic>
          </wp:anchor>
        </w:drawing>
      </w:r>
    </w:p>
    <w:p>
      <w:pPr>
        <w:spacing w:after="0" w:line="329" w:lineRule="exact"/>
        <w:rPr>
          <w:sz w:val="20"/>
          <w:szCs w:val="20"/>
          <w:color w:val="auto"/>
        </w:rPr>
      </w:pPr>
    </w:p>
    <w:p>
      <w:pPr>
        <w:jc w:val="both"/>
        <w:ind w:left="120" w:right="100"/>
        <w:spacing w:after="0"/>
        <w:rPr>
          <w:sz w:val="20"/>
          <w:szCs w:val="20"/>
          <w:color w:val="auto"/>
        </w:rPr>
      </w:pPr>
      <w:r>
        <w:rPr>
          <w:rFonts w:ascii="Calibri" w:cs="Calibri" w:eastAsia="Calibri" w:hAnsi="Calibri"/>
          <w:sz w:val="17"/>
          <w:szCs w:val="17"/>
          <w:color w:val="FFFFFF"/>
        </w:rPr>
        <w:t>This quarter, total loans in quarter-end balances fell 0.2% QoQ. This contracton was driven by a non-cash accountng adjustment at the Credicorp level to incorporate a revaluaton of BCP Bolivia’s asset balance. If we exclude the impact of this adjustment, loans rose 1.2% QoQ (+2.5% FX neutral). The main dynamics that drove this evoluton were (i) an increase in the demand for short-term fnancing in Middle Market banking, (ii) growth in disbursements in Mortgage and (iii) a decline in write-ofs at Mibanco.</w:t>
      </w:r>
    </w:p>
    <w:p>
      <w:pPr>
        <w:spacing w:after="0" w:line="259"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9"/>
          <w:szCs w:val="19"/>
          <w:color w:val="FFFFFF"/>
        </w:rPr>
        <w:t>YoY, total loans in quarter-end balances dropped 4.1% (-0.3% excluding the aforementoned accountng efect and +2.6% FX Neutral). This FX Neutral result was driven mainly by (i) growth in disbursements in Mortgage, (ii) an uptck in disbursements mainly through Yape in Consumer and (iii) an upswing in disbursements in the frst half of the year at Mibanco.</w:t>
      </w:r>
    </w:p>
    <w:p>
      <w:pPr>
        <w:spacing w:after="0" w:line="200" w:lineRule="exact"/>
        <w:rPr>
          <w:sz w:val="20"/>
          <w:szCs w:val="20"/>
          <w:color w:val="auto"/>
        </w:rPr>
      </w:pPr>
    </w:p>
    <w:p>
      <w:pPr>
        <w:spacing w:after="0" w:line="345" w:lineRule="exact"/>
        <w:rPr>
          <w:sz w:val="20"/>
          <w:szCs w:val="20"/>
          <w:color w:val="auto"/>
        </w:rPr>
      </w:pPr>
    </w:p>
    <w:p>
      <w:pPr>
        <w:spacing w:after="0"/>
        <w:tabs>
          <w:tab w:leader="none" w:pos="420" w:val="left"/>
        </w:tabs>
        <w:rPr>
          <w:sz w:val="20"/>
          <w:szCs w:val="20"/>
          <w:color w:val="auto"/>
        </w:rPr>
      </w:pPr>
      <w:r>
        <w:rPr>
          <w:rFonts w:ascii="Calibri" w:cs="Calibri" w:eastAsia="Calibri" w:hAnsi="Calibri"/>
          <w:sz w:val="17"/>
          <w:szCs w:val="17"/>
          <w:b w:val="1"/>
          <w:bCs w:val="1"/>
          <w:color w:val="auto"/>
        </w:rPr>
        <w:t>1.1.</w:t>
        <w:tab/>
        <w:t>Loans</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color w:val="auto"/>
        </w:rPr>
        <w:t>As of this quarter, our analysis will focus on quarter-end loan balances.</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Nonetheless, detailed informaton on the evoluton of average daily balances can be found in </w:t>
      </w:r>
      <w:r>
        <w:rPr>
          <w:rFonts w:ascii="Calibri" w:cs="Calibri" w:eastAsia="Calibri" w:hAnsi="Calibri"/>
          <w:sz w:val="17"/>
          <w:szCs w:val="17"/>
          <w:b w:val="1"/>
          <w:bCs w:val="1"/>
          <w:color w:val="auto"/>
        </w:rPr>
        <w:t>Appendix 12.1</w:t>
      </w:r>
      <w:r>
        <w:rPr>
          <w:rFonts w:ascii="Calibri" w:cs="Calibri" w:eastAsia="Calibri" w:hAnsi="Calibri"/>
          <w:sz w:val="17"/>
          <w:szCs w:val="17"/>
          <w:color w:val="auto"/>
        </w:rPr>
        <w:t xml:space="preserve"> of this report.</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Evoluton of Loans in Quarter-end Balances.</w:t>
      </w:r>
    </w:p>
    <w:p>
      <w:pPr>
        <w:spacing w:after="0" w:line="197"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This quarter, quarter-end balances dropped 0.2% and 4.1%,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YoY</w:t>
      </w:r>
      <w:r>
        <w:rPr>
          <w:rFonts w:ascii="Calibri" w:cs="Calibri" w:eastAsia="Calibri" w:hAnsi="Calibri"/>
          <w:sz w:val="17"/>
          <w:szCs w:val="17"/>
          <w:color w:val="auto"/>
        </w:rPr>
        <w:t xml:space="preserve">, respectvely. Both evolutons were impacted by a non- cash accountng adjustment following a revaluaton of </w:t>
      </w:r>
      <w:r>
        <w:rPr>
          <w:rFonts w:ascii="Calibri" w:cs="Calibri" w:eastAsia="Calibri" w:hAnsi="Calibri"/>
          <w:sz w:val="17"/>
          <w:szCs w:val="17"/>
          <w:b w:val="1"/>
          <w:bCs w:val="1"/>
          <w:color w:val="auto"/>
        </w:rPr>
        <w:t>BCP Bolivia’s</w:t>
      </w:r>
      <w:r>
        <w:rPr>
          <w:rFonts w:ascii="Calibri" w:cs="Calibri" w:eastAsia="Calibri" w:hAnsi="Calibri"/>
          <w:sz w:val="17"/>
          <w:szCs w:val="17"/>
          <w:color w:val="auto"/>
        </w:rPr>
        <w:t xml:space="preserve"> asset balance. The analysis of drivers that follows will exclude the impact of this adjustment.</w:t>
      </w:r>
    </w:p>
    <w:p>
      <w:pPr>
        <w:spacing w:after="0" w:line="211"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 xml:space="preserve">If we exclude the impact of the asset revaluaton at </w:t>
      </w:r>
      <w:r>
        <w:rPr>
          <w:rFonts w:ascii="Calibri" w:cs="Calibri" w:eastAsia="Calibri" w:hAnsi="Calibri"/>
          <w:sz w:val="17"/>
          <w:szCs w:val="17"/>
          <w:b w:val="1"/>
          <w:bCs w:val="1"/>
          <w:color w:val="auto"/>
        </w:rPr>
        <w:t>BCP Bolivia</w:t>
      </w:r>
      <w:r>
        <w:rPr>
          <w:rFonts w:ascii="Calibri" w:cs="Calibri" w:eastAsia="Calibri" w:hAnsi="Calibri"/>
          <w:sz w:val="17"/>
          <w:szCs w:val="17"/>
          <w:color w:val="auto"/>
        </w:rPr>
        <w:t xml:space="preserve">, quarter-end loan balances rose 1.2%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(+2.5% FX Neutral). This evoluton was primarily driven by growth in the loan balance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secondarily by an increase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the uptck in the loan balance was driven mainly by a decrease in write-ofs, which was atributable to improvements in loan originaton afer lending guidelines were tghtened last year. Thanks to these policies, 70% of the loan portolio is currently comprised of newer vintages of healthier loans. </w:t>
      </w:r>
      <w:r>
        <w:rPr>
          <w:rFonts w:ascii="Calibri" w:cs="Calibri" w:eastAsia="Calibri" w:hAnsi="Calibri"/>
          <w:sz w:val="17"/>
          <w:szCs w:val="17"/>
          <w:b w:val="1"/>
          <w:bCs w:val="1"/>
          <w:color w:val="auto"/>
        </w:rPr>
        <w:t>YoY</w:t>
      </w:r>
      <w:r>
        <w:rPr>
          <w:rFonts w:ascii="Calibri" w:cs="Calibri" w:eastAsia="Calibri" w:hAnsi="Calibri"/>
          <w:sz w:val="17"/>
          <w:szCs w:val="17"/>
          <w:color w:val="auto"/>
        </w:rPr>
        <w:t xml:space="preserve">, quarter-end loan balances contracted 0.3% (+2.6% FX Neutral), driven mainly by a decrease in the balance at </w:t>
      </w:r>
      <w:r>
        <w:rPr>
          <w:rFonts w:ascii="Calibri" w:cs="Calibri" w:eastAsia="Calibri" w:hAnsi="Calibri"/>
          <w:sz w:val="17"/>
          <w:szCs w:val="17"/>
          <w:b w:val="1"/>
          <w:bCs w:val="1"/>
          <w:color w:val="auto"/>
        </w:rPr>
        <w:t>BCP Bolivia</w:t>
      </w:r>
      <w:r>
        <w:rPr>
          <w:rFonts w:ascii="Calibri" w:cs="Calibri" w:eastAsia="Calibri" w:hAnsi="Calibri"/>
          <w:sz w:val="17"/>
          <w:szCs w:val="17"/>
          <w:color w:val="auto"/>
        </w:rPr>
        <w:t xml:space="preserve"> and partally ofset by growth in the balance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while the balance at </w:t>
      </w:r>
      <w:r>
        <w:rPr>
          <w:rFonts w:ascii="Calibri" w:cs="Calibri" w:eastAsia="Calibri" w:hAnsi="Calibri"/>
          <w:sz w:val="17"/>
          <w:szCs w:val="17"/>
          <w:b w:val="1"/>
          <w:bCs w:val="1"/>
          <w:color w:val="auto"/>
        </w:rPr>
        <w:t>BCP Stand- alone</w:t>
      </w:r>
      <w:r>
        <w:rPr>
          <w:rFonts w:ascii="Calibri" w:cs="Calibri" w:eastAsia="Calibri" w:hAnsi="Calibri"/>
          <w:sz w:val="17"/>
          <w:szCs w:val="17"/>
          <w:color w:val="auto"/>
        </w:rPr>
        <w:t xml:space="preserve"> remained stable. At </w:t>
      </w:r>
      <w:r>
        <w:rPr>
          <w:rFonts w:ascii="Calibri" w:cs="Calibri" w:eastAsia="Calibri" w:hAnsi="Calibri"/>
          <w:sz w:val="17"/>
          <w:szCs w:val="17"/>
          <w:b w:val="1"/>
          <w:bCs w:val="1"/>
          <w:color w:val="auto"/>
        </w:rPr>
        <w:t xml:space="preserve">Mibanco, </w:t>
      </w:r>
      <w:r>
        <w:rPr>
          <w:rFonts w:ascii="Calibri" w:cs="Calibri" w:eastAsia="Calibri" w:hAnsi="Calibri"/>
          <w:sz w:val="17"/>
          <w:szCs w:val="17"/>
          <w:color w:val="auto"/>
        </w:rPr>
        <w:t>the loan balance rose due to an upswing in disbursements in the frst half of the year, which was primarily concentrated in smaller-tcket, higher-yield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loans.</w:t>
      </w:r>
    </w:p>
    <w:p>
      <w:pPr>
        <w:spacing w:after="0" w:line="211" w:lineRule="exact"/>
        <w:rPr>
          <w:sz w:val="20"/>
          <w:szCs w:val="20"/>
          <w:color w:val="auto"/>
        </w:rPr>
      </w:pPr>
    </w:p>
    <w:p>
      <w:pPr>
        <w:jc w:val="center"/>
        <w:ind w:right="240"/>
        <w:spacing w:after="0"/>
        <w:rPr>
          <w:sz w:val="20"/>
          <w:szCs w:val="20"/>
          <w:color w:val="auto"/>
        </w:rPr>
      </w:pPr>
      <w:r>
        <w:rPr>
          <w:rFonts w:ascii="Calibri" w:cs="Calibri" w:eastAsia="Calibri" w:hAnsi="Calibri"/>
          <w:sz w:val="17"/>
          <w:szCs w:val="17"/>
          <w:b w:val="1"/>
          <w:bCs w:val="1"/>
          <w:color w:val="auto"/>
        </w:rPr>
        <w:t>Total Loans (In Quarter-end Balances)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840" w:type="dxa"/>
            <w:vAlign w:val="bottom"/>
            <w:tcBorders>
              <w:top w:val="single" w:sz="8" w:color="auto"/>
              <w:left w:val="single" w:sz="8" w:color="auto"/>
              <w:right w:val="single" w:sz="8" w:color="auto"/>
            </w:tcBorders>
            <w:shd w:val="clear" w:color="auto" w:fill="2AD2C8"/>
          </w:tcPr>
          <w:p>
            <w:pPr>
              <w:ind w:left="40"/>
              <w:spacing w:after="0"/>
              <w:rPr>
                <w:sz w:val="20"/>
                <w:szCs w:val="20"/>
                <w:color w:val="auto"/>
              </w:rPr>
            </w:pPr>
            <w:r>
              <w:rPr>
                <w:rFonts w:ascii="Calibri" w:cs="Calibri" w:eastAsia="Calibri" w:hAnsi="Calibri"/>
                <w:sz w:val="14"/>
                <w:szCs w:val="14"/>
                <w:b w:val="1"/>
                <w:bCs w:val="1"/>
                <w:color w:val="FFFFFF"/>
              </w:rPr>
              <w:t>Total Loans</w:t>
            </w:r>
          </w:p>
        </w:tc>
        <w:tc>
          <w:tcPr>
            <w:tcW w:w="760" w:type="dxa"/>
            <w:vAlign w:val="bottom"/>
            <w:tcBorders>
              <w:top w:val="single" w:sz="8" w:color="auto"/>
            </w:tcBorders>
            <w:shd w:val="clear" w:color="auto" w:fill="2AD2C8"/>
          </w:tcPr>
          <w:p>
            <w:pPr>
              <w:spacing w:after="0"/>
              <w:rPr>
                <w:sz w:val="24"/>
                <w:szCs w:val="24"/>
                <w:color w:val="auto"/>
              </w:rPr>
            </w:pPr>
          </w:p>
        </w:tc>
        <w:tc>
          <w:tcPr>
            <w:tcW w:w="820" w:type="dxa"/>
            <w:vAlign w:val="bottom"/>
            <w:tcBorders>
              <w:top w:val="single" w:sz="8" w:color="auto"/>
            </w:tcBorders>
            <w:shd w:val="clear" w:color="auto" w:fill="2AD2C8"/>
          </w:tcPr>
          <w:p>
            <w:pPr>
              <w:jc w:val="center"/>
              <w:ind w:right="51"/>
              <w:spacing w:after="0"/>
              <w:rPr>
                <w:sz w:val="20"/>
                <w:szCs w:val="20"/>
                <w:color w:val="auto"/>
              </w:rPr>
            </w:pPr>
            <w:r>
              <w:rPr>
                <w:rFonts w:ascii="Calibri" w:cs="Calibri" w:eastAsia="Calibri" w:hAnsi="Calibri"/>
                <w:sz w:val="14"/>
                <w:szCs w:val="14"/>
                <w:b w:val="1"/>
                <w:bCs w:val="1"/>
                <w:color w:val="FFFFFF"/>
              </w:rPr>
              <w:t>As of</w:t>
            </w:r>
          </w:p>
        </w:tc>
        <w:tc>
          <w:tcPr>
            <w:tcW w:w="800" w:type="dxa"/>
            <w:vAlign w:val="bottom"/>
            <w:tcBorders>
              <w:top w:val="single" w:sz="8" w:color="auto"/>
              <w:right w:val="single" w:sz="8" w:color="auto"/>
            </w:tcBorders>
            <w:shd w:val="clear" w:color="auto" w:fill="2AD2C8"/>
          </w:tcPr>
          <w:p>
            <w:pPr>
              <w:spacing w:after="0"/>
              <w:rPr>
                <w:sz w:val="24"/>
                <w:szCs w:val="24"/>
                <w:color w:val="auto"/>
              </w:rPr>
            </w:pPr>
          </w:p>
        </w:tc>
        <w:tc>
          <w:tcPr>
            <w:tcW w:w="2080" w:type="dxa"/>
            <w:vAlign w:val="bottom"/>
            <w:tcBorders>
              <w:top w:val="single" w:sz="8" w:color="auto"/>
              <w:right w:val="single" w:sz="8" w:color="auto"/>
            </w:tcBorders>
            <w:gridSpan w:val="2"/>
            <w:shd w:val="clear" w:color="auto" w:fill="2AD2C8"/>
          </w:tcPr>
          <w:p>
            <w:pPr>
              <w:ind w:left="600"/>
              <w:spacing w:after="0"/>
              <w:rPr>
                <w:sz w:val="20"/>
                <w:szCs w:val="20"/>
                <w:color w:val="auto"/>
              </w:rPr>
            </w:pPr>
            <w:r>
              <w:rPr>
                <w:rFonts w:ascii="Calibri" w:cs="Calibri" w:eastAsia="Calibri" w:hAnsi="Calibri"/>
                <w:sz w:val="14"/>
                <w:szCs w:val="14"/>
                <w:b w:val="1"/>
                <w:bCs w:val="1"/>
                <w:color w:val="FFFFFF"/>
              </w:rPr>
              <w:t>Volume change</w:t>
            </w:r>
          </w:p>
        </w:tc>
        <w:tc>
          <w:tcPr>
            <w:tcW w:w="1540" w:type="dxa"/>
            <w:vAlign w:val="bottom"/>
            <w:tcBorders>
              <w:top w:val="single" w:sz="8" w:color="auto"/>
              <w:right w:val="single" w:sz="8" w:color="auto"/>
            </w:tcBorders>
            <w:gridSpan w:val="2"/>
            <w:shd w:val="clear" w:color="auto" w:fill="2AD2C8"/>
          </w:tcPr>
          <w:p>
            <w:pPr>
              <w:ind w:left="500"/>
              <w:spacing w:after="0"/>
              <w:rPr>
                <w:sz w:val="20"/>
                <w:szCs w:val="20"/>
                <w:color w:val="auto"/>
              </w:rPr>
            </w:pPr>
            <w:r>
              <w:rPr>
                <w:rFonts w:ascii="Calibri" w:cs="Calibri" w:eastAsia="Calibri" w:hAnsi="Calibri"/>
                <w:sz w:val="14"/>
                <w:szCs w:val="14"/>
                <w:b w:val="1"/>
                <w:bCs w:val="1"/>
                <w:color w:val="FFFFFF"/>
              </w:rPr>
              <w:t>% change</w:t>
            </w:r>
          </w:p>
        </w:tc>
        <w:tc>
          <w:tcPr>
            <w:tcW w:w="1500" w:type="dxa"/>
            <w:vAlign w:val="bottom"/>
            <w:tcBorders>
              <w:top w:val="single" w:sz="8" w:color="auto"/>
            </w:tcBorders>
            <w:gridSpan w:val="2"/>
            <w:shd w:val="clear" w:color="auto" w:fill="2AD2C8"/>
          </w:tcPr>
          <w:p>
            <w:pPr>
              <w:ind w:left="340"/>
              <w:spacing w:after="0"/>
              <w:rPr>
                <w:sz w:val="20"/>
                <w:szCs w:val="20"/>
                <w:color w:val="auto"/>
              </w:rPr>
            </w:pPr>
            <w:r>
              <w:rPr>
                <w:rFonts w:ascii="Calibri" w:cs="Calibri" w:eastAsia="Calibri" w:hAnsi="Calibri"/>
                <w:sz w:val="14"/>
                <w:szCs w:val="14"/>
                <w:b w:val="1"/>
                <w:bCs w:val="1"/>
                <w:color w:val="FFFFFF"/>
              </w:rPr>
              <w:t>% Part. in total</w:t>
            </w:r>
          </w:p>
        </w:tc>
        <w:tc>
          <w:tcPr>
            <w:tcW w:w="920" w:type="dxa"/>
            <w:vAlign w:val="bottom"/>
            <w:tcBorders>
              <w:top w:val="single" w:sz="8" w:color="auto"/>
              <w:right w:val="single" w:sz="8" w:color="auto"/>
            </w:tcBorders>
            <w:shd w:val="clear" w:color="auto" w:fill="2AD2C8"/>
          </w:tcPr>
          <w:p>
            <w:pPr>
              <w:ind w:left="80"/>
              <w:spacing w:after="0"/>
              <w:rPr>
                <w:sz w:val="20"/>
                <w:szCs w:val="20"/>
                <w:color w:val="auto"/>
              </w:rPr>
            </w:pPr>
            <w:r>
              <w:rPr>
                <w:rFonts w:ascii="Calibri" w:cs="Calibri" w:eastAsia="Calibri" w:hAnsi="Calibri"/>
                <w:sz w:val="14"/>
                <w:szCs w:val="14"/>
                <w:b w:val="1"/>
                <w:bCs w:val="1"/>
                <w:color w:val="FFFFFF"/>
              </w:rPr>
              <w:t>loans</w:t>
            </w:r>
          </w:p>
        </w:tc>
        <w:tc>
          <w:tcPr>
            <w:tcW w:w="0" w:type="dxa"/>
            <w:vAlign w:val="bottom"/>
          </w:tcPr>
          <w:p>
            <w:pPr>
              <w:spacing w:after="0"/>
              <w:rPr>
                <w:sz w:val="1"/>
                <w:szCs w:val="1"/>
                <w:color w:val="auto"/>
              </w:rPr>
            </w:pPr>
          </w:p>
        </w:tc>
      </w:tr>
      <w:tr>
        <w:trPr>
          <w:trHeight w:val="182"/>
        </w:trPr>
        <w:tc>
          <w:tcPr>
            <w:tcW w:w="2840" w:type="dxa"/>
            <w:vAlign w:val="bottom"/>
            <w:tcBorders>
              <w:left w:val="single" w:sz="8" w:color="auto"/>
              <w:right w:val="single" w:sz="8" w:color="auto"/>
            </w:tcBorders>
            <w:shd w:val="clear" w:color="auto" w:fill="2AD2C8"/>
          </w:tcPr>
          <w:p>
            <w:pPr>
              <w:ind w:left="40"/>
              <w:spacing w:after="0"/>
              <w:rPr>
                <w:sz w:val="20"/>
                <w:szCs w:val="20"/>
                <w:color w:val="auto"/>
              </w:rPr>
            </w:pPr>
            <w:r>
              <w:rPr>
                <w:rFonts w:ascii="Calibri" w:cs="Calibri" w:eastAsia="Calibri" w:hAnsi="Calibri"/>
                <w:sz w:val="14"/>
                <w:szCs w:val="14"/>
                <w:color w:val="FFFFFF"/>
              </w:rPr>
              <w:t>(S/ Millions)</w:t>
            </w:r>
          </w:p>
        </w:tc>
        <w:tc>
          <w:tcPr>
            <w:tcW w:w="760" w:type="dxa"/>
            <w:vAlign w:val="bottom"/>
            <w:vMerge w:val="restart"/>
            <w:shd w:val="clear" w:color="auto" w:fill="2AD2C8"/>
          </w:tcPr>
          <w:p>
            <w:pPr>
              <w:ind w:left="200"/>
              <w:spacing w:after="0"/>
              <w:rPr>
                <w:sz w:val="20"/>
                <w:szCs w:val="20"/>
                <w:color w:val="auto"/>
              </w:rPr>
            </w:pPr>
            <w:r>
              <w:rPr>
                <w:rFonts w:ascii="Calibri" w:cs="Calibri" w:eastAsia="Calibri" w:hAnsi="Calibri"/>
                <w:sz w:val="14"/>
                <w:szCs w:val="14"/>
                <w:b w:val="1"/>
                <w:bCs w:val="1"/>
                <w:color w:val="FFFFFF"/>
              </w:rPr>
              <w:t>Jun 24</w:t>
            </w:r>
          </w:p>
        </w:tc>
        <w:tc>
          <w:tcPr>
            <w:tcW w:w="820" w:type="dxa"/>
            <w:vAlign w:val="bottom"/>
            <w:vMerge w:val="restart"/>
            <w:shd w:val="clear" w:color="auto" w:fill="2AD2C8"/>
          </w:tcPr>
          <w:p>
            <w:pPr>
              <w:jc w:val="center"/>
              <w:ind w:right="51"/>
              <w:spacing w:after="0"/>
              <w:rPr>
                <w:sz w:val="20"/>
                <w:szCs w:val="20"/>
                <w:color w:val="auto"/>
              </w:rPr>
            </w:pPr>
            <w:r>
              <w:rPr>
                <w:rFonts w:ascii="Calibri" w:cs="Calibri" w:eastAsia="Calibri" w:hAnsi="Calibri"/>
                <w:sz w:val="14"/>
                <w:szCs w:val="14"/>
                <w:b w:val="1"/>
                <w:bCs w:val="1"/>
                <w:color w:val="FFFFFF"/>
              </w:rPr>
              <w:t>Mar 25</w:t>
            </w:r>
          </w:p>
        </w:tc>
        <w:tc>
          <w:tcPr>
            <w:tcW w:w="800" w:type="dxa"/>
            <w:vAlign w:val="bottom"/>
            <w:tcBorders>
              <w:right w:val="single" w:sz="8" w:color="auto"/>
            </w:tcBorders>
            <w:vMerge w:val="restart"/>
            <w:shd w:val="clear" w:color="auto" w:fill="2AD2C8"/>
          </w:tcPr>
          <w:p>
            <w:pPr>
              <w:ind w:left="220"/>
              <w:spacing w:after="0"/>
              <w:rPr>
                <w:sz w:val="20"/>
                <w:szCs w:val="20"/>
                <w:color w:val="auto"/>
              </w:rPr>
            </w:pPr>
            <w:r>
              <w:rPr>
                <w:rFonts w:ascii="Calibri" w:cs="Calibri" w:eastAsia="Calibri" w:hAnsi="Calibri"/>
                <w:sz w:val="14"/>
                <w:szCs w:val="14"/>
                <w:b w:val="1"/>
                <w:bCs w:val="1"/>
                <w:color w:val="FFFFFF"/>
              </w:rPr>
              <w:t>Jun 25</w:t>
            </w:r>
          </w:p>
        </w:tc>
        <w:tc>
          <w:tcPr>
            <w:tcW w:w="1060" w:type="dxa"/>
            <w:vAlign w:val="bottom"/>
            <w:vMerge w:val="restart"/>
            <w:shd w:val="clear" w:color="auto" w:fill="2AD2C8"/>
          </w:tcPr>
          <w:p>
            <w:pPr>
              <w:ind w:left="620"/>
              <w:spacing w:after="0"/>
              <w:rPr>
                <w:sz w:val="20"/>
                <w:szCs w:val="20"/>
                <w:color w:val="auto"/>
              </w:rPr>
            </w:pPr>
            <w:r>
              <w:rPr>
                <w:rFonts w:ascii="Calibri" w:cs="Calibri" w:eastAsia="Calibri" w:hAnsi="Calibri"/>
                <w:sz w:val="14"/>
                <w:szCs w:val="14"/>
                <w:b w:val="1"/>
                <w:bCs w:val="1"/>
                <w:color w:val="FFFFFF"/>
              </w:rPr>
              <w:t>QoQ</w:t>
            </w:r>
          </w:p>
        </w:tc>
        <w:tc>
          <w:tcPr>
            <w:tcW w:w="1020" w:type="dxa"/>
            <w:vAlign w:val="bottom"/>
            <w:tcBorders>
              <w:right w:val="single" w:sz="8" w:color="auto"/>
            </w:tcBorders>
            <w:vMerge w:val="restart"/>
            <w:shd w:val="clear" w:color="auto" w:fill="2AD2C8"/>
          </w:tcPr>
          <w:p>
            <w:pPr>
              <w:ind w:left="180"/>
              <w:spacing w:after="0"/>
              <w:rPr>
                <w:sz w:val="20"/>
                <w:szCs w:val="20"/>
                <w:color w:val="auto"/>
              </w:rPr>
            </w:pPr>
            <w:r>
              <w:rPr>
                <w:rFonts w:ascii="Calibri" w:cs="Calibri" w:eastAsia="Calibri" w:hAnsi="Calibri"/>
                <w:sz w:val="14"/>
                <w:szCs w:val="14"/>
                <w:b w:val="1"/>
                <w:bCs w:val="1"/>
                <w:color w:val="FFFFFF"/>
              </w:rPr>
              <w:t>YoY</w:t>
            </w:r>
          </w:p>
        </w:tc>
        <w:tc>
          <w:tcPr>
            <w:tcW w:w="780" w:type="dxa"/>
            <w:vAlign w:val="bottom"/>
            <w:vMerge w:val="restart"/>
            <w:shd w:val="clear" w:color="auto" w:fill="2AD2C8"/>
          </w:tcPr>
          <w:p>
            <w:pPr>
              <w:ind w:left="400"/>
              <w:spacing w:after="0"/>
              <w:rPr>
                <w:sz w:val="20"/>
                <w:szCs w:val="20"/>
                <w:color w:val="auto"/>
              </w:rPr>
            </w:pPr>
            <w:r>
              <w:rPr>
                <w:rFonts w:ascii="Calibri" w:cs="Calibri" w:eastAsia="Calibri" w:hAnsi="Calibri"/>
                <w:sz w:val="14"/>
                <w:szCs w:val="14"/>
                <w:b w:val="1"/>
                <w:bCs w:val="1"/>
                <w:color w:val="FFFFFF"/>
              </w:rPr>
              <w:t>QoQ</w:t>
            </w:r>
          </w:p>
        </w:tc>
        <w:tc>
          <w:tcPr>
            <w:tcW w:w="760" w:type="dxa"/>
            <w:vAlign w:val="bottom"/>
            <w:tcBorders>
              <w:right w:val="single" w:sz="8" w:color="auto"/>
            </w:tcBorders>
            <w:vMerge w:val="restart"/>
            <w:shd w:val="clear" w:color="auto" w:fill="2AD2C8"/>
          </w:tcPr>
          <w:p>
            <w:pPr>
              <w:ind w:left="140"/>
              <w:spacing w:after="0"/>
              <w:rPr>
                <w:sz w:val="20"/>
                <w:szCs w:val="20"/>
                <w:color w:val="auto"/>
              </w:rPr>
            </w:pPr>
            <w:r>
              <w:rPr>
                <w:rFonts w:ascii="Calibri" w:cs="Calibri" w:eastAsia="Calibri" w:hAnsi="Calibri"/>
                <w:sz w:val="14"/>
                <w:szCs w:val="14"/>
                <w:b w:val="1"/>
                <w:bCs w:val="1"/>
                <w:color w:val="FFFFFF"/>
              </w:rPr>
              <w:t>YoY</w:t>
            </w:r>
          </w:p>
        </w:tc>
        <w:tc>
          <w:tcPr>
            <w:tcW w:w="680" w:type="dxa"/>
            <w:vAlign w:val="bottom"/>
            <w:vMerge w:val="restart"/>
            <w:shd w:val="clear" w:color="auto" w:fill="2AD2C8"/>
          </w:tcPr>
          <w:p>
            <w:pPr>
              <w:ind w:left="140"/>
              <w:spacing w:after="0"/>
              <w:rPr>
                <w:sz w:val="20"/>
                <w:szCs w:val="20"/>
                <w:color w:val="auto"/>
              </w:rPr>
            </w:pPr>
            <w:r>
              <w:rPr>
                <w:rFonts w:ascii="Calibri" w:cs="Calibri" w:eastAsia="Calibri" w:hAnsi="Calibri"/>
                <w:sz w:val="14"/>
                <w:szCs w:val="14"/>
                <w:b w:val="1"/>
                <w:bCs w:val="1"/>
                <w:color w:val="FFFFFF"/>
              </w:rPr>
              <w:t>Jun 24</w:t>
            </w:r>
          </w:p>
        </w:tc>
        <w:tc>
          <w:tcPr>
            <w:tcW w:w="820" w:type="dxa"/>
            <w:vAlign w:val="bottom"/>
            <w:vMerge w:val="restart"/>
            <w:shd w:val="clear" w:color="auto" w:fill="2AD2C8"/>
          </w:tcPr>
          <w:p>
            <w:pPr>
              <w:ind w:left="60"/>
              <w:spacing w:after="0"/>
              <w:rPr>
                <w:sz w:val="20"/>
                <w:szCs w:val="20"/>
                <w:color w:val="auto"/>
              </w:rPr>
            </w:pPr>
            <w:r>
              <w:rPr>
                <w:rFonts w:ascii="Calibri" w:cs="Calibri" w:eastAsia="Calibri" w:hAnsi="Calibri"/>
                <w:sz w:val="14"/>
                <w:szCs w:val="14"/>
                <w:b w:val="1"/>
                <w:bCs w:val="1"/>
                <w:color w:val="FFFFFF"/>
              </w:rPr>
              <w:t>Mar 25</w:t>
            </w:r>
          </w:p>
        </w:tc>
        <w:tc>
          <w:tcPr>
            <w:tcW w:w="920" w:type="dxa"/>
            <w:vAlign w:val="bottom"/>
            <w:tcBorders>
              <w:right w:val="single" w:sz="8" w:color="auto"/>
            </w:tcBorders>
            <w:vMerge w:val="restart"/>
            <w:shd w:val="clear" w:color="auto" w:fill="2AD2C8"/>
          </w:tcPr>
          <w:p>
            <w:pPr>
              <w:ind w:left="220"/>
              <w:spacing w:after="0"/>
              <w:rPr>
                <w:sz w:val="20"/>
                <w:szCs w:val="20"/>
                <w:color w:val="auto"/>
              </w:rPr>
            </w:pPr>
            <w:r>
              <w:rPr>
                <w:rFonts w:ascii="Calibri" w:cs="Calibri" w:eastAsia="Calibri" w:hAnsi="Calibri"/>
                <w:sz w:val="14"/>
                <w:szCs w:val="14"/>
                <w:b w:val="1"/>
                <w:bCs w:val="1"/>
                <w:color w:val="FFFFFF"/>
              </w:rPr>
              <w:t>Jun 25</w:t>
            </w:r>
          </w:p>
        </w:tc>
        <w:tc>
          <w:tcPr>
            <w:tcW w:w="0" w:type="dxa"/>
            <w:vAlign w:val="bottom"/>
          </w:tcPr>
          <w:p>
            <w:pPr>
              <w:spacing w:after="0"/>
              <w:rPr>
                <w:sz w:val="1"/>
                <w:szCs w:val="1"/>
                <w:color w:val="auto"/>
              </w:rPr>
            </w:pPr>
          </w:p>
        </w:tc>
      </w:tr>
      <w:tr>
        <w:trPr>
          <w:trHeight w:val="154"/>
        </w:trPr>
        <w:tc>
          <w:tcPr>
            <w:tcW w:w="2840" w:type="dxa"/>
            <w:vAlign w:val="bottom"/>
            <w:tcBorders>
              <w:left w:val="single" w:sz="8" w:color="auto"/>
              <w:bottom w:val="single" w:sz="8" w:color="auto"/>
              <w:right w:val="single" w:sz="8" w:color="auto"/>
            </w:tcBorders>
            <w:shd w:val="clear" w:color="auto" w:fill="2AD2C8"/>
          </w:tcPr>
          <w:p>
            <w:pPr>
              <w:spacing w:after="0"/>
              <w:rPr>
                <w:sz w:val="13"/>
                <w:szCs w:val="13"/>
                <w:color w:val="auto"/>
              </w:rPr>
            </w:pPr>
          </w:p>
        </w:tc>
        <w:tc>
          <w:tcPr>
            <w:tcW w:w="760" w:type="dxa"/>
            <w:vAlign w:val="bottom"/>
            <w:tcBorders>
              <w:bottom w:val="single" w:sz="8" w:color="auto"/>
            </w:tcBorders>
            <w:vMerge w:val="continue"/>
            <w:shd w:val="clear" w:color="auto" w:fill="2AD2C8"/>
          </w:tcPr>
          <w:p>
            <w:pPr>
              <w:spacing w:after="0"/>
              <w:rPr>
                <w:sz w:val="13"/>
                <w:szCs w:val="13"/>
                <w:color w:val="auto"/>
              </w:rPr>
            </w:pPr>
          </w:p>
        </w:tc>
        <w:tc>
          <w:tcPr>
            <w:tcW w:w="820" w:type="dxa"/>
            <w:vAlign w:val="bottom"/>
            <w:tcBorders>
              <w:bottom w:val="single" w:sz="8" w:color="auto"/>
            </w:tcBorders>
            <w:vMerge w:val="continue"/>
            <w:shd w:val="clear" w:color="auto" w:fill="2AD2C8"/>
          </w:tcPr>
          <w:p>
            <w:pPr>
              <w:spacing w:after="0"/>
              <w:rPr>
                <w:sz w:val="13"/>
                <w:szCs w:val="13"/>
                <w:color w:val="auto"/>
              </w:rPr>
            </w:pPr>
          </w:p>
        </w:tc>
        <w:tc>
          <w:tcPr>
            <w:tcW w:w="800" w:type="dxa"/>
            <w:vAlign w:val="bottom"/>
            <w:tcBorders>
              <w:bottom w:val="single" w:sz="8" w:color="auto"/>
              <w:right w:val="single" w:sz="8" w:color="auto"/>
            </w:tcBorders>
            <w:vMerge w:val="continue"/>
            <w:shd w:val="clear" w:color="auto" w:fill="2AD2C8"/>
          </w:tcPr>
          <w:p>
            <w:pPr>
              <w:spacing w:after="0"/>
              <w:rPr>
                <w:sz w:val="13"/>
                <w:szCs w:val="13"/>
                <w:color w:val="auto"/>
              </w:rPr>
            </w:pPr>
          </w:p>
        </w:tc>
        <w:tc>
          <w:tcPr>
            <w:tcW w:w="1060" w:type="dxa"/>
            <w:vAlign w:val="bottom"/>
            <w:tcBorders>
              <w:bottom w:val="single" w:sz="8" w:color="auto"/>
            </w:tcBorders>
            <w:vMerge w:val="continue"/>
            <w:shd w:val="clear" w:color="auto" w:fill="2AD2C8"/>
          </w:tcPr>
          <w:p>
            <w:pPr>
              <w:spacing w:after="0"/>
              <w:rPr>
                <w:sz w:val="13"/>
                <w:szCs w:val="13"/>
                <w:color w:val="auto"/>
              </w:rPr>
            </w:pPr>
          </w:p>
        </w:tc>
        <w:tc>
          <w:tcPr>
            <w:tcW w:w="1020" w:type="dxa"/>
            <w:vAlign w:val="bottom"/>
            <w:tcBorders>
              <w:bottom w:val="single" w:sz="8" w:color="auto"/>
              <w:right w:val="single" w:sz="8" w:color="auto"/>
            </w:tcBorders>
            <w:vMerge w:val="continue"/>
            <w:shd w:val="clear" w:color="auto" w:fill="2AD2C8"/>
          </w:tcPr>
          <w:p>
            <w:pPr>
              <w:spacing w:after="0"/>
              <w:rPr>
                <w:sz w:val="13"/>
                <w:szCs w:val="13"/>
                <w:color w:val="auto"/>
              </w:rPr>
            </w:pPr>
          </w:p>
        </w:tc>
        <w:tc>
          <w:tcPr>
            <w:tcW w:w="780" w:type="dxa"/>
            <w:vAlign w:val="bottom"/>
            <w:tcBorders>
              <w:bottom w:val="single" w:sz="8" w:color="auto"/>
            </w:tcBorders>
            <w:vMerge w:val="continue"/>
            <w:shd w:val="clear" w:color="auto" w:fill="2AD2C8"/>
          </w:tcPr>
          <w:p>
            <w:pPr>
              <w:spacing w:after="0"/>
              <w:rPr>
                <w:sz w:val="13"/>
                <w:szCs w:val="13"/>
                <w:color w:val="auto"/>
              </w:rPr>
            </w:pPr>
          </w:p>
        </w:tc>
        <w:tc>
          <w:tcPr>
            <w:tcW w:w="760" w:type="dxa"/>
            <w:vAlign w:val="bottom"/>
            <w:tcBorders>
              <w:bottom w:val="single" w:sz="8" w:color="auto"/>
              <w:right w:val="single" w:sz="8" w:color="auto"/>
            </w:tcBorders>
            <w:vMerge w:val="continue"/>
            <w:shd w:val="clear" w:color="auto" w:fill="2AD2C8"/>
          </w:tcPr>
          <w:p>
            <w:pPr>
              <w:spacing w:after="0"/>
              <w:rPr>
                <w:sz w:val="13"/>
                <w:szCs w:val="13"/>
                <w:color w:val="auto"/>
              </w:rPr>
            </w:pPr>
          </w:p>
        </w:tc>
        <w:tc>
          <w:tcPr>
            <w:tcW w:w="680" w:type="dxa"/>
            <w:vAlign w:val="bottom"/>
            <w:tcBorders>
              <w:bottom w:val="single" w:sz="8" w:color="auto"/>
            </w:tcBorders>
            <w:vMerge w:val="continue"/>
            <w:shd w:val="clear" w:color="auto" w:fill="2AD2C8"/>
          </w:tcPr>
          <w:p>
            <w:pPr>
              <w:spacing w:after="0"/>
              <w:rPr>
                <w:sz w:val="13"/>
                <w:szCs w:val="13"/>
                <w:color w:val="auto"/>
              </w:rPr>
            </w:pPr>
          </w:p>
        </w:tc>
        <w:tc>
          <w:tcPr>
            <w:tcW w:w="820" w:type="dxa"/>
            <w:vAlign w:val="bottom"/>
            <w:tcBorders>
              <w:bottom w:val="single" w:sz="8" w:color="auto"/>
            </w:tcBorders>
            <w:vMerge w:val="continue"/>
            <w:shd w:val="clear" w:color="auto" w:fill="2AD2C8"/>
          </w:tcPr>
          <w:p>
            <w:pPr>
              <w:spacing w:after="0"/>
              <w:rPr>
                <w:sz w:val="13"/>
                <w:szCs w:val="13"/>
                <w:color w:val="auto"/>
              </w:rPr>
            </w:pPr>
          </w:p>
        </w:tc>
        <w:tc>
          <w:tcPr>
            <w:tcW w:w="920" w:type="dxa"/>
            <w:vAlign w:val="bottom"/>
            <w:tcBorders>
              <w:bottom w:val="single" w:sz="8" w:color="auto"/>
              <w:right w:val="single" w:sz="8" w:color="auto"/>
            </w:tcBorders>
            <w:vMerge w:val="continue"/>
            <w:shd w:val="clear" w:color="auto" w:fill="2AD2C8"/>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right w:val="single" w:sz="8" w:color="auto"/>
            </w:tcBorders>
          </w:tcPr>
          <w:p>
            <w:pPr>
              <w:ind w:left="40"/>
              <w:spacing w:after="0" w:line="166" w:lineRule="exact"/>
              <w:rPr>
                <w:sz w:val="20"/>
                <w:szCs w:val="20"/>
                <w:color w:val="auto"/>
              </w:rPr>
            </w:pPr>
            <w:r>
              <w:rPr>
                <w:rFonts w:ascii="Calibri" w:cs="Calibri" w:eastAsia="Calibri" w:hAnsi="Calibri"/>
                <w:sz w:val="14"/>
                <w:szCs w:val="14"/>
                <w:color w:val="auto"/>
              </w:rPr>
              <w:t>BCP Stand-alone</w:t>
            </w:r>
          </w:p>
        </w:tc>
        <w:tc>
          <w:tcPr>
            <w:tcW w:w="760" w:type="dxa"/>
            <w:vAlign w:val="bottom"/>
          </w:tcPr>
          <w:p>
            <w:pPr>
              <w:jc w:val="center"/>
              <w:spacing w:after="0" w:line="166" w:lineRule="exact"/>
              <w:rPr>
                <w:sz w:val="20"/>
                <w:szCs w:val="20"/>
                <w:color w:val="auto"/>
              </w:rPr>
            </w:pPr>
            <w:r>
              <w:rPr>
                <w:rFonts w:ascii="Calibri" w:cs="Calibri" w:eastAsia="Calibri" w:hAnsi="Calibri"/>
                <w:sz w:val="14"/>
                <w:szCs w:val="14"/>
                <w:color w:val="auto"/>
                <w:w w:val="99"/>
              </w:rPr>
              <w:t>121,056</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color w:val="auto"/>
                <w:w w:val="99"/>
              </w:rPr>
              <w:t>119,379</w:t>
            </w:r>
          </w:p>
        </w:tc>
        <w:tc>
          <w:tcPr>
            <w:tcW w:w="80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9"/>
              </w:rPr>
              <w:t>120,999</w:t>
            </w:r>
          </w:p>
        </w:tc>
        <w:tc>
          <w:tcPr>
            <w:tcW w:w="1060" w:type="dxa"/>
            <w:vAlign w:val="bottom"/>
          </w:tcPr>
          <w:p>
            <w:pPr>
              <w:jc w:val="center"/>
              <w:spacing w:after="0" w:line="166" w:lineRule="exact"/>
              <w:rPr>
                <w:sz w:val="20"/>
                <w:szCs w:val="20"/>
                <w:color w:val="auto"/>
              </w:rPr>
            </w:pPr>
            <w:r>
              <w:rPr>
                <w:rFonts w:ascii="Calibri" w:cs="Calibri" w:eastAsia="Calibri" w:hAnsi="Calibri"/>
                <w:sz w:val="14"/>
                <w:szCs w:val="14"/>
                <w:color w:val="auto"/>
              </w:rPr>
              <w:t>1,620</w:t>
            </w:r>
          </w:p>
        </w:tc>
        <w:tc>
          <w:tcPr>
            <w:tcW w:w="102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-57</w:t>
            </w:r>
          </w:p>
        </w:tc>
        <w:tc>
          <w:tcPr>
            <w:tcW w:w="780" w:type="dxa"/>
            <w:vAlign w:val="bottom"/>
          </w:tcPr>
          <w:p>
            <w:pPr>
              <w:jc w:val="center"/>
              <w:spacing w:after="0" w:line="166" w:lineRule="exact"/>
              <w:rPr>
                <w:sz w:val="20"/>
                <w:szCs w:val="20"/>
                <w:color w:val="auto"/>
              </w:rPr>
            </w:pPr>
            <w:r>
              <w:rPr>
                <w:rFonts w:ascii="Calibri" w:cs="Calibri" w:eastAsia="Calibri" w:hAnsi="Calibri"/>
                <w:sz w:val="14"/>
                <w:szCs w:val="14"/>
                <w:color w:val="auto"/>
              </w:rPr>
              <w:t>1.4%</w:t>
            </w:r>
          </w:p>
        </w:tc>
        <w:tc>
          <w:tcPr>
            <w:tcW w:w="76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0.0%</w:t>
            </w:r>
          </w:p>
        </w:tc>
        <w:tc>
          <w:tcPr>
            <w:tcW w:w="680" w:type="dxa"/>
            <w:vAlign w:val="bottom"/>
          </w:tcPr>
          <w:p>
            <w:pPr>
              <w:jc w:val="center"/>
              <w:ind w:left="71"/>
              <w:spacing w:after="0" w:line="166" w:lineRule="exact"/>
              <w:rPr>
                <w:sz w:val="20"/>
                <w:szCs w:val="20"/>
                <w:color w:val="auto"/>
              </w:rPr>
            </w:pPr>
            <w:r>
              <w:rPr>
                <w:rFonts w:ascii="Calibri" w:cs="Calibri" w:eastAsia="Calibri" w:hAnsi="Calibri"/>
                <w:sz w:val="14"/>
                <w:szCs w:val="14"/>
                <w:color w:val="auto"/>
                <w:w w:val="97"/>
              </w:rPr>
              <w:t>82.4%</w:t>
            </w:r>
          </w:p>
        </w:tc>
        <w:tc>
          <w:tcPr>
            <w:tcW w:w="820" w:type="dxa"/>
            <w:vAlign w:val="bottom"/>
          </w:tcPr>
          <w:p>
            <w:pPr>
              <w:jc w:val="center"/>
              <w:ind w:left="131"/>
              <w:spacing w:after="0" w:line="166" w:lineRule="exact"/>
              <w:rPr>
                <w:sz w:val="20"/>
                <w:szCs w:val="20"/>
                <w:color w:val="auto"/>
              </w:rPr>
            </w:pPr>
            <w:r>
              <w:rPr>
                <w:rFonts w:ascii="Calibri" w:cs="Calibri" w:eastAsia="Calibri" w:hAnsi="Calibri"/>
                <w:sz w:val="14"/>
                <w:szCs w:val="14"/>
                <w:color w:val="auto"/>
                <w:w w:val="97"/>
              </w:rPr>
              <w:t>84.5%</w:t>
            </w:r>
          </w:p>
        </w:tc>
        <w:tc>
          <w:tcPr>
            <w:tcW w:w="920" w:type="dxa"/>
            <w:vAlign w:val="bottom"/>
            <w:tcBorders>
              <w:right w:val="single" w:sz="8" w:color="auto"/>
            </w:tcBorders>
          </w:tcPr>
          <w:p>
            <w:pPr>
              <w:jc w:val="center"/>
              <w:ind w:left="11"/>
              <w:spacing w:after="0" w:line="166" w:lineRule="exact"/>
              <w:rPr>
                <w:sz w:val="20"/>
                <w:szCs w:val="20"/>
                <w:color w:val="auto"/>
              </w:rPr>
            </w:pPr>
            <w:r>
              <w:rPr>
                <w:rFonts w:ascii="Calibri" w:cs="Calibri" w:eastAsia="Calibri" w:hAnsi="Calibri"/>
                <w:sz w:val="14"/>
                <w:szCs w:val="14"/>
                <w:color w:val="auto"/>
              </w:rPr>
              <w:t>85.8%</w:t>
            </w:r>
          </w:p>
        </w:tc>
        <w:tc>
          <w:tcPr>
            <w:tcW w:w="0" w:type="dxa"/>
            <w:vAlign w:val="bottom"/>
          </w:tcPr>
          <w:p>
            <w:pPr>
              <w:spacing w:after="0"/>
              <w:rPr>
                <w:sz w:val="1"/>
                <w:szCs w:val="1"/>
                <w:color w:val="auto"/>
              </w:rPr>
            </w:pPr>
          </w:p>
        </w:tc>
      </w:tr>
      <w:tr>
        <w:trPr>
          <w:trHeight w:val="167"/>
        </w:trPr>
        <w:tc>
          <w:tcPr>
            <w:tcW w:w="2840" w:type="dxa"/>
            <w:vAlign w:val="bottom"/>
            <w:tcBorders>
              <w:left w:val="single" w:sz="8" w:color="auto"/>
              <w:right w:val="single" w:sz="8" w:color="auto"/>
            </w:tcBorders>
          </w:tcPr>
          <w:p>
            <w:pPr>
              <w:ind w:left="40"/>
              <w:spacing w:after="0" w:line="167" w:lineRule="exact"/>
              <w:rPr>
                <w:sz w:val="20"/>
                <w:szCs w:val="20"/>
                <w:color w:val="auto"/>
              </w:rPr>
            </w:pPr>
            <w:r>
              <w:rPr>
                <w:rFonts w:ascii="Calibri" w:cs="Calibri" w:eastAsia="Calibri" w:hAnsi="Calibri"/>
                <w:sz w:val="14"/>
                <w:szCs w:val="14"/>
                <w:color w:val="auto"/>
              </w:rPr>
              <w:t>Mibanco</w:t>
            </w:r>
          </w:p>
        </w:tc>
        <w:tc>
          <w:tcPr>
            <w:tcW w:w="760" w:type="dxa"/>
            <w:vAlign w:val="bottom"/>
          </w:tcPr>
          <w:p>
            <w:pPr>
              <w:jc w:val="center"/>
              <w:spacing w:after="0" w:line="167" w:lineRule="exact"/>
              <w:rPr>
                <w:sz w:val="20"/>
                <w:szCs w:val="20"/>
                <w:color w:val="auto"/>
              </w:rPr>
            </w:pPr>
            <w:r>
              <w:rPr>
                <w:rFonts w:ascii="Calibri" w:cs="Calibri" w:eastAsia="Calibri" w:hAnsi="Calibri"/>
                <w:sz w:val="14"/>
                <w:szCs w:val="14"/>
                <w:color w:val="auto"/>
                <w:w w:val="97"/>
              </w:rPr>
              <w:t>12,706</w:t>
            </w:r>
          </w:p>
        </w:tc>
        <w:tc>
          <w:tcPr>
            <w:tcW w:w="820" w:type="dxa"/>
            <w:vAlign w:val="bottom"/>
          </w:tcPr>
          <w:p>
            <w:pPr>
              <w:jc w:val="center"/>
              <w:spacing w:after="0" w:line="167" w:lineRule="exact"/>
              <w:rPr>
                <w:sz w:val="20"/>
                <w:szCs w:val="20"/>
                <w:color w:val="auto"/>
              </w:rPr>
            </w:pPr>
            <w:r>
              <w:rPr>
                <w:rFonts w:ascii="Calibri" w:cs="Calibri" w:eastAsia="Calibri" w:hAnsi="Calibri"/>
                <w:sz w:val="14"/>
                <w:szCs w:val="14"/>
                <w:color w:val="auto"/>
                <w:w w:val="97"/>
              </w:rPr>
              <w:t>12,525</w:t>
            </w:r>
          </w:p>
        </w:tc>
        <w:tc>
          <w:tcPr>
            <w:tcW w:w="80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w w:val="97"/>
              </w:rPr>
              <w:t>12,785</w:t>
            </w:r>
          </w:p>
        </w:tc>
        <w:tc>
          <w:tcPr>
            <w:tcW w:w="1060" w:type="dxa"/>
            <w:vAlign w:val="bottom"/>
          </w:tcPr>
          <w:p>
            <w:pPr>
              <w:jc w:val="center"/>
              <w:spacing w:after="0" w:line="167" w:lineRule="exact"/>
              <w:rPr>
                <w:sz w:val="20"/>
                <w:szCs w:val="20"/>
                <w:color w:val="auto"/>
              </w:rPr>
            </w:pPr>
            <w:r>
              <w:rPr>
                <w:rFonts w:ascii="Calibri" w:cs="Calibri" w:eastAsia="Calibri" w:hAnsi="Calibri"/>
                <w:sz w:val="14"/>
                <w:szCs w:val="14"/>
                <w:color w:val="auto"/>
                <w:w w:val="93"/>
              </w:rPr>
              <w:t>260</w:t>
            </w:r>
          </w:p>
        </w:tc>
        <w:tc>
          <w:tcPr>
            <w:tcW w:w="102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w w:val="98"/>
              </w:rPr>
              <w:t>80</w:t>
            </w:r>
          </w:p>
        </w:tc>
        <w:tc>
          <w:tcPr>
            <w:tcW w:w="780" w:type="dxa"/>
            <w:vAlign w:val="bottom"/>
          </w:tcPr>
          <w:p>
            <w:pPr>
              <w:jc w:val="center"/>
              <w:spacing w:after="0" w:line="167" w:lineRule="exact"/>
              <w:rPr>
                <w:sz w:val="20"/>
                <w:szCs w:val="20"/>
                <w:color w:val="auto"/>
              </w:rPr>
            </w:pPr>
            <w:r>
              <w:rPr>
                <w:rFonts w:ascii="Calibri" w:cs="Calibri" w:eastAsia="Calibri" w:hAnsi="Calibri"/>
                <w:sz w:val="14"/>
                <w:szCs w:val="14"/>
                <w:color w:val="auto"/>
              </w:rPr>
              <w:t>2.1%</w:t>
            </w:r>
          </w:p>
        </w:tc>
        <w:tc>
          <w:tcPr>
            <w:tcW w:w="76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rPr>
              <w:t>0.6%</w:t>
            </w:r>
          </w:p>
        </w:tc>
        <w:tc>
          <w:tcPr>
            <w:tcW w:w="680" w:type="dxa"/>
            <w:vAlign w:val="bottom"/>
          </w:tcPr>
          <w:p>
            <w:pPr>
              <w:jc w:val="center"/>
              <w:ind w:left="51"/>
              <w:spacing w:after="0" w:line="167" w:lineRule="exact"/>
              <w:rPr>
                <w:sz w:val="20"/>
                <w:szCs w:val="20"/>
                <w:color w:val="auto"/>
              </w:rPr>
            </w:pPr>
            <w:r>
              <w:rPr>
                <w:rFonts w:ascii="Calibri" w:cs="Calibri" w:eastAsia="Calibri" w:hAnsi="Calibri"/>
                <w:sz w:val="14"/>
                <w:szCs w:val="14"/>
                <w:color w:val="auto"/>
              </w:rPr>
              <w:t>8.6%</w:t>
            </w:r>
          </w:p>
        </w:tc>
        <w:tc>
          <w:tcPr>
            <w:tcW w:w="820" w:type="dxa"/>
            <w:vAlign w:val="bottom"/>
          </w:tcPr>
          <w:p>
            <w:pPr>
              <w:jc w:val="center"/>
              <w:ind w:left="151"/>
              <w:spacing w:after="0" w:line="167" w:lineRule="exact"/>
              <w:rPr>
                <w:sz w:val="20"/>
                <w:szCs w:val="20"/>
                <w:color w:val="auto"/>
              </w:rPr>
            </w:pPr>
            <w:r>
              <w:rPr>
                <w:rFonts w:ascii="Calibri" w:cs="Calibri" w:eastAsia="Calibri" w:hAnsi="Calibri"/>
                <w:sz w:val="14"/>
                <w:szCs w:val="14"/>
                <w:color w:val="auto"/>
              </w:rPr>
              <w:t>8.9%</w:t>
            </w:r>
          </w:p>
        </w:tc>
        <w:tc>
          <w:tcPr>
            <w:tcW w:w="920" w:type="dxa"/>
            <w:vAlign w:val="bottom"/>
            <w:tcBorders>
              <w:right w:val="single" w:sz="8" w:color="auto"/>
            </w:tcBorders>
          </w:tcPr>
          <w:p>
            <w:pPr>
              <w:jc w:val="center"/>
              <w:ind w:left="11"/>
              <w:spacing w:after="0" w:line="167" w:lineRule="exact"/>
              <w:rPr>
                <w:sz w:val="20"/>
                <w:szCs w:val="20"/>
                <w:color w:val="auto"/>
              </w:rPr>
            </w:pPr>
            <w:r>
              <w:rPr>
                <w:rFonts w:ascii="Calibri" w:cs="Calibri" w:eastAsia="Calibri" w:hAnsi="Calibri"/>
                <w:sz w:val="14"/>
                <w:szCs w:val="14"/>
                <w:color w:val="auto"/>
              </w:rPr>
              <w:t>9.1%</w:t>
            </w:r>
          </w:p>
        </w:tc>
        <w:tc>
          <w:tcPr>
            <w:tcW w:w="0" w:type="dxa"/>
            <w:vAlign w:val="bottom"/>
          </w:tcPr>
          <w:p>
            <w:pPr>
              <w:spacing w:after="0"/>
              <w:rPr>
                <w:sz w:val="1"/>
                <w:szCs w:val="1"/>
                <w:color w:val="auto"/>
              </w:rPr>
            </w:pPr>
          </w:p>
        </w:tc>
      </w:tr>
      <w:tr>
        <w:trPr>
          <w:trHeight w:val="169"/>
        </w:trPr>
        <w:tc>
          <w:tcPr>
            <w:tcW w:w="2840" w:type="dxa"/>
            <w:vAlign w:val="bottom"/>
            <w:tcBorders>
              <w:left w:val="single" w:sz="8" w:color="auto"/>
              <w:right w:val="single" w:sz="8" w:color="auto"/>
            </w:tcBorders>
          </w:tcPr>
          <w:p>
            <w:pPr>
              <w:ind w:left="40"/>
              <w:spacing w:after="0" w:line="169" w:lineRule="exact"/>
              <w:rPr>
                <w:sz w:val="20"/>
                <w:szCs w:val="20"/>
                <w:color w:val="auto"/>
              </w:rPr>
            </w:pPr>
            <w:r>
              <w:rPr>
                <w:rFonts w:ascii="Calibri" w:cs="Calibri" w:eastAsia="Calibri" w:hAnsi="Calibri"/>
                <w:sz w:val="14"/>
                <w:szCs w:val="14"/>
                <w:color w:val="auto"/>
              </w:rPr>
              <w:t>Mibanco Colombia</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w w:val="93"/>
              </w:rPr>
              <w:t>1,757</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color w:val="auto"/>
              </w:rPr>
              <w:t>1,904</w:t>
            </w:r>
          </w:p>
        </w:tc>
        <w:tc>
          <w:tcPr>
            <w:tcW w:w="80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1,976</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72</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3"/>
              </w:rPr>
              <w:t>219</w:t>
            </w:r>
          </w:p>
        </w:tc>
        <w:tc>
          <w:tcPr>
            <w:tcW w:w="780" w:type="dxa"/>
            <w:vAlign w:val="bottom"/>
          </w:tcPr>
          <w:p>
            <w:pPr>
              <w:jc w:val="center"/>
              <w:spacing w:after="0" w:line="169" w:lineRule="exact"/>
              <w:rPr>
                <w:sz w:val="20"/>
                <w:szCs w:val="20"/>
                <w:color w:val="auto"/>
              </w:rPr>
            </w:pPr>
            <w:r>
              <w:rPr>
                <w:rFonts w:ascii="Calibri" w:cs="Calibri" w:eastAsia="Calibri" w:hAnsi="Calibri"/>
                <w:sz w:val="14"/>
                <w:szCs w:val="14"/>
                <w:color w:val="auto"/>
              </w:rPr>
              <w:t>3.8%</w:t>
            </w:r>
          </w:p>
        </w:tc>
        <w:tc>
          <w:tcPr>
            <w:tcW w:w="7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12.5%</w:t>
            </w:r>
          </w:p>
        </w:tc>
        <w:tc>
          <w:tcPr>
            <w:tcW w:w="680" w:type="dxa"/>
            <w:vAlign w:val="bottom"/>
          </w:tcPr>
          <w:p>
            <w:pPr>
              <w:jc w:val="center"/>
              <w:ind w:left="51"/>
              <w:spacing w:after="0" w:line="169" w:lineRule="exact"/>
              <w:rPr>
                <w:sz w:val="20"/>
                <w:szCs w:val="20"/>
                <w:color w:val="auto"/>
              </w:rPr>
            </w:pPr>
            <w:r>
              <w:rPr>
                <w:rFonts w:ascii="Calibri" w:cs="Calibri" w:eastAsia="Calibri" w:hAnsi="Calibri"/>
                <w:sz w:val="14"/>
                <w:szCs w:val="14"/>
                <w:color w:val="auto"/>
              </w:rPr>
              <w:t>1.2%</w:t>
            </w:r>
          </w:p>
        </w:tc>
        <w:tc>
          <w:tcPr>
            <w:tcW w:w="820" w:type="dxa"/>
            <w:vAlign w:val="bottom"/>
          </w:tcPr>
          <w:p>
            <w:pPr>
              <w:jc w:val="center"/>
              <w:ind w:left="151"/>
              <w:spacing w:after="0" w:line="169" w:lineRule="exact"/>
              <w:rPr>
                <w:sz w:val="20"/>
                <w:szCs w:val="20"/>
                <w:color w:val="auto"/>
              </w:rPr>
            </w:pPr>
            <w:r>
              <w:rPr>
                <w:rFonts w:ascii="Calibri" w:cs="Calibri" w:eastAsia="Calibri" w:hAnsi="Calibri"/>
                <w:sz w:val="14"/>
                <w:szCs w:val="14"/>
                <w:color w:val="auto"/>
              </w:rPr>
              <w:t>1.3%</w:t>
            </w:r>
          </w:p>
        </w:tc>
        <w:tc>
          <w:tcPr>
            <w:tcW w:w="920" w:type="dxa"/>
            <w:vAlign w:val="bottom"/>
            <w:tcBorders>
              <w:right w:val="single" w:sz="8" w:color="auto"/>
            </w:tcBorders>
          </w:tcPr>
          <w:p>
            <w:pPr>
              <w:jc w:val="center"/>
              <w:ind w:left="11"/>
              <w:spacing w:after="0" w:line="169" w:lineRule="exact"/>
              <w:rPr>
                <w:sz w:val="20"/>
                <w:szCs w:val="20"/>
                <w:color w:val="auto"/>
              </w:rPr>
            </w:pPr>
            <w:r>
              <w:rPr>
                <w:rFonts w:ascii="Calibri" w:cs="Calibri" w:eastAsia="Calibri" w:hAnsi="Calibri"/>
                <w:sz w:val="14"/>
                <w:szCs w:val="14"/>
                <w:color w:val="auto"/>
              </w:rPr>
              <w:t>1.4%</w:t>
            </w:r>
          </w:p>
        </w:tc>
        <w:tc>
          <w:tcPr>
            <w:tcW w:w="0" w:type="dxa"/>
            <w:vAlign w:val="bottom"/>
          </w:tcPr>
          <w:p>
            <w:pPr>
              <w:spacing w:after="0"/>
              <w:rPr>
                <w:sz w:val="1"/>
                <w:szCs w:val="1"/>
                <w:color w:val="auto"/>
              </w:rPr>
            </w:pPr>
          </w:p>
        </w:tc>
      </w:tr>
      <w:tr>
        <w:trPr>
          <w:trHeight w:val="169"/>
        </w:trPr>
        <w:tc>
          <w:tcPr>
            <w:tcW w:w="2840" w:type="dxa"/>
            <w:vAlign w:val="bottom"/>
            <w:tcBorders>
              <w:left w:val="single" w:sz="8" w:color="auto"/>
              <w:right w:val="single" w:sz="8" w:color="auto"/>
            </w:tcBorders>
          </w:tcPr>
          <w:p>
            <w:pPr>
              <w:ind w:left="40"/>
              <w:spacing w:after="0" w:line="169" w:lineRule="exact"/>
              <w:rPr>
                <w:sz w:val="20"/>
                <w:szCs w:val="20"/>
                <w:color w:val="auto"/>
              </w:rPr>
            </w:pPr>
            <w:r>
              <w:rPr>
                <w:rFonts w:ascii="Calibri" w:cs="Calibri" w:eastAsia="Calibri" w:hAnsi="Calibri"/>
                <w:sz w:val="14"/>
                <w:szCs w:val="14"/>
                <w:color w:val="auto"/>
              </w:rPr>
              <w:t>Bolivia</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10,229</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color w:val="auto"/>
              </w:rPr>
              <w:t>6,294</w:t>
            </w:r>
          </w:p>
        </w:tc>
        <w:tc>
          <w:tcPr>
            <w:tcW w:w="80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4,189</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-2,105</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-6,040</w:t>
            </w:r>
          </w:p>
        </w:tc>
        <w:tc>
          <w:tcPr>
            <w:tcW w:w="780" w:type="dxa"/>
            <w:vAlign w:val="bottom"/>
          </w:tcPr>
          <w:p>
            <w:pPr>
              <w:jc w:val="center"/>
              <w:spacing w:after="0" w:line="169" w:lineRule="exact"/>
              <w:rPr>
                <w:sz w:val="20"/>
                <w:szCs w:val="20"/>
                <w:color w:val="auto"/>
              </w:rPr>
            </w:pPr>
            <w:r>
              <w:rPr>
                <w:rFonts w:ascii="Calibri" w:cs="Calibri" w:eastAsia="Calibri" w:hAnsi="Calibri"/>
                <w:sz w:val="14"/>
                <w:szCs w:val="14"/>
                <w:color w:val="auto"/>
              </w:rPr>
              <w:t>-33.4%</w:t>
            </w:r>
          </w:p>
        </w:tc>
        <w:tc>
          <w:tcPr>
            <w:tcW w:w="7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-59.0%</w:t>
            </w:r>
          </w:p>
        </w:tc>
        <w:tc>
          <w:tcPr>
            <w:tcW w:w="680" w:type="dxa"/>
            <w:vAlign w:val="bottom"/>
          </w:tcPr>
          <w:p>
            <w:pPr>
              <w:jc w:val="center"/>
              <w:ind w:left="51"/>
              <w:spacing w:after="0" w:line="169" w:lineRule="exact"/>
              <w:rPr>
                <w:sz w:val="20"/>
                <w:szCs w:val="20"/>
                <w:color w:val="auto"/>
              </w:rPr>
            </w:pPr>
            <w:r>
              <w:rPr>
                <w:rFonts w:ascii="Calibri" w:cs="Calibri" w:eastAsia="Calibri" w:hAnsi="Calibri"/>
                <w:sz w:val="14"/>
                <w:szCs w:val="14"/>
                <w:color w:val="auto"/>
              </w:rPr>
              <w:t>7.0%</w:t>
            </w:r>
          </w:p>
        </w:tc>
        <w:tc>
          <w:tcPr>
            <w:tcW w:w="820" w:type="dxa"/>
            <w:vAlign w:val="bottom"/>
          </w:tcPr>
          <w:p>
            <w:pPr>
              <w:jc w:val="center"/>
              <w:ind w:left="151"/>
              <w:spacing w:after="0" w:line="169" w:lineRule="exact"/>
              <w:rPr>
                <w:sz w:val="20"/>
                <w:szCs w:val="20"/>
                <w:color w:val="auto"/>
              </w:rPr>
            </w:pPr>
            <w:r>
              <w:rPr>
                <w:rFonts w:ascii="Calibri" w:cs="Calibri" w:eastAsia="Calibri" w:hAnsi="Calibri"/>
                <w:sz w:val="14"/>
                <w:szCs w:val="14"/>
                <w:color w:val="auto"/>
              </w:rPr>
              <w:t>4.5%</w:t>
            </w:r>
          </w:p>
        </w:tc>
        <w:tc>
          <w:tcPr>
            <w:tcW w:w="920" w:type="dxa"/>
            <w:vAlign w:val="bottom"/>
            <w:tcBorders>
              <w:right w:val="single" w:sz="8" w:color="auto"/>
            </w:tcBorders>
          </w:tcPr>
          <w:p>
            <w:pPr>
              <w:jc w:val="center"/>
              <w:ind w:left="11"/>
              <w:spacing w:after="0" w:line="169" w:lineRule="exact"/>
              <w:rPr>
                <w:sz w:val="20"/>
                <w:szCs w:val="20"/>
                <w:color w:val="auto"/>
              </w:rPr>
            </w:pPr>
            <w:r>
              <w:rPr>
                <w:rFonts w:ascii="Calibri" w:cs="Calibri" w:eastAsia="Calibri" w:hAnsi="Calibri"/>
                <w:sz w:val="14"/>
                <w:szCs w:val="14"/>
                <w:color w:val="auto"/>
              </w:rPr>
              <w:t>3.0%</w:t>
            </w:r>
          </w:p>
        </w:tc>
        <w:tc>
          <w:tcPr>
            <w:tcW w:w="0" w:type="dxa"/>
            <w:vAlign w:val="bottom"/>
          </w:tcPr>
          <w:p>
            <w:pPr>
              <w:spacing w:after="0"/>
              <w:rPr>
                <w:sz w:val="1"/>
                <w:szCs w:val="1"/>
                <w:color w:val="auto"/>
              </w:rPr>
            </w:pPr>
          </w:p>
        </w:tc>
      </w:tr>
      <w:tr>
        <w:trPr>
          <w:trHeight w:val="169"/>
        </w:trPr>
        <w:tc>
          <w:tcPr>
            <w:tcW w:w="2840" w:type="dxa"/>
            <w:vAlign w:val="bottom"/>
            <w:tcBorders>
              <w:left w:val="single" w:sz="8" w:color="auto"/>
              <w:right w:val="single" w:sz="8" w:color="auto"/>
            </w:tcBorders>
          </w:tcPr>
          <w:p>
            <w:pPr>
              <w:ind w:left="40"/>
              <w:spacing w:after="0" w:line="169" w:lineRule="exact"/>
              <w:rPr>
                <w:sz w:val="20"/>
                <w:szCs w:val="20"/>
                <w:color w:val="auto"/>
              </w:rPr>
            </w:pPr>
            <w:r>
              <w:rPr>
                <w:rFonts w:ascii="Calibri" w:cs="Calibri" w:eastAsia="Calibri" w:hAnsi="Calibri"/>
                <w:sz w:val="14"/>
                <w:szCs w:val="14"/>
                <w:color w:val="auto"/>
              </w:rPr>
              <w:t>ASB Bank Corp.</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w w:val="93"/>
              </w:rPr>
              <w:t>1,953</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color w:val="auto"/>
              </w:rPr>
              <w:t>1,777</w:t>
            </w:r>
          </w:p>
        </w:tc>
        <w:tc>
          <w:tcPr>
            <w:tcW w:w="80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1,559</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color w:val="auto"/>
              </w:rPr>
              <w:t>-218</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3"/>
              </w:rPr>
              <w:t>-394</w:t>
            </w:r>
          </w:p>
        </w:tc>
        <w:tc>
          <w:tcPr>
            <w:tcW w:w="780" w:type="dxa"/>
            <w:vAlign w:val="bottom"/>
          </w:tcPr>
          <w:p>
            <w:pPr>
              <w:jc w:val="center"/>
              <w:spacing w:after="0" w:line="169" w:lineRule="exact"/>
              <w:rPr>
                <w:sz w:val="20"/>
                <w:szCs w:val="20"/>
                <w:color w:val="auto"/>
              </w:rPr>
            </w:pPr>
            <w:r>
              <w:rPr>
                <w:rFonts w:ascii="Calibri" w:cs="Calibri" w:eastAsia="Calibri" w:hAnsi="Calibri"/>
                <w:sz w:val="14"/>
                <w:szCs w:val="14"/>
                <w:color w:val="auto"/>
              </w:rPr>
              <w:t>-12.3%</w:t>
            </w:r>
          </w:p>
        </w:tc>
        <w:tc>
          <w:tcPr>
            <w:tcW w:w="7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-20.2%</w:t>
            </w:r>
          </w:p>
        </w:tc>
        <w:tc>
          <w:tcPr>
            <w:tcW w:w="680" w:type="dxa"/>
            <w:vAlign w:val="bottom"/>
          </w:tcPr>
          <w:p>
            <w:pPr>
              <w:jc w:val="center"/>
              <w:ind w:left="51"/>
              <w:spacing w:after="0" w:line="169" w:lineRule="exact"/>
              <w:rPr>
                <w:sz w:val="20"/>
                <w:szCs w:val="20"/>
                <w:color w:val="auto"/>
              </w:rPr>
            </w:pPr>
            <w:r>
              <w:rPr>
                <w:rFonts w:ascii="Calibri" w:cs="Calibri" w:eastAsia="Calibri" w:hAnsi="Calibri"/>
                <w:sz w:val="14"/>
                <w:szCs w:val="14"/>
                <w:color w:val="auto"/>
              </w:rPr>
              <w:t>1.3%</w:t>
            </w:r>
          </w:p>
        </w:tc>
        <w:tc>
          <w:tcPr>
            <w:tcW w:w="820" w:type="dxa"/>
            <w:vAlign w:val="bottom"/>
          </w:tcPr>
          <w:p>
            <w:pPr>
              <w:jc w:val="center"/>
              <w:ind w:left="151"/>
              <w:spacing w:after="0" w:line="169" w:lineRule="exact"/>
              <w:rPr>
                <w:sz w:val="20"/>
                <w:szCs w:val="20"/>
                <w:color w:val="auto"/>
              </w:rPr>
            </w:pPr>
            <w:r>
              <w:rPr>
                <w:rFonts w:ascii="Calibri" w:cs="Calibri" w:eastAsia="Calibri" w:hAnsi="Calibri"/>
                <w:sz w:val="14"/>
                <w:szCs w:val="14"/>
                <w:color w:val="auto"/>
              </w:rPr>
              <w:t>1.3%</w:t>
            </w:r>
          </w:p>
        </w:tc>
        <w:tc>
          <w:tcPr>
            <w:tcW w:w="920" w:type="dxa"/>
            <w:vAlign w:val="bottom"/>
            <w:tcBorders>
              <w:right w:val="single" w:sz="8" w:color="auto"/>
            </w:tcBorders>
          </w:tcPr>
          <w:p>
            <w:pPr>
              <w:jc w:val="center"/>
              <w:ind w:left="11"/>
              <w:spacing w:after="0" w:line="169" w:lineRule="exact"/>
              <w:rPr>
                <w:sz w:val="20"/>
                <w:szCs w:val="20"/>
                <w:color w:val="auto"/>
              </w:rPr>
            </w:pPr>
            <w:r>
              <w:rPr>
                <w:rFonts w:ascii="Calibri" w:cs="Calibri" w:eastAsia="Calibri" w:hAnsi="Calibri"/>
                <w:sz w:val="14"/>
                <w:szCs w:val="14"/>
                <w:color w:val="auto"/>
              </w:rPr>
              <w:t>1.1%</w:t>
            </w:r>
          </w:p>
        </w:tc>
        <w:tc>
          <w:tcPr>
            <w:tcW w:w="0" w:type="dxa"/>
            <w:vAlign w:val="bottom"/>
          </w:tcPr>
          <w:p>
            <w:pPr>
              <w:spacing w:after="0"/>
              <w:rPr>
                <w:sz w:val="1"/>
                <w:szCs w:val="1"/>
                <w:color w:val="auto"/>
              </w:rPr>
            </w:pPr>
          </w:p>
        </w:tc>
      </w:tr>
      <w:tr>
        <w:trPr>
          <w:trHeight w:val="200"/>
        </w:trPr>
        <w:tc>
          <w:tcPr>
            <w:tcW w:w="2840" w:type="dxa"/>
            <w:vAlign w:val="bottom"/>
            <w:tcBorders>
              <w:left w:val="single" w:sz="8" w:color="auto"/>
              <w:bottom w:val="single" w:sz="8" w:color="auto"/>
              <w:right w:val="single" w:sz="8" w:color="auto"/>
            </w:tcBorders>
          </w:tcPr>
          <w:p>
            <w:pPr>
              <w:ind w:left="40"/>
              <w:spacing w:after="0" w:line="200" w:lineRule="exact"/>
              <w:rPr>
                <w:sz w:val="20"/>
                <w:szCs w:val="20"/>
                <w:color w:val="auto"/>
              </w:rPr>
            </w:pPr>
            <w:r>
              <w:rPr>
                <w:rFonts w:ascii="Calibri" w:cs="Calibri" w:eastAsia="Calibri" w:hAnsi="Calibri"/>
                <w:sz w:val="13"/>
                <w:szCs w:val="13"/>
                <w:color w:val="auto"/>
              </w:rPr>
              <w:t xml:space="preserve">Others </w:t>
            </w:r>
            <w:r>
              <w:rPr>
                <w:rFonts w:ascii="Calibri" w:cs="Calibri" w:eastAsia="Calibri" w:hAnsi="Calibri"/>
                <w:sz w:val="21"/>
                <w:szCs w:val="21"/>
                <w:color w:val="auto"/>
                <w:vertAlign w:val="superscript"/>
              </w:rPr>
              <w:t>(1)</w:t>
            </w:r>
          </w:p>
        </w:tc>
        <w:tc>
          <w:tcPr>
            <w:tcW w:w="76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-754</w:t>
            </w:r>
          </w:p>
        </w:tc>
        <w:tc>
          <w:tcPr>
            <w:tcW w:w="82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3"/>
              </w:rPr>
              <w:t>-682</w:t>
            </w:r>
          </w:p>
        </w:tc>
        <w:tc>
          <w:tcPr>
            <w:tcW w:w="80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-546</w:t>
            </w:r>
          </w:p>
        </w:tc>
        <w:tc>
          <w:tcPr>
            <w:tcW w:w="106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3"/>
              </w:rPr>
              <w:t>135</w:t>
            </w:r>
          </w:p>
        </w:tc>
        <w:tc>
          <w:tcPr>
            <w:tcW w:w="102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3"/>
              </w:rPr>
              <w:t>207</w:t>
            </w:r>
          </w:p>
        </w:tc>
        <w:tc>
          <w:tcPr>
            <w:tcW w:w="7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-19.9%</w:t>
            </w:r>
          </w:p>
        </w:tc>
        <w:tc>
          <w:tcPr>
            <w:tcW w:w="76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-27.5%</w:t>
            </w:r>
          </w:p>
        </w:tc>
        <w:tc>
          <w:tcPr>
            <w:tcW w:w="680" w:type="dxa"/>
            <w:vAlign w:val="bottom"/>
            <w:tcBorders>
              <w:bottom w:val="single" w:sz="8" w:color="auto"/>
            </w:tcBorders>
          </w:tcPr>
          <w:p>
            <w:pPr>
              <w:jc w:val="center"/>
              <w:ind w:left="51"/>
              <w:spacing w:after="0" w:line="169" w:lineRule="exact"/>
              <w:rPr>
                <w:sz w:val="20"/>
                <w:szCs w:val="20"/>
                <w:color w:val="auto"/>
              </w:rPr>
            </w:pPr>
            <w:r>
              <w:rPr>
                <w:rFonts w:ascii="Calibri" w:cs="Calibri" w:eastAsia="Calibri" w:hAnsi="Calibri"/>
                <w:sz w:val="14"/>
                <w:szCs w:val="14"/>
                <w:color w:val="auto"/>
                <w:w w:val="99"/>
              </w:rPr>
              <w:t>-0.5%</w:t>
            </w:r>
          </w:p>
        </w:tc>
        <w:tc>
          <w:tcPr>
            <w:tcW w:w="820" w:type="dxa"/>
            <w:vAlign w:val="bottom"/>
            <w:tcBorders>
              <w:bottom w:val="single" w:sz="8" w:color="auto"/>
            </w:tcBorders>
          </w:tcPr>
          <w:p>
            <w:pPr>
              <w:jc w:val="center"/>
              <w:ind w:left="151"/>
              <w:spacing w:after="0" w:line="169" w:lineRule="exact"/>
              <w:rPr>
                <w:sz w:val="20"/>
                <w:szCs w:val="20"/>
                <w:color w:val="auto"/>
              </w:rPr>
            </w:pPr>
            <w:r>
              <w:rPr>
                <w:rFonts w:ascii="Calibri" w:cs="Calibri" w:eastAsia="Calibri" w:hAnsi="Calibri"/>
                <w:sz w:val="14"/>
                <w:szCs w:val="14"/>
                <w:color w:val="auto"/>
                <w:w w:val="99"/>
              </w:rPr>
              <w:t>-0.5%</w:t>
            </w:r>
          </w:p>
        </w:tc>
        <w:tc>
          <w:tcPr>
            <w:tcW w:w="920" w:type="dxa"/>
            <w:vAlign w:val="bottom"/>
            <w:tcBorders>
              <w:bottom w:val="single" w:sz="8" w:color="auto"/>
              <w:right w:val="single" w:sz="8" w:color="auto"/>
            </w:tcBorders>
          </w:tcPr>
          <w:p>
            <w:pPr>
              <w:jc w:val="center"/>
              <w:ind w:left="11"/>
              <w:spacing w:after="0" w:line="169" w:lineRule="exact"/>
              <w:rPr>
                <w:sz w:val="20"/>
                <w:szCs w:val="20"/>
                <w:color w:val="auto"/>
              </w:rPr>
            </w:pPr>
            <w:r>
              <w:rPr>
                <w:rFonts w:ascii="Calibri" w:cs="Calibri" w:eastAsia="Calibri" w:hAnsi="Calibri"/>
                <w:sz w:val="14"/>
                <w:szCs w:val="14"/>
                <w:color w:val="auto"/>
                <w:w w:val="99"/>
              </w:rPr>
              <w:t>-0.4%</w:t>
            </w:r>
          </w:p>
        </w:tc>
        <w:tc>
          <w:tcPr>
            <w:tcW w:w="0" w:type="dxa"/>
            <w:vAlign w:val="bottom"/>
          </w:tcPr>
          <w:p>
            <w:pPr>
              <w:spacing w:after="0"/>
              <w:rPr>
                <w:sz w:val="1"/>
                <w:szCs w:val="1"/>
                <w:color w:val="auto"/>
              </w:rPr>
            </w:pPr>
          </w:p>
        </w:tc>
      </w:tr>
      <w:tr>
        <w:trPr>
          <w:trHeight w:val="159"/>
        </w:trPr>
        <w:tc>
          <w:tcPr>
            <w:tcW w:w="2840" w:type="dxa"/>
            <w:vAlign w:val="bottom"/>
            <w:tcBorders>
              <w:left w:val="single" w:sz="8" w:color="auto"/>
              <w:right w:val="single" w:sz="8" w:color="auto"/>
            </w:tcBorders>
          </w:tcPr>
          <w:p>
            <w:pPr>
              <w:ind w:left="40"/>
              <w:spacing w:after="0" w:line="159" w:lineRule="exact"/>
              <w:rPr>
                <w:sz w:val="20"/>
                <w:szCs w:val="20"/>
                <w:color w:val="auto"/>
              </w:rPr>
            </w:pPr>
            <w:r>
              <w:rPr>
                <w:rFonts w:ascii="Calibri" w:cs="Calibri" w:eastAsia="Calibri" w:hAnsi="Calibri"/>
                <w:sz w:val="14"/>
                <w:szCs w:val="14"/>
                <w:b w:val="1"/>
                <w:bCs w:val="1"/>
                <w:color w:val="auto"/>
              </w:rPr>
              <w:t>Total Loans BAP</w:t>
            </w:r>
          </w:p>
        </w:tc>
        <w:tc>
          <w:tcPr>
            <w:tcW w:w="7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w w:val="99"/>
              </w:rPr>
              <w:t>146,947</w:t>
            </w:r>
          </w:p>
        </w:tc>
        <w:tc>
          <w:tcPr>
            <w:tcW w:w="82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w w:val="99"/>
              </w:rPr>
              <w:t>141,197</w:t>
            </w:r>
          </w:p>
        </w:tc>
        <w:tc>
          <w:tcPr>
            <w:tcW w:w="800" w:type="dxa"/>
            <w:vAlign w:val="bottom"/>
            <w:tcBorders>
              <w:right w:val="single" w:sz="8" w:color="auto"/>
            </w:tcBorders>
          </w:tcPr>
          <w:p>
            <w:pPr>
              <w:jc w:val="center"/>
              <w:spacing w:after="0" w:line="159" w:lineRule="exact"/>
              <w:rPr>
                <w:sz w:val="20"/>
                <w:szCs w:val="20"/>
                <w:color w:val="auto"/>
              </w:rPr>
            </w:pPr>
            <w:r>
              <w:rPr>
                <w:rFonts w:ascii="Calibri" w:cs="Calibri" w:eastAsia="Calibri" w:hAnsi="Calibri"/>
                <w:sz w:val="14"/>
                <w:szCs w:val="14"/>
                <w:b w:val="1"/>
                <w:bCs w:val="1"/>
                <w:color w:val="auto"/>
                <w:w w:val="99"/>
              </w:rPr>
              <w:t>140,962</w:t>
            </w:r>
          </w:p>
        </w:tc>
        <w:tc>
          <w:tcPr>
            <w:tcW w:w="10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-235</w:t>
            </w:r>
          </w:p>
        </w:tc>
        <w:tc>
          <w:tcPr>
            <w:tcW w:w="1020" w:type="dxa"/>
            <w:vAlign w:val="bottom"/>
            <w:tcBorders>
              <w:right w:val="single" w:sz="8" w:color="auto"/>
            </w:tcBorders>
          </w:tcPr>
          <w:p>
            <w:pPr>
              <w:jc w:val="center"/>
              <w:spacing w:after="0" w:line="159" w:lineRule="exact"/>
              <w:rPr>
                <w:sz w:val="20"/>
                <w:szCs w:val="20"/>
                <w:color w:val="auto"/>
              </w:rPr>
            </w:pPr>
            <w:r>
              <w:rPr>
                <w:rFonts w:ascii="Calibri" w:cs="Calibri" w:eastAsia="Calibri" w:hAnsi="Calibri"/>
                <w:sz w:val="14"/>
                <w:szCs w:val="14"/>
                <w:b w:val="1"/>
                <w:bCs w:val="1"/>
                <w:color w:val="auto"/>
                <w:w w:val="99"/>
              </w:rPr>
              <w:t>-5,985</w:t>
            </w:r>
          </w:p>
        </w:tc>
        <w:tc>
          <w:tcPr>
            <w:tcW w:w="7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w w:val="98"/>
              </w:rPr>
              <w:t>-0.2%</w:t>
            </w:r>
          </w:p>
        </w:tc>
        <w:tc>
          <w:tcPr>
            <w:tcW w:w="760" w:type="dxa"/>
            <w:vAlign w:val="bottom"/>
            <w:tcBorders>
              <w:right w:val="single" w:sz="8" w:color="auto"/>
            </w:tcBorders>
          </w:tcPr>
          <w:p>
            <w:pPr>
              <w:jc w:val="center"/>
              <w:spacing w:after="0" w:line="159" w:lineRule="exact"/>
              <w:rPr>
                <w:sz w:val="20"/>
                <w:szCs w:val="20"/>
                <w:color w:val="auto"/>
              </w:rPr>
            </w:pPr>
            <w:r>
              <w:rPr>
                <w:rFonts w:ascii="Calibri" w:cs="Calibri" w:eastAsia="Calibri" w:hAnsi="Calibri"/>
                <w:sz w:val="14"/>
                <w:szCs w:val="14"/>
                <w:b w:val="1"/>
                <w:bCs w:val="1"/>
                <w:color w:val="auto"/>
                <w:w w:val="98"/>
              </w:rPr>
              <w:t>-4.1%</w:t>
            </w:r>
          </w:p>
        </w:tc>
        <w:tc>
          <w:tcPr>
            <w:tcW w:w="680" w:type="dxa"/>
            <w:vAlign w:val="bottom"/>
          </w:tcPr>
          <w:p>
            <w:pPr>
              <w:jc w:val="center"/>
              <w:ind w:left="71"/>
              <w:spacing w:after="0" w:line="159" w:lineRule="exact"/>
              <w:rPr>
                <w:sz w:val="20"/>
                <w:szCs w:val="20"/>
                <w:color w:val="auto"/>
              </w:rPr>
            </w:pPr>
            <w:r>
              <w:rPr>
                <w:rFonts w:ascii="Calibri" w:cs="Calibri" w:eastAsia="Calibri" w:hAnsi="Calibri"/>
                <w:sz w:val="14"/>
                <w:szCs w:val="14"/>
                <w:b w:val="1"/>
                <w:bCs w:val="1"/>
                <w:color w:val="auto"/>
                <w:w w:val="99"/>
              </w:rPr>
              <w:t>100.0%</w:t>
            </w:r>
          </w:p>
        </w:tc>
        <w:tc>
          <w:tcPr>
            <w:tcW w:w="820" w:type="dxa"/>
            <w:vAlign w:val="bottom"/>
          </w:tcPr>
          <w:p>
            <w:pPr>
              <w:jc w:val="center"/>
              <w:ind w:left="131"/>
              <w:spacing w:after="0" w:line="159" w:lineRule="exact"/>
              <w:rPr>
                <w:sz w:val="20"/>
                <w:szCs w:val="20"/>
                <w:color w:val="auto"/>
              </w:rPr>
            </w:pPr>
            <w:r>
              <w:rPr>
                <w:rFonts w:ascii="Calibri" w:cs="Calibri" w:eastAsia="Calibri" w:hAnsi="Calibri"/>
                <w:sz w:val="14"/>
                <w:szCs w:val="14"/>
                <w:b w:val="1"/>
                <w:bCs w:val="1"/>
                <w:color w:val="auto"/>
                <w:w w:val="99"/>
              </w:rPr>
              <w:t>100.0%</w:t>
            </w:r>
          </w:p>
        </w:tc>
        <w:tc>
          <w:tcPr>
            <w:tcW w:w="920" w:type="dxa"/>
            <w:vAlign w:val="bottom"/>
            <w:tcBorders>
              <w:right w:val="single" w:sz="8" w:color="auto"/>
            </w:tcBorders>
          </w:tcPr>
          <w:p>
            <w:pPr>
              <w:jc w:val="center"/>
              <w:ind w:left="31"/>
              <w:spacing w:after="0" w:line="159" w:lineRule="exact"/>
              <w:rPr>
                <w:sz w:val="20"/>
                <w:szCs w:val="20"/>
                <w:color w:val="auto"/>
              </w:rPr>
            </w:pPr>
            <w:r>
              <w:rPr>
                <w:rFonts w:ascii="Calibri" w:cs="Calibri" w:eastAsia="Calibri" w:hAnsi="Calibri"/>
                <w:sz w:val="14"/>
                <w:szCs w:val="14"/>
                <w:b w:val="1"/>
                <w:bCs w:val="1"/>
                <w:color w:val="auto"/>
                <w:w w:val="99"/>
              </w:rPr>
              <w:t>100.0%</w:t>
            </w:r>
          </w:p>
        </w:tc>
        <w:tc>
          <w:tcPr>
            <w:tcW w:w="0" w:type="dxa"/>
            <w:vAlign w:val="bottom"/>
          </w:tcPr>
          <w:p>
            <w:pPr>
              <w:spacing w:after="0"/>
              <w:rPr>
                <w:sz w:val="1"/>
                <w:szCs w:val="1"/>
                <w:color w:val="auto"/>
              </w:rPr>
            </w:pPr>
          </w:p>
        </w:tc>
      </w:tr>
      <w:tr>
        <w:trPr>
          <w:trHeight w:val="29"/>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Calibri" w:cs="Calibri" w:eastAsia="Calibri" w:hAnsi="Calibri"/>
          <w:sz w:val="11"/>
          <w:szCs w:val="11"/>
          <w:color w:val="auto"/>
        </w:rPr>
        <w:t>For consolidaton purposes, loans generated in Foreign Currency (FC) are converted into Local Currency (LC).</w:t>
      </w:r>
    </w:p>
    <w:p>
      <w:pPr>
        <w:spacing w:after="0" w:line="232" w:lineRule="auto"/>
        <w:rPr>
          <w:sz w:val="20"/>
          <w:szCs w:val="20"/>
          <w:color w:val="auto"/>
        </w:rPr>
      </w:pPr>
      <w:r>
        <w:rPr>
          <w:rFonts w:ascii="Calibri" w:cs="Calibri" w:eastAsia="Calibri" w:hAnsi="Calibri"/>
          <w:sz w:val="11"/>
          <w:szCs w:val="11"/>
          <w:color w:val="auto"/>
        </w:rPr>
        <w:t>(1) Includes eliminatons for intercompany transactons.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849630</wp:posOffset>
            </wp:positionV>
            <wp:extent cx="713740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139700</wp:posOffset>
            </wp:positionV>
            <wp:extent cx="6509385" cy="5702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09385" cy="57023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8" w:name="page19"/>
    <w:bookmarkEnd w:id="18"/>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01. Loan Portolio</w:t>
      </w:r>
    </w:p>
    <w:p>
      <w:pPr>
        <w:spacing w:after="0" w:line="264"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Next, we will analyze the dynamics by segment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w:t>
      </w:r>
    </w:p>
    <w:p>
      <w:pPr>
        <w:spacing w:after="0" w:line="209" w:lineRule="exact"/>
        <w:rPr>
          <w:sz w:val="20"/>
          <w:szCs w:val="20"/>
          <w:color w:val="auto"/>
        </w:rPr>
      </w:pPr>
    </w:p>
    <w:p>
      <w:pPr>
        <w:jc w:val="center"/>
        <w:ind w:right="240"/>
        <w:spacing w:after="0"/>
        <w:rPr>
          <w:sz w:val="20"/>
          <w:szCs w:val="20"/>
          <w:color w:val="auto"/>
        </w:rPr>
      </w:pPr>
      <w:r>
        <w:rPr>
          <w:rFonts w:ascii="Calibri" w:cs="Calibri" w:eastAsia="Calibri" w:hAnsi="Calibri"/>
          <w:sz w:val="17"/>
          <w:szCs w:val="17"/>
          <w:b w:val="1"/>
          <w:bCs w:val="1"/>
          <w:color w:val="auto"/>
        </w:rPr>
        <w:t>Total Loans by BCP Segment (in Quarter-end Balances)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33"/>
        </w:trPr>
        <w:tc>
          <w:tcPr>
            <w:tcW w:w="19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Total Loans</w:t>
            </w:r>
          </w:p>
        </w:tc>
        <w:tc>
          <w:tcPr>
            <w:tcW w:w="90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FFFFFF"/>
              </w:rPr>
              <w:t>As of</w:t>
            </w:r>
          </w:p>
        </w:tc>
        <w:tc>
          <w:tcPr>
            <w:tcW w:w="940" w:type="dxa"/>
            <w:vAlign w:val="bottom"/>
            <w:tcBorders>
              <w:top w:val="single" w:sz="8" w:color="auto"/>
            </w:tcBorders>
            <w:shd w:val="clear" w:color="auto" w:fill="33CCCC"/>
          </w:tcPr>
          <w:p>
            <w:pPr>
              <w:spacing w:after="0"/>
              <w:rPr>
                <w:sz w:val="24"/>
                <w:szCs w:val="24"/>
                <w:color w:val="auto"/>
              </w:rPr>
            </w:pPr>
          </w:p>
        </w:tc>
        <w:tc>
          <w:tcPr>
            <w:tcW w:w="960" w:type="dxa"/>
            <w:vAlign w:val="bottom"/>
            <w:tcBorders>
              <w:top w:val="single" w:sz="8" w:color="auto"/>
              <w:right w:val="single" w:sz="8" w:color="auto"/>
            </w:tcBorders>
            <w:shd w:val="clear" w:color="auto" w:fill="33CCCC"/>
          </w:tcPr>
          <w:p>
            <w:pPr>
              <w:spacing w:after="0"/>
              <w:rPr>
                <w:sz w:val="24"/>
                <w:szCs w:val="24"/>
                <w:color w:val="auto"/>
              </w:rPr>
            </w:pPr>
          </w:p>
        </w:tc>
        <w:tc>
          <w:tcPr>
            <w:tcW w:w="1860" w:type="dxa"/>
            <w:vAlign w:val="bottom"/>
            <w:tcBorders>
              <w:top w:val="single" w:sz="8" w:color="auto"/>
              <w:right w:val="single" w:sz="8" w:color="auto"/>
            </w:tcBorders>
            <w:gridSpan w:val="2"/>
            <w:shd w:val="clear" w:color="auto" w:fill="33CCCC"/>
          </w:tcPr>
          <w:p>
            <w:pPr>
              <w:ind w:left="480"/>
              <w:spacing w:after="0"/>
              <w:rPr>
                <w:sz w:val="20"/>
                <w:szCs w:val="20"/>
                <w:color w:val="auto"/>
              </w:rPr>
            </w:pPr>
            <w:r>
              <w:rPr>
                <w:rFonts w:ascii="Calibri" w:cs="Calibri" w:eastAsia="Calibri" w:hAnsi="Calibri"/>
                <w:sz w:val="14"/>
                <w:szCs w:val="14"/>
                <w:b w:val="1"/>
                <w:bCs w:val="1"/>
                <w:color w:val="FFFFFF"/>
              </w:rPr>
              <w:t>Volume change</w:t>
            </w:r>
          </w:p>
        </w:tc>
        <w:tc>
          <w:tcPr>
            <w:tcW w:w="9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FFFFFF"/>
                <w:w w:val="98"/>
              </w:rPr>
              <w:t>% change</w:t>
            </w:r>
          </w:p>
        </w:tc>
        <w:tc>
          <w:tcPr>
            <w:tcW w:w="900" w:type="dxa"/>
            <w:vAlign w:val="bottom"/>
            <w:tcBorders>
              <w:top w:val="single" w:sz="8" w:color="auto"/>
              <w:right w:val="single" w:sz="8" w:color="auto"/>
            </w:tcBorders>
            <w:shd w:val="clear" w:color="auto" w:fill="33CCCC"/>
          </w:tcPr>
          <w:p>
            <w:pPr>
              <w:spacing w:after="0"/>
              <w:rPr>
                <w:sz w:val="24"/>
                <w:szCs w:val="24"/>
                <w:color w:val="auto"/>
              </w:rPr>
            </w:pPr>
          </w:p>
        </w:tc>
        <w:tc>
          <w:tcPr>
            <w:tcW w:w="1720" w:type="dxa"/>
            <w:vAlign w:val="bottom"/>
            <w:tcBorders>
              <w:top w:val="single" w:sz="8" w:color="auto"/>
            </w:tcBorders>
            <w:gridSpan w:val="2"/>
            <w:shd w:val="clear" w:color="auto" w:fill="33CCCC"/>
          </w:tcPr>
          <w:p>
            <w:pPr>
              <w:ind w:left="460"/>
              <w:spacing w:after="0"/>
              <w:rPr>
                <w:sz w:val="20"/>
                <w:szCs w:val="20"/>
                <w:color w:val="auto"/>
              </w:rPr>
            </w:pPr>
            <w:r>
              <w:rPr>
                <w:rFonts w:ascii="Calibri" w:cs="Calibri" w:eastAsia="Calibri" w:hAnsi="Calibri"/>
                <w:sz w:val="14"/>
                <w:szCs w:val="14"/>
                <w:b w:val="1"/>
                <w:bCs w:val="1"/>
                <w:color w:val="FFFFFF"/>
              </w:rPr>
              <w:t>% Part. in total</w:t>
            </w:r>
          </w:p>
        </w:tc>
        <w:tc>
          <w:tcPr>
            <w:tcW w:w="1080" w:type="dxa"/>
            <w:vAlign w:val="bottom"/>
            <w:tcBorders>
              <w:top w:val="single" w:sz="8" w:color="auto"/>
              <w:right w:val="single" w:sz="8" w:color="646464"/>
            </w:tcBorders>
            <w:shd w:val="clear" w:color="auto" w:fill="33CCCC"/>
          </w:tcPr>
          <w:p>
            <w:pPr>
              <w:ind w:left="140"/>
              <w:spacing w:after="0"/>
              <w:rPr>
                <w:sz w:val="20"/>
                <w:szCs w:val="20"/>
                <w:color w:val="auto"/>
              </w:rPr>
            </w:pPr>
            <w:r>
              <w:rPr>
                <w:rFonts w:ascii="Calibri" w:cs="Calibri" w:eastAsia="Calibri" w:hAnsi="Calibri"/>
                <w:sz w:val="14"/>
                <w:szCs w:val="14"/>
                <w:b w:val="1"/>
                <w:bCs w:val="1"/>
                <w:color w:val="FFFFFF"/>
              </w:rPr>
              <w:t>loans</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shd w:val="clear" w:color="auto" w:fill="33CCCC"/>
          </w:tcPr>
          <w:p>
            <w:pPr>
              <w:ind w:left="20"/>
              <w:spacing w:after="0" w:line="169" w:lineRule="exact"/>
              <w:rPr>
                <w:sz w:val="20"/>
                <w:szCs w:val="20"/>
                <w:color w:val="auto"/>
              </w:rPr>
            </w:pPr>
            <w:r>
              <w:rPr>
                <w:rFonts w:ascii="Calibri" w:cs="Calibri" w:eastAsia="Calibri" w:hAnsi="Calibri"/>
                <w:sz w:val="14"/>
                <w:szCs w:val="14"/>
                <w:color w:val="FFFFFF"/>
              </w:rPr>
              <w:t>(S/ Millions)</w:t>
            </w:r>
          </w:p>
        </w:tc>
        <w:tc>
          <w:tcPr>
            <w:tcW w:w="900" w:type="dxa"/>
            <w:vAlign w:val="bottom"/>
            <w:vMerge w:val="restart"/>
            <w:shd w:val="clear" w:color="auto" w:fill="33CCCC"/>
          </w:tcPr>
          <w:p>
            <w:pPr>
              <w:jc w:val="center"/>
              <w:spacing w:after="0"/>
              <w:rPr>
                <w:sz w:val="20"/>
                <w:szCs w:val="20"/>
                <w:color w:val="auto"/>
              </w:rPr>
            </w:pPr>
            <w:r>
              <w:rPr>
                <w:rFonts w:ascii="Calibri" w:cs="Calibri" w:eastAsia="Calibri" w:hAnsi="Calibri"/>
                <w:sz w:val="14"/>
                <w:szCs w:val="14"/>
                <w:b w:val="1"/>
                <w:bCs w:val="1"/>
                <w:color w:val="FFFFFF"/>
                <w:w w:val="97"/>
              </w:rPr>
              <w:t>Jun 24</w:t>
            </w:r>
          </w:p>
        </w:tc>
        <w:tc>
          <w:tcPr>
            <w:tcW w:w="940" w:type="dxa"/>
            <w:vAlign w:val="bottom"/>
            <w:vMerge w:val="restart"/>
            <w:shd w:val="clear" w:color="auto" w:fill="33CCCC"/>
          </w:tcPr>
          <w:p>
            <w:pPr>
              <w:ind w:left="260"/>
              <w:spacing w:after="0"/>
              <w:rPr>
                <w:sz w:val="20"/>
                <w:szCs w:val="20"/>
                <w:color w:val="auto"/>
              </w:rPr>
            </w:pPr>
            <w:r>
              <w:rPr>
                <w:rFonts w:ascii="Calibri" w:cs="Calibri" w:eastAsia="Calibri" w:hAnsi="Calibri"/>
                <w:sz w:val="14"/>
                <w:szCs w:val="14"/>
                <w:b w:val="1"/>
                <w:bCs w:val="1"/>
                <w:color w:val="FFFFFF"/>
              </w:rPr>
              <w:t>Mar 25</w:t>
            </w:r>
          </w:p>
        </w:tc>
        <w:tc>
          <w:tcPr>
            <w:tcW w:w="960" w:type="dxa"/>
            <w:vAlign w:val="bottom"/>
            <w:tcBorders>
              <w:right w:val="single" w:sz="8" w:color="auto"/>
            </w:tcBorders>
            <w:vMerge w:val="restart"/>
            <w:shd w:val="clear" w:color="auto" w:fill="33CCCC"/>
          </w:tcPr>
          <w:p>
            <w:pPr>
              <w:ind w:left="280"/>
              <w:spacing w:after="0"/>
              <w:rPr>
                <w:sz w:val="20"/>
                <w:szCs w:val="20"/>
                <w:color w:val="auto"/>
              </w:rPr>
            </w:pPr>
            <w:r>
              <w:rPr>
                <w:rFonts w:ascii="Calibri" w:cs="Calibri" w:eastAsia="Calibri" w:hAnsi="Calibri"/>
                <w:sz w:val="14"/>
                <w:szCs w:val="14"/>
                <w:b w:val="1"/>
                <w:bCs w:val="1"/>
                <w:color w:val="FFFFFF"/>
              </w:rPr>
              <w:t>Jun 25</w:t>
            </w:r>
          </w:p>
        </w:tc>
        <w:tc>
          <w:tcPr>
            <w:tcW w:w="920" w:type="dxa"/>
            <w:vAlign w:val="bottom"/>
            <w:vMerge w:val="restart"/>
            <w:shd w:val="clear" w:color="auto" w:fill="33CCCC"/>
          </w:tcPr>
          <w:p>
            <w:pPr>
              <w:ind w:left="320"/>
              <w:spacing w:after="0"/>
              <w:rPr>
                <w:sz w:val="20"/>
                <w:szCs w:val="20"/>
                <w:color w:val="auto"/>
              </w:rPr>
            </w:pPr>
            <w:r>
              <w:rPr>
                <w:rFonts w:ascii="Calibri" w:cs="Calibri" w:eastAsia="Calibri" w:hAnsi="Calibri"/>
                <w:sz w:val="14"/>
                <w:szCs w:val="14"/>
                <w:b w:val="1"/>
                <w:bCs w:val="1"/>
                <w:color w:val="FFFFFF"/>
              </w:rPr>
              <w:t>QoQ</w:t>
            </w:r>
          </w:p>
        </w:tc>
        <w:tc>
          <w:tcPr>
            <w:tcW w:w="940" w:type="dxa"/>
            <w:vAlign w:val="bottom"/>
            <w:tcBorders>
              <w:right w:val="single" w:sz="8" w:color="auto"/>
            </w:tcBorders>
            <w:vMerge w:val="restart"/>
            <w:shd w:val="clear" w:color="auto" w:fill="33CCCC"/>
          </w:tcPr>
          <w:p>
            <w:pPr>
              <w:ind w:left="360"/>
              <w:spacing w:after="0"/>
              <w:rPr>
                <w:sz w:val="20"/>
                <w:szCs w:val="20"/>
                <w:color w:val="auto"/>
              </w:rPr>
            </w:pPr>
            <w:r>
              <w:rPr>
                <w:rFonts w:ascii="Calibri" w:cs="Calibri" w:eastAsia="Calibri" w:hAnsi="Calibri"/>
                <w:sz w:val="14"/>
                <w:szCs w:val="14"/>
                <w:b w:val="1"/>
                <w:bCs w:val="1"/>
                <w:color w:val="FFFFFF"/>
              </w:rPr>
              <w:t>YoY</w:t>
            </w:r>
          </w:p>
        </w:tc>
        <w:tc>
          <w:tcPr>
            <w:tcW w:w="980" w:type="dxa"/>
            <w:vAlign w:val="bottom"/>
            <w:vMerge w:val="restart"/>
            <w:shd w:val="clear" w:color="auto" w:fill="33CCCC"/>
          </w:tcPr>
          <w:p>
            <w:pPr>
              <w:jc w:val="center"/>
              <w:spacing w:after="0"/>
              <w:rPr>
                <w:sz w:val="20"/>
                <w:szCs w:val="20"/>
                <w:color w:val="auto"/>
              </w:rPr>
            </w:pPr>
            <w:r>
              <w:rPr>
                <w:rFonts w:ascii="Calibri" w:cs="Calibri" w:eastAsia="Calibri" w:hAnsi="Calibri"/>
                <w:sz w:val="14"/>
                <w:szCs w:val="14"/>
                <w:b w:val="1"/>
                <w:bCs w:val="1"/>
                <w:color w:val="FFFFFF"/>
                <w:w w:val="97"/>
              </w:rPr>
              <w:t>QoQ</w:t>
            </w:r>
          </w:p>
        </w:tc>
        <w:tc>
          <w:tcPr>
            <w:tcW w:w="900" w:type="dxa"/>
            <w:vAlign w:val="bottom"/>
            <w:tcBorders>
              <w:right w:val="single" w:sz="8" w:color="auto"/>
            </w:tcBorders>
            <w:vMerge w:val="restart"/>
            <w:shd w:val="clear" w:color="auto" w:fill="33CCCC"/>
          </w:tcPr>
          <w:p>
            <w:pPr>
              <w:ind w:left="300"/>
              <w:spacing w:after="0"/>
              <w:rPr>
                <w:sz w:val="20"/>
                <w:szCs w:val="20"/>
                <w:color w:val="auto"/>
              </w:rPr>
            </w:pPr>
            <w:r>
              <w:rPr>
                <w:rFonts w:ascii="Calibri" w:cs="Calibri" w:eastAsia="Calibri" w:hAnsi="Calibri"/>
                <w:sz w:val="14"/>
                <w:szCs w:val="14"/>
                <w:b w:val="1"/>
                <w:bCs w:val="1"/>
                <w:color w:val="FFFFFF"/>
              </w:rPr>
              <w:t>YoY</w:t>
            </w:r>
          </w:p>
        </w:tc>
        <w:tc>
          <w:tcPr>
            <w:tcW w:w="920" w:type="dxa"/>
            <w:vAlign w:val="bottom"/>
            <w:vMerge w:val="restart"/>
            <w:shd w:val="clear" w:color="auto" w:fill="33CCCC"/>
          </w:tcPr>
          <w:p>
            <w:pPr>
              <w:ind w:left="280"/>
              <w:spacing w:after="0"/>
              <w:rPr>
                <w:sz w:val="20"/>
                <w:szCs w:val="20"/>
                <w:color w:val="auto"/>
              </w:rPr>
            </w:pPr>
            <w:r>
              <w:rPr>
                <w:rFonts w:ascii="Calibri" w:cs="Calibri" w:eastAsia="Calibri" w:hAnsi="Calibri"/>
                <w:sz w:val="14"/>
                <w:szCs w:val="14"/>
                <w:b w:val="1"/>
                <w:bCs w:val="1"/>
                <w:color w:val="FFFFFF"/>
              </w:rPr>
              <w:t>Jun 24</w:t>
            </w:r>
          </w:p>
        </w:tc>
        <w:tc>
          <w:tcPr>
            <w:tcW w:w="800" w:type="dxa"/>
            <w:vAlign w:val="bottom"/>
            <w:vMerge w:val="restart"/>
            <w:shd w:val="clear" w:color="auto" w:fill="33CCCC"/>
          </w:tcPr>
          <w:p>
            <w:pPr>
              <w:ind w:left="260"/>
              <w:spacing w:after="0"/>
              <w:rPr>
                <w:sz w:val="20"/>
                <w:szCs w:val="20"/>
                <w:color w:val="auto"/>
              </w:rPr>
            </w:pPr>
            <w:r>
              <w:rPr>
                <w:rFonts w:ascii="Calibri" w:cs="Calibri" w:eastAsia="Calibri" w:hAnsi="Calibri"/>
                <w:sz w:val="14"/>
                <w:szCs w:val="14"/>
                <w:b w:val="1"/>
                <w:bCs w:val="1"/>
                <w:color w:val="FFFFFF"/>
              </w:rPr>
              <w:t>Mar 25</w:t>
            </w:r>
          </w:p>
        </w:tc>
        <w:tc>
          <w:tcPr>
            <w:tcW w:w="1080" w:type="dxa"/>
            <w:vAlign w:val="bottom"/>
            <w:tcBorders>
              <w:right w:val="single" w:sz="8" w:color="646464"/>
            </w:tcBorders>
            <w:vMerge w:val="restart"/>
            <w:shd w:val="clear" w:color="auto" w:fill="33CCCC"/>
          </w:tcPr>
          <w:p>
            <w:pPr>
              <w:ind w:left="420"/>
              <w:spacing w:after="0"/>
              <w:rPr>
                <w:sz w:val="20"/>
                <w:szCs w:val="20"/>
                <w:color w:val="auto"/>
              </w:rPr>
            </w:pPr>
            <w:r>
              <w:rPr>
                <w:rFonts w:ascii="Calibri" w:cs="Calibri" w:eastAsia="Calibri" w:hAnsi="Calibri"/>
                <w:sz w:val="14"/>
                <w:szCs w:val="14"/>
                <w:b w:val="1"/>
                <w:bCs w:val="1"/>
                <w:color w:val="FFFFFF"/>
              </w:rPr>
              <w:t>Jun 25</w:t>
            </w:r>
          </w:p>
        </w:tc>
        <w:tc>
          <w:tcPr>
            <w:tcW w:w="0" w:type="dxa"/>
            <w:vAlign w:val="bottom"/>
          </w:tcPr>
          <w:p>
            <w:pPr>
              <w:spacing w:after="0"/>
              <w:rPr>
                <w:sz w:val="1"/>
                <w:szCs w:val="1"/>
                <w:color w:val="auto"/>
              </w:rPr>
            </w:pPr>
          </w:p>
        </w:tc>
      </w:tr>
      <w:tr>
        <w:trPr>
          <w:trHeight w:val="200"/>
        </w:trPr>
        <w:tc>
          <w:tcPr>
            <w:tcW w:w="1900" w:type="dxa"/>
            <w:vAlign w:val="bottom"/>
            <w:tcBorders>
              <w:left w:val="single" w:sz="8" w:color="auto"/>
              <w:bottom w:val="single" w:sz="8" w:color="auto"/>
              <w:right w:val="single" w:sz="8" w:color="auto"/>
            </w:tcBorders>
            <w:shd w:val="clear" w:color="auto" w:fill="33CCCC"/>
          </w:tcPr>
          <w:p>
            <w:pPr>
              <w:spacing w:after="0"/>
              <w:rPr>
                <w:sz w:val="17"/>
                <w:szCs w:val="17"/>
                <w:color w:val="auto"/>
              </w:rPr>
            </w:pPr>
          </w:p>
        </w:tc>
        <w:tc>
          <w:tcPr>
            <w:tcW w:w="900" w:type="dxa"/>
            <w:vAlign w:val="bottom"/>
            <w:tcBorders>
              <w:bottom w:val="single" w:sz="8" w:color="auto"/>
            </w:tcBorders>
            <w:vMerge w:val="continue"/>
            <w:shd w:val="clear" w:color="auto" w:fill="33CCCC"/>
          </w:tcPr>
          <w:p>
            <w:pPr>
              <w:spacing w:after="0"/>
              <w:rPr>
                <w:sz w:val="17"/>
                <w:szCs w:val="17"/>
                <w:color w:val="auto"/>
              </w:rPr>
            </w:pPr>
          </w:p>
        </w:tc>
        <w:tc>
          <w:tcPr>
            <w:tcW w:w="940" w:type="dxa"/>
            <w:vAlign w:val="bottom"/>
            <w:tcBorders>
              <w:bottom w:val="single" w:sz="8" w:color="auto"/>
            </w:tcBorders>
            <w:vMerge w:val="continue"/>
            <w:shd w:val="clear" w:color="auto" w:fill="33CCCC"/>
          </w:tcPr>
          <w:p>
            <w:pPr>
              <w:spacing w:after="0"/>
              <w:rPr>
                <w:sz w:val="17"/>
                <w:szCs w:val="17"/>
                <w:color w:val="auto"/>
              </w:rPr>
            </w:pPr>
          </w:p>
        </w:tc>
        <w:tc>
          <w:tcPr>
            <w:tcW w:w="960" w:type="dxa"/>
            <w:vAlign w:val="bottom"/>
            <w:tcBorders>
              <w:bottom w:val="single" w:sz="8" w:color="auto"/>
              <w:right w:val="single" w:sz="8" w:color="auto"/>
            </w:tcBorders>
            <w:vMerge w:val="continue"/>
            <w:shd w:val="clear" w:color="auto" w:fill="33CCCC"/>
          </w:tcPr>
          <w:p>
            <w:pPr>
              <w:spacing w:after="0"/>
              <w:rPr>
                <w:sz w:val="17"/>
                <w:szCs w:val="17"/>
                <w:color w:val="auto"/>
              </w:rPr>
            </w:pPr>
          </w:p>
        </w:tc>
        <w:tc>
          <w:tcPr>
            <w:tcW w:w="920" w:type="dxa"/>
            <w:vAlign w:val="bottom"/>
            <w:tcBorders>
              <w:bottom w:val="single" w:sz="8" w:color="auto"/>
            </w:tcBorders>
            <w:vMerge w:val="continue"/>
            <w:shd w:val="clear" w:color="auto" w:fill="33CCCC"/>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33CCCC"/>
          </w:tcPr>
          <w:p>
            <w:pPr>
              <w:spacing w:after="0"/>
              <w:rPr>
                <w:sz w:val="17"/>
                <w:szCs w:val="17"/>
                <w:color w:val="auto"/>
              </w:rPr>
            </w:pPr>
          </w:p>
        </w:tc>
        <w:tc>
          <w:tcPr>
            <w:tcW w:w="980" w:type="dxa"/>
            <w:vAlign w:val="bottom"/>
            <w:tcBorders>
              <w:bottom w:val="single" w:sz="8" w:color="auto"/>
            </w:tcBorders>
            <w:vMerge w:val="continue"/>
            <w:shd w:val="clear" w:color="auto" w:fill="33CCCC"/>
          </w:tcPr>
          <w:p>
            <w:pPr>
              <w:spacing w:after="0"/>
              <w:rPr>
                <w:sz w:val="17"/>
                <w:szCs w:val="17"/>
                <w:color w:val="auto"/>
              </w:rPr>
            </w:pPr>
          </w:p>
        </w:tc>
        <w:tc>
          <w:tcPr>
            <w:tcW w:w="900" w:type="dxa"/>
            <w:vAlign w:val="bottom"/>
            <w:tcBorders>
              <w:bottom w:val="single" w:sz="8" w:color="auto"/>
              <w:right w:val="single" w:sz="8" w:color="auto"/>
            </w:tcBorders>
            <w:vMerge w:val="continue"/>
            <w:shd w:val="clear" w:color="auto" w:fill="33CCCC"/>
          </w:tcPr>
          <w:p>
            <w:pPr>
              <w:spacing w:after="0"/>
              <w:rPr>
                <w:sz w:val="17"/>
                <w:szCs w:val="17"/>
                <w:color w:val="auto"/>
              </w:rPr>
            </w:pPr>
          </w:p>
        </w:tc>
        <w:tc>
          <w:tcPr>
            <w:tcW w:w="920" w:type="dxa"/>
            <w:vAlign w:val="bottom"/>
            <w:tcBorders>
              <w:bottom w:val="single" w:sz="8" w:color="auto"/>
            </w:tcBorders>
            <w:vMerge w:val="continue"/>
            <w:shd w:val="clear" w:color="auto" w:fill="33CCCC"/>
          </w:tcPr>
          <w:p>
            <w:pPr>
              <w:spacing w:after="0"/>
              <w:rPr>
                <w:sz w:val="17"/>
                <w:szCs w:val="17"/>
                <w:color w:val="auto"/>
              </w:rPr>
            </w:pPr>
          </w:p>
        </w:tc>
        <w:tc>
          <w:tcPr>
            <w:tcW w:w="800" w:type="dxa"/>
            <w:vAlign w:val="bottom"/>
            <w:tcBorders>
              <w:bottom w:val="single" w:sz="8" w:color="auto"/>
            </w:tcBorders>
            <w:vMerge w:val="continue"/>
            <w:shd w:val="clear" w:color="auto" w:fill="33CCCC"/>
          </w:tcPr>
          <w:p>
            <w:pPr>
              <w:spacing w:after="0"/>
              <w:rPr>
                <w:sz w:val="17"/>
                <w:szCs w:val="17"/>
                <w:color w:val="auto"/>
              </w:rPr>
            </w:pPr>
          </w:p>
        </w:tc>
        <w:tc>
          <w:tcPr>
            <w:tcW w:w="1080" w:type="dxa"/>
            <w:vAlign w:val="bottom"/>
            <w:tcBorders>
              <w:bottom w:val="single" w:sz="8" w:color="auto"/>
              <w:right w:val="single" w:sz="8" w:color="646464"/>
            </w:tcBorders>
            <w:vMerge w:val="continue"/>
            <w:shd w:val="clear" w:color="auto" w:fill="33CCCC"/>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900" w:type="dxa"/>
            <w:vAlign w:val="bottom"/>
            <w:tcBorders>
              <w:left w:val="single" w:sz="8" w:color="auto"/>
              <w:right w:val="single" w:sz="8" w:color="auto"/>
            </w:tcBorders>
          </w:tcPr>
          <w:p>
            <w:pPr>
              <w:ind w:left="20"/>
              <w:spacing w:after="0" w:line="134" w:lineRule="exact"/>
              <w:rPr>
                <w:sz w:val="20"/>
                <w:szCs w:val="20"/>
                <w:color w:val="auto"/>
              </w:rPr>
            </w:pPr>
            <w:r>
              <w:rPr>
                <w:rFonts w:ascii="Calibri" w:cs="Calibri" w:eastAsia="Calibri" w:hAnsi="Calibri"/>
                <w:sz w:val="14"/>
                <w:szCs w:val="14"/>
                <w:b w:val="1"/>
                <w:bCs w:val="1"/>
                <w:color w:val="auto"/>
              </w:rPr>
              <w:t>BCP Stand-alone</w:t>
            </w:r>
          </w:p>
        </w:tc>
        <w:tc>
          <w:tcPr>
            <w:tcW w:w="900" w:type="dxa"/>
            <w:vAlign w:val="bottom"/>
          </w:tcPr>
          <w:p>
            <w:pPr>
              <w:jc w:val="center"/>
              <w:spacing w:after="0" w:line="134" w:lineRule="exact"/>
              <w:rPr>
                <w:sz w:val="20"/>
                <w:szCs w:val="20"/>
                <w:color w:val="auto"/>
              </w:rPr>
            </w:pPr>
            <w:r>
              <w:rPr>
                <w:rFonts w:ascii="Calibri" w:cs="Calibri" w:eastAsia="Calibri" w:hAnsi="Calibri"/>
                <w:sz w:val="14"/>
                <w:szCs w:val="14"/>
                <w:b w:val="1"/>
                <w:bCs w:val="1"/>
                <w:color w:val="auto"/>
                <w:w w:val="99"/>
              </w:rPr>
              <w:t>121,056</w:t>
            </w:r>
          </w:p>
        </w:tc>
        <w:tc>
          <w:tcPr>
            <w:tcW w:w="940" w:type="dxa"/>
            <w:vAlign w:val="bottom"/>
          </w:tcPr>
          <w:p>
            <w:pPr>
              <w:jc w:val="center"/>
              <w:spacing w:after="0" w:line="134" w:lineRule="exact"/>
              <w:rPr>
                <w:sz w:val="20"/>
                <w:szCs w:val="20"/>
                <w:color w:val="auto"/>
              </w:rPr>
            </w:pPr>
            <w:r>
              <w:rPr>
                <w:rFonts w:ascii="Calibri" w:cs="Calibri" w:eastAsia="Calibri" w:hAnsi="Calibri"/>
                <w:sz w:val="14"/>
                <w:szCs w:val="14"/>
                <w:b w:val="1"/>
                <w:bCs w:val="1"/>
                <w:color w:val="auto"/>
                <w:w w:val="99"/>
              </w:rPr>
              <w:t>119,379</w:t>
            </w:r>
          </w:p>
        </w:tc>
        <w:tc>
          <w:tcPr>
            <w:tcW w:w="960" w:type="dxa"/>
            <w:vAlign w:val="bottom"/>
            <w:tcBorders>
              <w:right w:val="single" w:sz="8" w:color="auto"/>
            </w:tcBorders>
          </w:tcPr>
          <w:p>
            <w:pPr>
              <w:jc w:val="center"/>
              <w:spacing w:after="0" w:line="134" w:lineRule="exact"/>
              <w:rPr>
                <w:sz w:val="20"/>
                <w:szCs w:val="20"/>
                <w:color w:val="auto"/>
              </w:rPr>
            </w:pPr>
            <w:r>
              <w:rPr>
                <w:rFonts w:ascii="Calibri" w:cs="Calibri" w:eastAsia="Calibri" w:hAnsi="Calibri"/>
                <w:sz w:val="14"/>
                <w:szCs w:val="14"/>
                <w:b w:val="1"/>
                <w:bCs w:val="1"/>
                <w:color w:val="auto"/>
                <w:w w:val="99"/>
              </w:rPr>
              <w:t>120,999</w:t>
            </w:r>
          </w:p>
        </w:tc>
        <w:tc>
          <w:tcPr>
            <w:tcW w:w="920" w:type="dxa"/>
            <w:vAlign w:val="bottom"/>
          </w:tcPr>
          <w:p>
            <w:pPr>
              <w:jc w:val="center"/>
              <w:spacing w:after="0" w:line="134" w:lineRule="exact"/>
              <w:rPr>
                <w:sz w:val="20"/>
                <w:szCs w:val="20"/>
                <w:color w:val="auto"/>
              </w:rPr>
            </w:pPr>
            <w:r>
              <w:rPr>
                <w:rFonts w:ascii="Calibri" w:cs="Calibri" w:eastAsia="Calibri" w:hAnsi="Calibri"/>
                <w:sz w:val="14"/>
                <w:szCs w:val="14"/>
                <w:b w:val="1"/>
                <w:bCs w:val="1"/>
                <w:color w:val="auto"/>
                <w:w w:val="93"/>
              </w:rPr>
              <w:t>1,620</w:t>
            </w:r>
          </w:p>
        </w:tc>
        <w:tc>
          <w:tcPr>
            <w:tcW w:w="940" w:type="dxa"/>
            <w:vAlign w:val="bottom"/>
            <w:tcBorders>
              <w:right w:val="single" w:sz="8" w:color="auto"/>
            </w:tcBorders>
          </w:tcPr>
          <w:p>
            <w:pPr>
              <w:jc w:val="center"/>
              <w:spacing w:after="0" w:line="134" w:lineRule="exact"/>
              <w:rPr>
                <w:sz w:val="20"/>
                <w:szCs w:val="20"/>
                <w:color w:val="auto"/>
              </w:rPr>
            </w:pPr>
            <w:r>
              <w:rPr>
                <w:rFonts w:ascii="Calibri" w:cs="Calibri" w:eastAsia="Calibri" w:hAnsi="Calibri"/>
                <w:sz w:val="14"/>
                <w:szCs w:val="14"/>
                <w:b w:val="1"/>
                <w:bCs w:val="1"/>
                <w:color w:val="auto"/>
              </w:rPr>
              <w:t>-57</w:t>
            </w:r>
          </w:p>
        </w:tc>
        <w:tc>
          <w:tcPr>
            <w:tcW w:w="980" w:type="dxa"/>
            <w:vAlign w:val="bottom"/>
          </w:tcPr>
          <w:p>
            <w:pPr>
              <w:jc w:val="center"/>
              <w:spacing w:after="0" w:line="134" w:lineRule="exact"/>
              <w:rPr>
                <w:sz w:val="20"/>
                <w:szCs w:val="20"/>
                <w:color w:val="auto"/>
              </w:rPr>
            </w:pPr>
            <w:r>
              <w:rPr>
                <w:rFonts w:ascii="Calibri" w:cs="Calibri" w:eastAsia="Calibri" w:hAnsi="Calibri"/>
                <w:sz w:val="14"/>
                <w:szCs w:val="14"/>
                <w:b w:val="1"/>
                <w:bCs w:val="1"/>
                <w:color w:val="auto"/>
                <w:w w:val="99"/>
              </w:rPr>
              <w:t>1.4%</w:t>
            </w:r>
          </w:p>
        </w:tc>
        <w:tc>
          <w:tcPr>
            <w:tcW w:w="900" w:type="dxa"/>
            <w:vAlign w:val="bottom"/>
            <w:tcBorders>
              <w:right w:val="single" w:sz="8" w:color="auto"/>
            </w:tcBorders>
          </w:tcPr>
          <w:p>
            <w:pPr>
              <w:jc w:val="center"/>
              <w:spacing w:after="0" w:line="134" w:lineRule="exact"/>
              <w:rPr>
                <w:sz w:val="20"/>
                <w:szCs w:val="20"/>
                <w:color w:val="auto"/>
              </w:rPr>
            </w:pPr>
            <w:r>
              <w:rPr>
                <w:rFonts w:ascii="Calibri" w:cs="Calibri" w:eastAsia="Calibri" w:hAnsi="Calibri"/>
                <w:sz w:val="14"/>
                <w:szCs w:val="14"/>
                <w:b w:val="1"/>
                <w:bCs w:val="1"/>
                <w:color w:val="auto"/>
                <w:w w:val="99"/>
              </w:rPr>
              <w:t>0.0%</w:t>
            </w:r>
          </w:p>
        </w:tc>
        <w:tc>
          <w:tcPr>
            <w:tcW w:w="920" w:type="dxa"/>
            <w:vAlign w:val="bottom"/>
          </w:tcPr>
          <w:p>
            <w:pPr>
              <w:jc w:val="center"/>
              <w:spacing w:after="0" w:line="134" w:lineRule="exact"/>
              <w:rPr>
                <w:sz w:val="20"/>
                <w:szCs w:val="20"/>
                <w:color w:val="auto"/>
              </w:rPr>
            </w:pPr>
            <w:r>
              <w:rPr>
                <w:rFonts w:ascii="Calibri" w:cs="Calibri" w:eastAsia="Calibri" w:hAnsi="Calibri"/>
                <w:sz w:val="14"/>
                <w:szCs w:val="14"/>
                <w:b w:val="1"/>
                <w:bCs w:val="1"/>
                <w:color w:val="auto"/>
              </w:rPr>
              <w:t>82.4%</w:t>
            </w:r>
          </w:p>
        </w:tc>
        <w:tc>
          <w:tcPr>
            <w:tcW w:w="800" w:type="dxa"/>
            <w:vAlign w:val="bottom"/>
          </w:tcPr>
          <w:p>
            <w:pPr>
              <w:jc w:val="center"/>
              <w:ind w:left="71"/>
              <w:spacing w:after="0" w:line="134" w:lineRule="exact"/>
              <w:rPr>
                <w:sz w:val="20"/>
                <w:szCs w:val="20"/>
                <w:color w:val="auto"/>
              </w:rPr>
            </w:pPr>
            <w:r>
              <w:rPr>
                <w:rFonts w:ascii="Calibri" w:cs="Calibri" w:eastAsia="Calibri" w:hAnsi="Calibri"/>
                <w:sz w:val="14"/>
                <w:szCs w:val="14"/>
                <w:b w:val="1"/>
                <w:bCs w:val="1"/>
                <w:color w:val="auto"/>
                <w:w w:val="96"/>
              </w:rPr>
              <w:t>84.5%</w:t>
            </w:r>
          </w:p>
        </w:tc>
        <w:tc>
          <w:tcPr>
            <w:tcW w:w="1080" w:type="dxa"/>
            <w:vAlign w:val="bottom"/>
            <w:tcBorders>
              <w:right w:val="single" w:sz="8" w:color="auto"/>
            </w:tcBorders>
          </w:tcPr>
          <w:p>
            <w:pPr>
              <w:jc w:val="center"/>
              <w:ind w:left="51"/>
              <w:spacing w:after="0" w:line="134" w:lineRule="exact"/>
              <w:rPr>
                <w:sz w:val="20"/>
                <w:szCs w:val="20"/>
                <w:color w:val="auto"/>
              </w:rPr>
            </w:pPr>
            <w:r>
              <w:rPr>
                <w:rFonts w:ascii="Calibri" w:cs="Calibri" w:eastAsia="Calibri" w:hAnsi="Calibri"/>
                <w:sz w:val="14"/>
                <w:szCs w:val="14"/>
                <w:b w:val="1"/>
                <w:bCs w:val="1"/>
                <w:color w:val="auto"/>
              </w:rPr>
              <w:t>85.8%</w:t>
            </w:r>
          </w:p>
        </w:tc>
        <w:tc>
          <w:tcPr>
            <w:tcW w:w="0" w:type="dxa"/>
            <w:vAlign w:val="bottom"/>
          </w:tcPr>
          <w:p>
            <w:pPr>
              <w:spacing w:after="0"/>
              <w:rPr>
                <w:sz w:val="1"/>
                <w:szCs w:val="1"/>
                <w:color w:val="auto"/>
              </w:rPr>
            </w:pPr>
          </w:p>
        </w:tc>
      </w:tr>
      <w:tr>
        <w:trPr>
          <w:trHeight w:val="166"/>
        </w:trPr>
        <w:tc>
          <w:tcPr>
            <w:tcW w:w="1900" w:type="dxa"/>
            <w:vAlign w:val="bottom"/>
            <w:tcBorders>
              <w:left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b w:val="1"/>
                <w:bCs w:val="1"/>
                <w:color w:val="auto"/>
              </w:rPr>
              <w:t>Wholesale Banking</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54,320</w:t>
            </w:r>
          </w:p>
        </w:tc>
        <w:tc>
          <w:tcPr>
            <w:tcW w:w="9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52,602</w:t>
            </w:r>
          </w:p>
        </w:tc>
        <w:tc>
          <w:tcPr>
            <w:tcW w:w="96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7"/>
              </w:rPr>
              <w:t>53,025</w:t>
            </w:r>
          </w:p>
        </w:tc>
        <w:tc>
          <w:tcPr>
            <w:tcW w:w="9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423</w:t>
            </w:r>
          </w:p>
        </w:tc>
        <w:tc>
          <w:tcPr>
            <w:tcW w:w="94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9"/>
              </w:rPr>
              <w:t>-1,294</w:t>
            </w:r>
          </w:p>
        </w:tc>
        <w:tc>
          <w:tcPr>
            <w:tcW w:w="9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0.8%</w:t>
            </w:r>
          </w:p>
        </w:tc>
        <w:tc>
          <w:tcPr>
            <w:tcW w:w="90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8"/>
              </w:rPr>
              <w:t>-2.4%</w:t>
            </w:r>
          </w:p>
        </w:tc>
        <w:tc>
          <w:tcPr>
            <w:tcW w:w="9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37.0%</w:t>
            </w:r>
          </w:p>
        </w:tc>
        <w:tc>
          <w:tcPr>
            <w:tcW w:w="800" w:type="dxa"/>
            <w:vAlign w:val="bottom"/>
          </w:tcPr>
          <w:p>
            <w:pPr>
              <w:jc w:val="center"/>
              <w:ind w:left="71"/>
              <w:spacing w:after="0" w:line="166" w:lineRule="exact"/>
              <w:rPr>
                <w:sz w:val="20"/>
                <w:szCs w:val="20"/>
                <w:color w:val="auto"/>
              </w:rPr>
            </w:pPr>
            <w:r>
              <w:rPr>
                <w:rFonts w:ascii="Calibri" w:cs="Calibri" w:eastAsia="Calibri" w:hAnsi="Calibri"/>
                <w:sz w:val="14"/>
                <w:szCs w:val="14"/>
                <w:b w:val="1"/>
                <w:bCs w:val="1"/>
                <w:color w:val="auto"/>
                <w:w w:val="96"/>
              </w:rPr>
              <w:t>37.3%</w:t>
            </w:r>
          </w:p>
        </w:tc>
        <w:tc>
          <w:tcPr>
            <w:tcW w:w="1080" w:type="dxa"/>
            <w:vAlign w:val="bottom"/>
            <w:tcBorders>
              <w:right w:val="single" w:sz="8" w:color="auto"/>
            </w:tcBorders>
          </w:tcPr>
          <w:p>
            <w:pPr>
              <w:jc w:val="center"/>
              <w:ind w:left="51"/>
              <w:spacing w:after="0" w:line="166" w:lineRule="exact"/>
              <w:rPr>
                <w:sz w:val="20"/>
                <w:szCs w:val="20"/>
                <w:color w:val="auto"/>
              </w:rPr>
            </w:pPr>
            <w:r>
              <w:rPr>
                <w:rFonts w:ascii="Calibri" w:cs="Calibri" w:eastAsia="Calibri" w:hAnsi="Calibri"/>
                <w:sz w:val="14"/>
                <w:szCs w:val="14"/>
                <w:b w:val="1"/>
                <w:bCs w:val="1"/>
                <w:color w:val="auto"/>
              </w:rPr>
              <w:t>37.6%</w:t>
            </w:r>
          </w:p>
        </w:tc>
        <w:tc>
          <w:tcPr>
            <w:tcW w:w="0" w:type="dxa"/>
            <w:vAlign w:val="bottom"/>
          </w:tcPr>
          <w:p>
            <w:pPr>
              <w:spacing w:after="0"/>
              <w:rPr>
                <w:sz w:val="1"/>
                <w:szCs w:val="1"/>
                <w:color w:val="auto"/>
              </w:rPr>
            </w:pPr>
          </w:p>
        </w:tc>
      </w:tr>
      <w:tr>
        <w:trPr>
          <w:trHeight w:val="187"/>
        </w:trPr>
        <w:tc>
          <w:tcPr>
            <w:tcW w:w="1900" w:type="dxa"/>
            <w:vAlign w:val="bottom"/>
            <w:tcBorders>
              <w:left w:val="single" w:sz="8" w:color="auto"/>
              <w:right w:val="single" w:sz="8" w:color="auto"/>
            </w:tcBorders>
          </w:tcPr>
          <w:p>
            <w:pPr>
              <w:ind w:left="180"/>
              <w:spacing w:after="0" w:line="169" w:lineRule="exact"/>
              <w:rPr>
                <w:sz w:val="20"/>
                <w:szCs w:val="20"/>
                <w:color w:val="auto"/>
              </w:rPr>
            </w:pPr>
            <w:r>
              <w:rPr>
                <w:rFonts w:ascii="Calibri" w:cs="Calibri" w:eastAsia="Calibri" w:hAnsi="Calibri"/>
                <w:sz w:val="14"/>
                <w:szCs w:val="14"/>
                <w:color w:val="auto"/>
              </w:rPr>
              <w:t>Corporate</w:t>
            </w:r>
          </w:p>
        </w:tc>
        <w:tc>
          <w:tcPr>
            <w:tcW w:w="90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32,010</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31,369</w:t>
            </w:r>
          </w:p>
        </w:tc>
        <w:tc>
          <w:tcPr>
            <w:tcW w:w="9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30,496</w:t>
            </w:r>
          </w:p>
        </w:tc>
        <w:tc>
          <w:tcPr>
            <w:tcW w:w="920" w:type="dxa"/>
            <w:vAlign w:val="bottom"/>
            <w:shd w:val="clear" w:color="auto" w:fill="E93BAC"/>
          </w:tcPr>
          <w:p>
            <w:pPr>
              <w:jc w:val="center"/>
              <w:spacing w:after="0"/>
              <w:rPr>
                <w:sz w:val="20"/>
                <w:szCs w:val="20"/>
                <w:color w:val="auto"/>
              </w:rPr>
            </w:pPr>
            <w:r>
              <w:rPr>
                <w:rFonts w:ascii="Calibri" w:cs="Calibri" w:eastAsia="Calibri" w:hAnsi="Calibri"/>
                <w:sz w:val="14"/>
                <w:szCs w:val="14"/>
                <w:color w:val="auto"/>
              </w:rPr>
              <w:t>-873</w:t>
            </w:r>
          </w:p>
        </w:tc>
        <w:tc>
          <w:tcPr>
            <w:tcW w:w="940" w:type="dxa"/>
            <w:vAlign w:val="bottom"/>
            <w:tcBorders>
              <w:right w:val="single" w:sz="8" w:color="auto"/>
            </w:tcBorders>
            <w:shd w:val="clear" w:color="auto" w:fill="E93BAC"/>
          </w:tcPr>
          <w:p>
            <w:pPr>
              <w:jc w:val="center"/>
              <w:spacing w:after="0"/>
              <w:rPr>
                <w:sz w:val="20"/>
                <w:szCs w:val="20"/>
                <w:color w:val="auto"/>
              </w:rPr>
            </w:pPr>
            <w:r>
              <w:rPr>
                <w:rFonts w:ascii="Calibri" w:cs="Calibri" w:eastAsia="Calibri" w:hAnsi="Calibri"/>
                <w:sz w:val="14"/>
                <w:szCs w:val="14"/>
                <w:color w:val="auto"/>
                <w:w w:val="99"/>
              </w:rPr>
              <w:t>-1,514</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-2.8%</w:t>
            </w:r>
          </w:p>
        </w:tc>
        <w:tc>
          <w:tcPr>
            <w:tcW w:w="90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-4.7%</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21.8%</w:t>
            </w:r>
          </w:p>
        </w:tc>
        <w:tc>
          <w:tcPr>
            <w:tcW w:w="800" w:type="dxa"/>
            <w:vAlign w:val="bottom"/>
          </w:tcPr>
          <w:p>
            <w:pPr>
              <w:jc w:val="center"/>
              <w:ind w:left="71"/>
              <w:spacing w:after="0" w:line="169" w:lineRule="exact"/>
              <w:rPr>
                <w:sz w:val="20"/>
                <w:szCs w:val="20"/>
                <w:color w:val="auto"/>
              </w:rPr>
            </w:pPr>
            <w:r>
              <w:rPr>
                <w:rFonts w:ascii="Calibri" w:cs="Calibri" w:eastAsia="Calibri" w:hAnsi="Calibri"/>
                <w:sz w:val="14"/>
                <w:szCs w:val="14"/>
                <w:color w:val="auto"/>
                <w:w w:val="97"/>
              </w:rPr>
              <w:t>22.2%</w:t>
            </w:r>
          </w:p>
        </w:tc>
        <w:tc>
          <w:tcPr>
            <w:tcW w:w="1080" w:type="dxa"/>
            <w:vAlign w:val="bottom"/>
            <w:tcBorders>
              <w:right w:val="single" w:sz="8" w:color="auto"/>
            </w:tcBorders>
          </w:tcPr>
          <w:p>
            <w:pPr>
              <w:jc w:val="center"/>
              <w:ind w:left="71"/>
              <w:spacing w:after="0" w:line="169" w:lineRule="exact"/>
              <w:rPr>
                <w:sz w:val="20"/>
                <w:szCs w:val="20"/>
                <w:color w:val="auto"/>
              </w:rPr>
            </w:pPr>
            <w:r>
              <w:rPr>
                <w:rFonts w:ascii="Calibri" w:cs="Calibri" w:eastAsia="Calibri" w:hAnsi="Calibri"/>
                <w:sz w:val="14"/>
                <w:szCs w:val="14"/>
                <w:color w:val="auto"/>
                <w:w w:val="97"/>
              </w:rPr>
              <w:t>21.6%</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ind w:left="180"/>
              <w:spacing w:after="0" w:line="166" w:lineRule="exact"/>
              <w:rPr>
                <w:sz w:val="20"/>
                <w:szCs w:val="20"/>
                <w:color w:val="auto"/>
              </w:rPr>
            </w:pPr>
            <w:r>
              <w:rPr>
                <w:rFonts w:ascii="Calibri" w:cs="Calibri" w:eastAsia="Calibri" w:hAnsi="Calibri"/>
                <w:sz w:val="14"/>
                <w:szCs w:val="14"/>
                <w:color w:val="auto"/>
              </w:rPr>
              <w:t>Middle - Market</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color w:val="auto"/>
                <w:w w:val="97"/>
              </w:rPr>
              <w:t>22,310</w:t>
            </w:r>
          </w:p>
        </w:tc>
        <w:tc>
          <w:tcPr>
            <w:tcW w:w="940" w:type="dxa"/>
            <w:vAlign w:val="bottom"/>
          </w:tcPr>
          <w:p>
            <w:pPr>
              <w:jc w:val="center"/>
              <w:spacing w:after="0" w:line="166" w:lineRule="exact"/>
              <w:rPr>
                <w:sz w:val="20"/>
                <w:szCs w:val="20"/>
                <w:color w:val="auto"/>
              </w:rPr>
            </w:pPr>
            <w:r>
              <w:rPr>
                <w:rFonts w:ascii="Calibri" w:cs="Calibri" w:eastAsia="Calibri" w:hAnsi="Calibri"/>
                <w:sz w:val="14"/>
                <w:szCs w:val="14"/>
                <w:color w:val="auto"/>
                <w:w w:val="97"/>
              </w:rPr>
              <w:t>21,234</w:t>
            </w:r>
          </w:p>
        </w:tc>
        <w:tc>
          <w:tcPr>
            <w:tcW w:w="96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7"/>
              </w:rPr>
              <w:t>22,529</w:t>
            </w:r>
          </w:p>
        </w:tc>
        <w:tc>
          <w:tcPr>
            <w:tcW w:w="920" w:type="dxa"/>
            <w:vAlign w:val="bottom"/>
            <w:shd w:val="clear" w:color="auto" w:fill="00D273"/>
          </w:tcPr>
          <w:p>
            <w:pPr>
              <w:jc w:val="center"/>
              <w:spacing w:after="0" w:line="166" w:lineRule="exact"/>
              <w:rPr>
                <w:sz w:val="20"/>
                <w:szCs w:val="20"/>
                <w:color w:val="auto"/>
              </w:rPr>
            </w:pPr>
            <w:r>
              <w:rPr>
                <w:rFonts w:ascii="Calibri" w:cs="Calibri" w:eastAsia="Calibri" w:hAnsi="Calibri"/>
                <w:sz w:val="14"/>
                <w:szCs w:val="14"/>
                <w:color w:val="auto"/>
                <w:w w:val="93"/>
              </w:rPr>
              <w:t>1,296</w:t>
            </w:r>
          </w:p>
        </w:tc>
        <w:tc>
          <w:tcPr>
            <w:tcW w:w="94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3"/>
              </w:rPr>
              <w:t>220</w:t>
            </w:r>
          </w:p>
        </w:tc>
        <w:tc>
          <w:tcPr>
            <w:tcW w:w="980" w:type="dxa"/>
            <w:vAlign w:val="bottom"/>
          </w:tcPr>
          <w:p>
            <w:pPr>
              <w:jc w:val="center"/>
              <w:spacing w:after="0" w:line="166" w:lineRule="exact"/>
              <w:rPr>
                <w:sz w:val="20"/>
                <w:szCs w:val="20"/>
                <w:color w:val="auto"/>
              </w:rPr>
            </w:pPr>
            <w:r>
              <w:rPr>
                <w:rFonts w:ascii="Calibri" w:cs="Calibri" w:eastAsia="Calibri" w:hAnsi="Calibri"/>
                <w:sz w:val="14"/>
                <w:szCs w:val="14"/>
                <w:color w:val="auto"/>
              </w:rPr>
              <w:t>6.1%</w:t>
            </w:r>
          </w:p>
        </w:tc>
        <w:tc>
          <w:tcPr>
            <w:tcW w:w="900" w:type="dxa"/>
            <w:vAlign w:val="bottom"/>
            <w:tcBorders>
              <w:right w:val="single" w:sz="8" w:color="auto"/>
            </w:tcBorders>
          </w:tcPr>
          <w:p>
            <w:pPr>
              <w:jc w:val="center"/>
              <w:ind w:right="11"/>
              <w:spacing w:after="0" w:line="166" w:lineRule="exact"/>
              <w:rPr>
                <w:sz w:val="20"/>
                <w:szCs w:val="20"/>
                <w:color w:val="auto"/>
              </w:rPr>
            </w:pPr>
            <w:r>
              <w:rPr>
                <w:rFonts w:ascii="Calibri" w:cs="Calibri" w:eastAsia="Calibri" w:hAnsi="Calibri"/>
                <w:sz w:val="14"/>
                <w:szCs w:val="14"/>
                <w:color w:val="auto"/>
                <w:w w:val="93"/>
              </w:rPr>
              <w:t>1.0%</w:t>
            </w:r>
          </w:p>
        </w:tc>
        <w:tc>
          <w:tcPr>
            <w:tcW w:w="920" w:type="dxa"/>
            <w:vAlign w:val="bottom"/>
          </w:tcPr>
          <w:p>
            <w:pPr>
              <w:jc w:val="center"/>
              <w:spacing w:after="0" w:line="166" w:lineRule="exact"/>
              <w:rPr>
                <w:sz w:val="20"/>
                <w:szCs w:val="20"/>
                <w:color w:val="auto"/>
              </w:rPr>
            </w:pPr>
            <w:r>
              <w:rPr>
                <w:rFonts w:ascii="Calibri" w:cs="Calibri" w:eastAsia="Calibri" w:hAnsi="Calibri"/>
                <w:sz w:val="14"/>
                <w:szCs w:val="14"/>
                <w:color w:val="auto"/>
                <w:w w:val="97"/>
              </w:rPr>
              <w:t>15.2%</w:t>
            </w:r>
          </w:p>
        </w:tc>
        <w:tc>
          <w:tcPr>
            <w:tcW w:w="800" w:type="dxa"/>
            <w:vAlign w:val="bottom"/>
          </w:tcPr>
          <w:p>
            <w:pPr>
              <w:jc w:val="center"/>
              <w:ind w:left="71"/>
              <w:spacing w:after="0" w:line="166" w:lineRule="exact"/>
              <w:rPr>
                <w:sz w:val="20"/>
                <w:szCs w:val="20"/>
                <w:color w:val="auto"/>
              </w:rPr>
            </w:pPr>
            <w:r>
              <w:rPr>
                <w:rFonts w:ascii="Calibri" w:cs="Calibri" w:eastAsia="Calibri" w:hAnsi="Calibri"/>
                <w:sz w:val="14"/>
                <w:szCs w:val="14"/>
                <w:color w:val="auto"/>
                <w:w w:val="97"/>
              </w:rPr>
              <w:t>15.0%</w:t>
            </w:r>
          </w:p>
        </w:tc>
        <w:tc>
          <w:tcPr>
            <w:tcW w:w="1080" w:type="dxa"/>
            <w:vAlign w:val="bottom"/>
            <w:tcBorders>
              <w:right w:val="single" w:sz="8" w:color="auto"/>
            </w:tcBorders>
          </w:tcPr>
          <w:p>
            <w:pPr>
              <w:jc w:val="center"/>
              <w:ind w:left="71"/>
              <w:spacing w:after="0" w:line="166" w:lineRule="exact"/>
              <w:rPr>
                <w:sz w:val="20"/>
                <w:szCs w:val="20"/>
                <w:color w:val="auto"/>
              </w:rPr>
            </w:pPr>
            <w:r>
              <w:rPr>
                <w:rFonts w:ascii="Calibri" w:cs="Calibri" w:eastAsia="Calibri" w:hAnsi="Calibri"/>
                <w:sz w:val="14"/>
                <w:szCs w:val="14"/>
                <w:color w:val="auto"/>
                <w:w w:val="97"/>
              </w:rPr>
              <w:t>16.0%</w:t>
            </w:r>
          </w:p>
        </w:tc>
        <w:tc>
          <w:tcPr>
            <w:tcW w:w="0" w:type="dxa"/>
            <w:vAlign w:val="bottom"/>
          </w:tcPr>
          <w:p>
            <w:pPr>
              <w:spacing w:after="0"/>
              <w:rPr>
                <w:sz w:val="1"/>
                <w:szCs w:val="1"/>
                <w:color w:val="auto"/>
              </w:rPr>
            </w:pPr>
          </w:p>
        </w:tc>
      </w:tr>
      <w:tr>
        <w:trPr>
          <w:trHeight w:val="154"/>
        </w:trPr>
        <w:tc>
          <w:tcPr>
            <w:tcW w:w="1900" w:type="dxa"/>
            <w:vAlign w:val="bottom"/>
            <w:tcBorders>
              <w:left w:val="single" w:sz="8" w:color="auto"/>
              <w:right w:val="single" w:sz="8" w:color="auto"/>
            </w:tcBorders>
          </w:tcPr>
          <w:p>
            <w:pPr>
              <w:ind w:left="20"/>
              <w:spacing w:after="0" w:line="154" w:lineRule="exact"/>
              <w:rPr>
                <w:sz w:val="20"/>
                <w:szCs w:val="20"/>
                <w:color w:val="auto"/>
              </w:rPr>
            </w:pPr>
            <w:r>
              <w:rPr>
                <w:rFonts w:ascii="Calibri" w:cs="Calibri" w:eastAsia="Calibri" w:hAnsi="Calibri"/>
                <w:sz w:val="14"/>
                <w:szCs w:val="14"/>
                <w:b w:val="1"/>
                <w:bCs w:val="1"/>
                <w:color w:val="auto"/>
              </w:rPr>
              <w:t>Retail Banking</w:t>
            </w:r>
          </w:p>
        </w:tc>
        <w:tc>
          <w:tcPr>
            <w:tcW w:w="90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w w:val="97"/>
              </w:rPr>
              <w:t>64,827</w:t>
            </w:r>
          </w:p>
        </w:tc>
        <w:tc>
          <w:tcPr>
            <w:tcW w:w="94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w w:val="97"/>
              </w:rPr>
              <w:t>64,875</w:t>
            </w:r>
          </w:p>
        </w:tc>
        <w:tc>
          <w:tcPr>
            <w:tcW w:w="960" w:type="dxa"/>
            <w:vAlign w:val="bottom"/>
            <w:tcBorders>
              <w:right w:val="single" w:sz="8" w:color="auto"/>
            </w:tcBorders>
          </w:tcPr>
          <w:p>
            <w:pPr>
              <w:jc w:val="center"/>
              <w:spacing w:after="0" w:line="154" w:lineRule="exact"/>
              <w:rPr>
                <w:sz w:val="20"/>
                <w:szCs w:val="20"/>
                <w:color w:val="auto"/>
              </w:rPr>
            </w:pPr>
            <w:r>
              <w:rPr>
                <w:rFonts w:ascii="Calibri" w:cs="Calibri" w:eastAsia="Calibri" w:hAnsi="Calibri"/>
                <w:sz w:val="14"/>
                <w:szCs w:val="14"/>
                <w:b w:val="1"/>
                <w:bCs w:val="1"/>
                <w:color w:val="auto"/>
                <w:w w:val="97"/>
              </w:rPr>
              <w:t>66,176</w:t>
            </w:r>
          </w:p>
        </w:tc>
        <w:tc>
          <w:tcPr>
            <w:tcW w:w="92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w w:val="93"/>
              </w:rPr>
              <w:t>1,301</w:t>
            </w:r>
          </w:p>
        </w:tc>
        <w:tc>
          <w:tcPr>
            <w:tcW w:w="940" w:type="dxa"/>
            <w:vAlign w:val="bottom"/>
            <w:tcBorders>
              <w:right w:val="single" w:sz="8" w:color="auto"/>
            </w:tcBorders>
          </w:tcPr>
          <w:p>
            <w:pPr>
              <w:jc w:val="center"/>
              <w:spacing w:after="0" w:line="154" w:lineRule="exact"/>
              <w:rPr>
                <w:sz w:val="20"/>
                <w:szCs w:val="20"/>
                <w:color w:val="auto"/>
              </w:rPr>
            </w:pPr>
            <w:r>
              <w:rPr>
                <w:rFonts w:ascii="Calibri" w:cs="Calibri" w:eastAsia="Calibri" w:hAnsi="Calibri"/>
                <w:sz w:val="14"/>
                <w:szCs w:val="14"/>
                <w:b w:val="1"/>
                <w:bCs w:val="1"/>
                <w:color w:val="auto"/>
                <w:w w:val="99"/>
              </w:rPr>
              <w:t>1,349</w:t>
            </w:r>
          </w:p>
        </w:tc>
        <w:tc>
          <w:tcPr>
            <w:tcW w:w="98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w w:val="99"/>
              </w:rPr>
              <w:t>2.0%</w:t>
            </w:r>
          </w:p>
        </w:tc>
        <w:tc>
          <w:tcPr>
            <w:tcW w:w="900" w:type="dxa"/>
            <w:vAlign w:val="bottom"/>
            <w:tcBorders>
              <w:right w:val="single" w:sz="8" w:color="auto"/>
            </w:tcBorders>
          </w:tcPr>
          <w:p>
            <w:pPr>
              <w:jc w:val="center"/>
              <w:spacing w:after="0" w:line="154" w:lineRule="exact"/>
              <w:rPr>
                <w:sz w:val="20"/>
                <w:szCs w:val="20"/>
                <w:color w:val="auto"/>
              </w:rPr>
            </w:pPr>
            <w:r>
              <w:rPr>
                <w:rFonts w:ascii="Calibri" w:cs="Calibri" w:eastAsia="Calibri" w:hAnsi="Calibri"/>
                <w:sz w:val="14"/>
                <w:szCs w:val="14"/>
                <w:b w:val="1"/>
                <w:bCs w:val="1"/>
                <w:color w:val="auto"/>
                <w:w w:val="99"/>
              </w:rPr>
              <w:t>2.1%</w:t>
            </w:r>
          </w:p>
        </w:tc>
        <w:tc>
          <w:tcPr>
            <w:tcW w:w="92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rPr>
              <w:t>44.1%</w:t>
            </w:r>
          </w:p>
        </w:tc>
        <w:tc>
          <w:tcPr>
            <w:tcW w:w="800" w:type="dxa"/>
            <w:vAlign w:val="bottom"/>
          </w:tcPr>
          <w:p>
            <w:pPr>
              <w:jc w:val="center"/>
              <w:ind w:left="71"/>
              <w:spacing w:after="0" w:line="154" w:lineRule="exact"/>
              <w:rPr>
                <w:sz w:val="20"/>
                <w:szCs w:val="20"/>
                <w:color w:val="auto"/>
              </w:rPr>
            </w:pPr>
            <w:r>
              <w:rPr>
                <w:rFonts w:ascii="Calibri" w:cs="Calibri" w:eastAsia="Calibri" w:hAnsi="Calibri"/>
                <w:sz w:val="14"/>
                <w:szCs w:val="14"/>
                <w:b w:val="1"/>
                <w:bCs w:val="1"/>
                <w:color w:val="auto"/>
                <w:w w:val="96"/>
              </w:rPr>
              <w:t>45.9%</w:t>
            </w:r>
          </w:p>
        </w:tc>
        <w:tc>
          <w:tcPr>
            <w:tcW w:w="1080" w:type="dxa"/>
            <w:vAlign w:val="bottom"/>
            <w:tcBorders>
              <w:right w:val="single" w:sz="8" w:color="auto"/>
            </w:tcBorders>
          </w:tcPr>
          <w:p>
            <w:pPr>
              <w:jc w:val="center"/>
              <w:ind w:left="51"/>
              <w:spacing w:after="0" w:line="154" w:lineRule="exact"/>
              <w:rPr>
                <w:sz w:val="20"/>
                <w:szCs w:val="20"/>
                <w:color w:val="auto"/>
              </w:rPr>
            </w:pPr>
            <w:r>
              <w:rPr>
                <w:rFonts w:ascii="Calibri" w:cs="Calibri" w:eastAsia="Calibri" w:hAnsi="Calibri"/>
                <w:sz w:val="14"/>
                <w:szCs w:val="14"/>
                <w:b w:val="1"/>
                <w:bCs w:val="1"/>
                <w:color w:val="auto"/>
              </w:rPr>
              <w:t>46.9%</w:t>
            </w:r>
          </w:p>
        </w:tc>
        <w:tc>
          <w:tcPr>
            <w:tcW w:w="0" w:type="dxa"/>
            <w:vAlign w:val="bottom"/>
          </w:tcPr>
          <w:p>
            <w:pPr>
              <w:spacing w:after="0"/>
              <w:rPr>
                <w:sz w:val="1"/>
                <w:szCs w:val="1"/>
                <w:color w:val="auto"/>
              </w:rPr>
            </w:pPr>
          </w:p>
        </w:tc>
      </w:tr>
      <w:tr>
        <w:trPr>
          <w:trHeight w:val="166"/>
        </w:trPr>
        <w:tc>
          <w:tcPr>
            <w:tcW w:w="1900" w:type="dxa"/>
            <w:vAlign w:val="bottom"/>
            <w:tcBorders>
              <w:left w:val="single" w:sz="8" w:color="auto"/>
              <w:right w:val="single" w:sz="8" w:color="auto"/>
            </w:tcBorders>
          </w:tcPr>
          <w:p>
            <w:pPr>
              <w:ind w:left="180"/>
              <w:spacing w:after="0" w:line="166" w:lineRule="exact"/>
              <w:rPr>
                <w:sz w:val="20"/>
                <w:szCs w:val="20"/>
                <w:color w:val="auto"/>
              </w:rPr>
            </w:pPr>
            <w:r>
              <w:rPr>
                <w:rFonts w:ascii="Calibri" w:cs="Calibri" w:eastAsia="Calibri" w:hAnsi="Calibri"/>
                <w:sz w:val="14"/>
                <w:szCs w:val="14"/>
                <w:color w:val="auto"/>
              </w:rPr>
              <w:t>SME - Business</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color w:val="auto"/>
              </w:rPr>
              <w:t>7,936</w:t>
            </w:r>
          </w:p>
        </w:tc>
        <w:tc>
          <w:tcPr>
            <w:tcW w:w="940" w:type="dxa"/>
            <w:vAlign w:val="bottom"/>
          </w:tcPr>
          <w:p>
            <w:pPr>
              <w:jc w:val="center"/>
              <w:spacing w:after="0" w:line="166" w:lineRule="exact"/>
              <w:rPr>
                <w:sz w:val="20"/>
                <w:szCs w:val="20"/>
                <w:color w:val="auto"/>
              </w:rPr>
            </w:pPr>
            <w:r>
              <w:rPr>
                <w:rFonts w:ascii="Calibri" w:cs="Calibri" w:eastAsia="Calibri" w:hAnsi="Calibri"/>
                <w:sz w:val="14"/>
                <w:szCs w:val="14"/>
                <w:color w:val="auto"/>
                <w:w w:val="93"/>
              </w:rPr>
              <w:t>7,711</w:t>
            </w:r>
          </w:p>
        </w:tc>
        <w:tc>
          <w:tcPr>
            <w:tcW w:w="96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7,692</w:t>
            </w:r>
          </w:p>
        </w:tc>
        <w:tc>
          <w:tcPr>
            <w:tcW w:w="920" w:type="dxa"/>
            <w:vAlign w:val="bottom"/>
          </w:tcPr>
          <w:p>
            <w:pPr>
              <w:jc w:val="center"/>
              <w:spacing w:after="0" w:line="166" w:lineRule="exact"/>
              <w:rPr>
                <w:sz w:val="20"/>
                <w:szCs w:val="20"/>
                <w:color w:val="auto"/>
              </w:rPr>
            </w:pPr>
            <w:r>
              <w:rPr>
                <w:rFonts w:ascii="Calibri" w:cs="Calibri" w:eastAsia="Calibri" w:hAnsi="Calibri"/>
                <w:sz w:val="14"/>
                <w:szCs w:val="14"/>
                <w:color w:val="auto"/>
                <w:w w:val="97"/>
              </w:rPr>
              <w:t>-20</w:t>
            </w:r>
          </w:p>
        </w:tc>
        <w:tc>
          <w:tcPr>
            <w:tcW w:w="94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3"/>
              </w:rPr>
              <w:t>-245</w:t>
            </w:r>
          </w:p>
        </w:tc>
        <w:tc>
          <w:tcPr>
            <w:tcW w:w="980" w:type="dxa"/>
            <w:vAlign w:val="bottom"/>
          </w:tcPr>
          <w:p>
            <w:pPr>
              <w:jc w:val="center"/>
              <w:spacing w:after="0" w:line="166" w:lineRule="exact"/>
              <w:rPr>
                <w:sz w:val="20"/>
                <w:szCs w:val="20"/>
                <w:color w:val="auto"/>
              </w:rPr>
            </w:pPr>
            <w:r>
              <w:rPr>
                <w:rFonts w:ascii="Calibri" w:cs="Calibri" w:eastAsia="Calibri" w:hAnsi="Calibri"/>
                <w:sz w:val="14"/>
                <w:szCs w:val="14"/>
                <w:color w:val="auto"/>
                <w:w w:val="99"/>
              </w:rPr>
              <w:t>-0.3%</w:t>
            </w:r>
          </w:p>
        </w:tc>
        <w:tc>
          <w:tcPr>
            <w:tcW w:w="90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9"/>
              </w:rPr>
              <w:t>-3.1%</w:t>
            </w:r>
          </w:p>
        </w:tc>
        <w:tc>
          <w:tcPr>
            <w:tcW w:w="920" w:type="dxa"/>
            <w:vAlign w:val="bottom"/>
          </w:tcPr>
          <w:p>
            <w:pPr>
              <w:jc w:val="center"/>
              <w:spacing w:after="0" w:line="166" w:lineRule="exact"/>
              <w:rPr>
                <w:sz w:val="20"/>
                <w:szCs w:val="20"/>
                <w:color w:val="auto"/>
              </w:rPr>
            </w:pPr>
            <w:r>
              <w:rPr>
                <w:rFonts w:ascii="Calibri" w:cs="Calibri" w:eastAsia="Calibri" w:hAnsi="Calibri"/>
                <w:sz w:val="14"/>
                <w:szCs w:val="14"/>
                <w:color w:val="auto"/>
              </w:rPr>
              <w:t>5.4%</w:t>
            </w:r>
          </w:p>
        </w:tc>
        <w:tc>
          <w:tcPr>
            <w:tcW w:w="800" w:type="dxa"/>
            <w:vAlign w:val="bottom"/>
          </w:tcPr>
          <w:p>
            <w:pPr>
              <w:jc w:val="center"/>
              <w:ind w:left="51"/>
              <w:spacing w:after="0" w:line="166" w:lineRule="exact"/>
              <w:rPr>
                <w:sz w:val="20"/>
                <w:szCs w:val="20"/>
                <w:color w:val="auto"/>
              </w:rPr>
            </w:pPr>
            <w:r>
              <w:rPr>
                <w:rFonts w:ascii="Calibri" w:cs="Calibri" w:eastAsia="Calibri" w:hAnsi="Calibri"/>
                <w:sz w:val="14"/>
                <w:szCs w:val="14"/>
                <w:color w:val="auto"/>
              </w:rPr>
              <w:t>5.5%</w:t>
            </w:r>
          </w:p>
        </w:tc>
        <w:tc>
          <w:tcPr>
            <w:tcW w:w="1080" w:type="dxa"/>
            <w:vAlign w:val="bottom"/>
            <w:tcBorders>
              <w:right w:val="single" w:sz="8" w:color="auto"/>
            </w:tcBorders>
          </w:tcPr>
          <w:p>
            <w:pPr>
              <w:jc w:val="center"/>
              <w:ind w:left="51"/>
              <w:spacing w:after="0" w:line="166" w:lineRule="exact"/>
              <w:rPr>
                <w:sz w:val="20"/>
                <w:szCs w:val="20"/>
                <w:color w:val="auto"/>
              </w:rPr>
            </w:pPr>
            <w:r>
              <w:rPr>
                <w:rFonts w:ascii="Calibri" w:cs="Calibri" w:eastAsia="Calibri" w:hAnsi="Calibri"/>
                <w:sz w:val="14"/>
                <w:szCs w:val="14"/>
                <w:color w:val="auto"/>
              </w:rPr>
              <w:t>5.5%</w:t>
            </w: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ind w:left="180"/>
              <w:spacing w:after="0" w:line="169" w:lineRule="exact"/>
              <w:rPr>
                <w:sz w:val="20"/>
                <w:szCs w:val="20"/>
                <w:color w:val="auto"/>
              </w:rPr>
            </w:pPr>
            <w:r>
              <w:rPr>
                <w:rFonts w:ascii="Calibri" w:cs="Calibri" w:eastAsia="Calibri" w:hAnsi="Calibri"/>
                <w:sz w:val="14"/>
                <w:szCs w:val="14"/>
                <w:color w:val="auto"/>
              </w:rPr>
              <w:t>SME - Pyme</w:t>
            </w:r>
          </w:p>
        </w:tc>
        <w:tc>
          <w:tcPr>
            <w:tcW w:w="90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16,369</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15,922</w:t>
            </w:r>
          </w:p>
        </w:tc>
        <w:tc>
          <w:tcPr>
            <w:tcW w:w="9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16,091</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color w:val="auto"/>
              </w:rPr>
              <w:t>169</w:t>
            </w:r>
          </w:p>
        </w:tc>
        <w:tc>
          <w:tcPr>
            <w:tcW w:w="9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3"/>
              </w:rPr>
              <w:t>-278</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auto"/>
              </w:rPr>
              <w:t>1.1%</w:t>
            </w:r>
          </w:p>
        </w:tc>
        <w:tc>
          <w:tcPr>
            <w:tcW w:w="90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-1.7%</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11.1%</w:t>
            </w:r>
          </w:p>
        </w:tc>
        <w:tc>
          <w:tcPr>
            <w:tcW w:w="800" w:type="dxa"/>
            <w:vAlign w:val="bottom"/>
          </w:tcPr>
          <w:p>
            <w:pPr>
              <w:jc w:val="center"/>
              <w:ind w:left="71"/>
              <w:spacing w:after="0" w:line="169" w:lineRule="exact"/>
              <w:rPr>
                <w:sz w:val="20"/>
                <w:szCs w:val="20"/>
                <w:color w:val="auto"/>
              </w:rPr>
            </w:pPr>
            <w:r>
              <w:rPr>
                <w:rFonts w:ascii="Calibri" w:cs="Calibri" w:eastAsia="Calibri" w:hAnsi="Calibri"/>
                <w:sz w:val="14"/>
                <w:szCs w:val="14"/>
                <w:color w:val="auto"/>
                <w:w w:val="97"/>
              </w:rPr>
              <w:t>11.3%</w:t>
            </w:r>
          </w:p>
        </w:tc>
        <w:tc>
          <w:tcPr>
            <w:tcW w:w="1080" w:type="dxa"/>
            <w:vAlign w:val="bottom"/>
            <w:tcBorders>
              <w:right w:val="single" w:sz="8" w:color="auto"/>
            </w:tcBorders>
          </w:tcPr>
          <w:p>
            <w:pPr>
              <w:jc w:val="center"/>
              <w:ind w:left="71"/>
              <w:spacing w:after="0" w:line="169" w:lineRule="exact"/>
              <w:rPr>
                <w:sz w:val="20"/>
                <w:szCs w:val="20"/>
                <w:color w:val="auto"/>
              </w:rPr>
            </w:pPr>
            <w:r>
              <w:rPr>
                <w:rFonts w:ascii="Calibri" w:cs="Calibri" w:eastAsia="Calibri" w:hAnsi="Calibri"/>
                <w:sz w:val="14"/>
                <w:szCs w:val="14"/>
                <w:color w:val="auto"/>
                <w:w w:val="97"/>
              </w:rPr>
              <w:t>11.4%</w:t>
            </w:r>
          </w:p>
        </w:tc>
        <w:tc>
          <w:tcPr>
            <w:tcW w:w="0" w:type="dxa"/>
            <w:vAlign w:val="bottom"/>
          </w:tcPr>
          <w:p>
            <w:pPr>
              <w:spacing w:after="0"/>
              <w:rPr>
                <w:sz w:val="1"/>
                <w:szCs w:val="1"/>
                <w:color w:val="auto"/>
              </w:rPr>
            </w:pPr>
          </w:p>
        </w:tc>
      </w:tr>
      <w:tr>
        <w:trPr>
          <w:trHeight w:val="184"/>
        </w:trPr>
        <w:tc>
          <w:tcPr>
            <w:tcW w:w="1900" w:type="dxa"/>
            <w:vAlign w:val="bottom"/>
            <w:tcBorders>
              <w:left w:val="single" w:sz="8" w:color="auto"/>
              <w:right w:val="single" w:sz="8" w:color="auto"/>
            </w:tcBorders>
          </w:tcPr>
          <w:p>
            <w:pPr>
              <w:ind w:left="180"/>
              <w:spacing w:after="0" w:line="169" w:lineRule="exact"/>
              <w:rPr>
                <w:sz w:val="20"/>
                <w:szCs w:val="20"/>
                <w:color w:val="auto"/>
              </w:rPr>
            </w:pPr>
            <w:r>
              <w:rPr>
                <w:rFonts w:ascii="Calibri" w:cs="Calibri" w:eastAsia="Calibri" w:hAnsi="Calibri"/>
                <w:sz w:val="14"/>
                <w:szCs w:val="14"/>
                <w:color w:val="auto"/>
              </w:rPr>
              <w:t>Mortgage</w:t>
            </w:r>
          </w:p>
        </w:tc>
        <w:tc>
          <w:tcPr>
            <w:tcW w:w="90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21,554</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22,115</w:t>
            </w:r>
          </w:p>
        </w:tc>
        <w:tc>
          <w:tcPr>
            <w:tcW w:w="9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22,824</w:t>
            </w:r>
          </w:p>
        </w:tc>
        <w:tc>
          <w:tcPr>
            <w:tcW w:w="920" w:type="dxa"/>
            <w:vAlign w:val="bottom"/>
            <w:shd w:val="clear" w:color="auto" w:fill="00D273"/>
          </w:tcPr>
          <w:p>
            <w:pPr>
              <w:jc w:val="center"/>
              <w:spacing w:after="0"/>
              <w:rPr>
                <w:sz w:val="20"/>
                <w:szCs w:val="20"/>
                <w:color w:val="auto"/>
              </w:rPr>
            </w:pPr>
            <w:r>
              <w:rPr>
                <w:rFonts w:ascii="Calibri" w:cs="Calibri" w:eastAsia="Calibri" w:hAnsi="Calibri"/>
                <w:sz w:val="14"/>
                <w:szCs w:val="14"/>
                <w:color w:val="auto"/>
              </w:rPr>
              <w:t>710</w:t>
            </w:r>
          </w:p>
        </w:tc>
        <w:tc>
          <w:tcPr>
            <w:tcW w:w="940" w:type="dxa"/>
            <w:vAlign w:val="bottom"/>
            <w:tcBorders>
              <w:right w:val="single" w:sz="8" w:color="auto"/>
            </w:tcBorders>
            <w:shd w:val="clear" w:color="auto" w:fill="00D273"/>
          </w:tcPr>
          <w:p>
            <w:pPr>
              <w:jc w:val="center"/>
              <w:spacing w:after="0"/>
              <w:rPr>
                <w:sz w:val="20"/>
                <w:szCs w:val="20"/>
                <w:color w:val="auto"/>
              </w:rPr>
            </w:pPr>
            <w:r>
              <w:rPr>
                <w:rFonts w:ascii="Calibri" w:cs="Calibri" w:eastAsia="Calibri" w:hAnsi="Calibri"/>
                <w:sz w:val="14"/>
                <w:szCs w:val="14"/>
                <w:color w:val="auto"/>
              </w:rPr>
              <w:t>1,270</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auto"/>
              </w:rPr>
              <w:t>3.2%</w:t>
            </w:r>
          </w:p>
        </w:tc>
        <w:tc>
          <w:tcPr>
            <w:tcW w:w="900" w:type="dxa"/>
            <w:vAlign w:val="bottom"/>
            <w:tcBorders>
              <w:right w:val="single" w:sz="8" w:color="auto"/>
            </w:tcBorders>
          </w:tcPr>
          <w:p>
            <w:pPr>
              <w:jc w:val="center"/>
              <w:ind w:right="11"/>
              <w:spacing w:after="0" w:line="169" w:lineRule="exact"/>
              <w:rPr>
                <w:sz w:val="20"/>
                <w:szCs w:val="20"/>
                <w:color w:val="auto"/>
              </w:rPr>
            </w:pPr>
            <w:r>
              <w:rPr>
                <w:rFonts w:ascii="Calibri" w:cs="Calibri" w:eastAsia="Calibri" w:hAnsi="Calibri"/>
                <w:sz w:val="14"/>
                <w:szCs w:val="14"/>
                <w:color w:val="auto"/>
                <w:w w:val="93"/>
              </w:rPr>
              <w:t>5.9%</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14.7%</w:t>
            </w:r>
          </w:p>
        </w:tc>
        <w:tc>
          <w:tcPr>
            <w:tcW w:w="800" w:type="dxa"/>
            <w:vAlign w:val="bottom"/>
          </w:tcPr>
          <w:p>
            <w:pPr>
              <w:jc w:val="center"/>
              <w:ind w:left="71"/>
              <w:spacing w:after="0" w:line="169" w:lineRule="exact"/>
              <w:rPr>
                <w:sz w:val="20"/>
                <w:szCs w:val="20"/>
                <w:color w:val="auto"/>
              </w:rPr>
            </w:pPr>
            <w:r>
              <w:rPr>
                <w:rFonts w:ascii="Calibri" w:cs="Calibri" w:eastAsia="Calibri" w:hAnsi="Calibri"/>
                <w:sz w:val="14"/>
                <w:szCs w:val="14"/>
                <w:color w:val="auto"/>
                <w:w w:val="97"/>
              </w:rPr>
              <w:t>15.7%</w:t>
            </w:r>
          </w:p>
        </w:tc>
        <w:tc>
          <w:tcPr>
            <w:tcW w:w="1080" w:type="dxa"/>
            <w:vAlign w:val="bottom"/>
            <w:tcBorders>
              <w:right w:val="single" w:sz="8" w:color="auto"/>
            </w:tcBorders>
          </w:tcPr>
          <w:p>
            <w:pPr>
              <w:jc w:val="center"/>
              <w:ind w:left="71"/>
              <w:spacing w:after="0" w:line="169" w:lineRule="exact"/>
              <w:rPr>
                <w:sz w:val="20"/>
                <w:szCs w:val="20"/>
                <w:color w:val="auto"/>
              </w:rPr>
            </w:pPr>
            <w:r>
              <w:rPr>
                <w:rFonts w:ascii="Calibri" w:cs="Calibri" w:eastAsia="Calibri" w:hAnsi="Calibri"/>
                <w:sz w:val="14"/>
                <w:szCs w:val="14"/>
                <w:color w:val="auto"/>
                <w:w w:val="97"/>
              </w:rPr>
              <w:t>16.2%</w:t>
            </w:r>
          </w:p>
        </w:tc>
        <w:tc>
          <w:tcPr>
            <w:tcW w:w="0" w:type="dxa"/>
            <w:vAlign w:val="bottom"/>
          </w:tcPr>
          <w:p>
            <w:pPr>
              <w:spacing w:after="0"/>
              <w:rPr>
                <w:sz w:val="1"/>
                <w:szCs w:val="1"/>
                <w:color w:val="auto"/>
              </w:rPr>
            </w:pPr>
          </w:p>
        </w:tc>
      </w:tr>
      <w:tr>
        <w:trPr>
          <w:trHeight w:val="172"/>
        </w:trPr>
        <w:tc>
          <w:tcPr>
            <w:tcW w:w="1900" w:type="dxa"/>
            <w:vAlign w:val="bottom"/>
            <w:tcBorders>
              <w:left w:val="single" w:sz="8" w:color="auto"/>
              <w:right w:val="single" w:sz="8" w:color="auto"/>
            </w:tcBorders>
          </w:tcPr>
          <w:p>
            <w:pPr>
              <w:ind w:left="180"/>
              <w:spacing w:after="0" w:line="166" w:lineRule="exact"/>
              <w:rPr>
                <w:sz w:val="20"/>
                <w:szCs w:val="20"/>
                <w:color w:val="auto"/>
              </w:rPr>
            </w:pPr>
            <w:r>
              <w:rPr>
                <w:rFonts w:ascii="Calibri" w:cs="Calibri" w:eastAsia="Calibri" w:hAnsi="Calibri"/>
                <w:sz w:val="14"/>
                <w:szCs w:val="14"/>
                <w:color w:val="auto"/>
              </w:rPr>
              <w:t>Consumer</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color w:val="auto"/>
                <w:w w:val="97"/>
              </w:rPr>
              <w:t>12,900</w:t>
            </w:r>
          </w:p>
        </w:tc>
        <w:tc>
          <w:tcPr>
            <w:tcW w:w="940" w:type="dxa"/>
            <w:vAlign w:val="bottom"/>
          </w:tcPr>
          <w:p>
            <w:pPr>
              <w:jc w:val="center"/>
              <w:spacing w:after="0" w:line="166" w:lineRule="exact"/>
              <w:rPr>
                <w:sz w:val="20"/>
                <w:szCs w:val="20"/>
                <w:color w:val="auto"/>
              </w:rPr>
            </w:pPr>
            <w:r>
              <w:rPr>
                <w:rFonts w:ascii="Calibri" w:cs="Calibri" w:eastAsia="Calibri" w:hAnsi="Calibri"/>
                <w:sz w:val="14"/>
                <w:szCs w:val="14"/>
                <w:color w:val="auto"/>
                <w:w w:val="97"/>
              </w:rPr>
              <w:t>13,173</w:t>
            </w:r>
          </w:p>
        </w:tc>
        <w:tc>
          <w:tcPr>
            <w:tcW w:w="96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7"/>
              </w:rPr>
              <w:t>13,446</w:t>
            </w:r>
          </w:p>
        </w:tc>
        <w:tc>
          <w:tcPr>
            <w:tcW w:w="920" w:type="dxa"/>
            <w:vAlign w:val="bottom"/>
            <w:shd w:val="clear" w:color="auto" w:fill="00D273"/>
          </w:tcPr>
          <w:p>
            <w:pPr>
              <w:jc w:val="center"/>
              <w:spacing w:after="0" w:line="166" w:lineRule="exact"/>
              <w:rPr>
                <w:sz w:val="20"/>
                <w:szCs w:val="20"/>
                <w:color w:val="auto"/>
              </w:rPr>
            </w:pPr>
            <w:r>
              <w:rPr>
                <w:rFonts w:ascii="Calibri" w:cs="Calibri" w:eastAsia="Calibri" w:hAnsi="Calibri"/>
                <w:sz w:val="14"/>
                <w:szCs w:val="14"/>
                <w:color w:val="auto"/>
              </w:rPr>
              <w:t>273</w:t>
            </w:r>
          </w:p>
        </w:tc>
        <w:tc>
          <w:tcPr>
            <w:tcW w:w="940" w:type="dxa"/>
            <w:vAlign w:val="bottom"/>
            <w:tcBorders>
              <w:right w:val="single" w:sz="8" w:color="auto"/>
            </w:tcBorders>
            <w:shd w:val="clear" w:color="auto" w:fill="00D273"/>
          </w:tcPr>
          <w:p>
            <w:pPr>
              <w:jc w:val="center"/>
              <w:spacing w:after="0" w:line="166" w:lineRule="exact"/>
              <w:rPr>
                <w:sz w:val="20"/>
                <w:szCs w:val="20"/>
                <w:color w:val="auto"/>
              </w:rPr>
            </w:pPr>
            <w:r>
              <w:rPr>
                <w:rFonts w:ascii="Calibri" w:cs="Calibri" w:eastAsia="Calibri" w:hAnsi="Calibri"/>
                <w:sz w:val="14"/>
                <w:szCs w:val="14"/>
                <w:color w:val="auto"/>
                <w:w w:val="93"/>
              </w:rPr>
              <w:t>545</w:t>
            </w:r>
          </w:p>
        </w:tc>
        <w:tc>
          <w:tcPr>
            <w:tcW w:w="980" w:type="dxa"/>
            <w:vAlign w:val="bottom"/>
          </w:tcPr>
          <w:p>
            <w:pPr>
              <w:jc w:val="center"/>
              <w:spacing w:after="0" w:line="166" w:lineRule="exact"/>
              <w:rPr>
                <w:sz w:val="20"/>
                <w:szCs w:val="20"/>
                <w:color w:val="auto"/>
              </w:rPr>
            </w:pPr>
            <w:r>
              <w:rPr>
                <w:rFonts w:ascii="Calibri" w:cs="Calibri" w:eastAsia="Calibri" w:hAnsi="Calibri"/>
                <w:sz w:val="14"/>
                <w:szCs w:val="14"/>
                <w:color w:val="auto"/>
              </w:rPr>
              <w:t>2.1%</w:t>
            </w:r>
          </w:p>
        </w:tc>
        <w:tc>
          <w:tcPr>
            <w:tcW w:w="900" w:type="dxa"/>
            <w:vAlign w:val="bottom"/>
            <w:tcBorders>
              <w:right w:val="single" w:sz="8" w:color="auto"/>
            </w:tcBorders>
          </w:tcPr>
          <w:p>
            <w:pPr>
              <w:jc w:val="center"/>
              <w:ind w:right="11"/>
              <w:spacing w:after="0" w:line="166" w:lineRule="exact"/>
              <w:rPr>
                <w:sz w:val="20"/>
                <w:szCs w:val="20"/>
                <w:color w:val="auto"/>
              </w:rPr>
            </w:pPr>
            <w:r>
              <w:rPr>
                <w:rFonts w:ascii="Calibri" w:cs="Calibri" w:eastAsia="Calibri" w:hAnsi="Calibri"/>
                <w:sz w:val="14"/>
                <w:szCs w:val="14"/>
                <w:color w:val="auto"/>
                <w:w w:val="93"/>
              </w:rPr>
              <w:t>4.2%</w:t>
            </w:r>
          </w:p>
        </w:tc>
        <w:tc>
          <w:tcPr>
            <w:tcW w:w="920" w:type="dxa"/>
            <w:vAlign w:val="bottom"/>
          </w:tcPr>
          <w:p>
            <w:pPr>
              <w:jc w:val="center"/>
              <w:spacing w:after="0" w:line="166" w:lineRule="exact"/>
              <w:rPr>
                <w:sz w:val="20"/>
                <w:szCs w:val="20"/>
                <w:color w:val="auto"/>
              </w:rPr>
            </w:pPr>
            <w:r>
              <w:rPr>
                <w:rFonts w:ascii="Calibri" w:cs="Calibri" w:eastAsia="Calibri" w:hAnsi="Calibri"/>
                <w:sz w:val="14"/>
                <w:szCs w:val="14"/>
                <w:color w:val="auto"/>
              </w:rPr>
              <w:t>8.8%</w:t>
            </w:r>
          </w:p>
        </w:tc>
        <w:tc>
          <w:tcPr>
            <w:tcW w:w="800" w:type="dxa"/>
            <w:vAlign w:val="bottom"/>
          </w:tcPr>
          <w:p>
            <w:pPr>
              <w:jc w:val="center"/>
              <w:ind w:left="51"/>
              <w:spacing w:after="0" w:line="166" w:lineRule="exact"/>
              <w:rPr>
                <w:sz w:val="20"/>
                <w:szCs w:val="20"/>
                <w:color w:val="auto"/>
              </w:rPr>
            </w:pPr>
            <w:r>
              <w:rPr>
                <w:rFonts w:ascii="Calibri" w:cs="Calibri" w:eastAsia="Calibri" w:hAnsi="Calibri"/>
                <w:sz w:val="14"/>
                <w:szCs w:val="14"/>
                <w:color w:val="auto"/>
              </w:rPr>
              <w:t>9.3%</w:t>
            </w:r>
          </w:p>
        </w:tc>
        <w:tc>
          <w:tcPr>
            <w:tcW w:w="1080" w:type="dxa"/>
            <w:vAlign w:val="bottom"/>
            <w:tcBorders>
              <w:right w:val="single" w:sz="8" w:color="auto"/>
            </w:tcBorders>
          </w:tcPr>
          <w:p>
            <w:pPr>
              <w:jc w:val="center"/>
              <w:ind w:left="51"/>
              <w:spacing w:after="0" w:line="166" w:lineRule="exact"/>
              <w:rPr>
                <w:sz w:val="20"/>
                <w:szCs w:val="20"/>
                <w:color w:val="auto"/>
              </w:rPr>
            </w:pPr>
            <w:r>
              <w:rPr>
                <w:rFonts w:ascii="Calibri" w:cs="Calibri" w:eastAsia="Calibri" w:hAnsi="Calibri"/>
                <w:sz w:val="14"/>
                <w:szCs w:val="14"/>
                <w:color w:val="auto"/>
              </w:rPr>
              <w:t>9.5%</w:t>
            </w:r>
          </w:p>
        </w:tc>
        <w:tc>
          <w:tcPr>
            <w:tcW w:w="0" w:type="dxa"/>
            <w:vAlign w:val="bottom"/>
          </w:tcPr>
          <w:p>
            <w:pPr>
              <w:spacing w:after="0"/>
              <w:rPr>
                <w:sz w:val="1"/>
                <w:szCs w:val="1"/>
                <w:color w:val="auto"/>
              </w:rPr>
            </w:pPr>
          </w:p>
        </w:tc>
      </w:tr>
      <w:tr>
        <w:trPr>
          <w:trHeight w:val="152"/>
        </w:trPr>
        <w:tc>
          <w:tcPr>
            <w:tcW w:w="1900" w:type="dxa"/>
            <w:vAlign w:val="bottom"/>
            <w:tcBorders>
              <w:left w:val="single" w:sz="8" w:color="auto"/>
              <w:right w:val="single" w:sz="8" w:color="auto"/>
            </w:tcBorders>
          </w:tcPr>
          <w:p>
            <w:pPr>
              <w:ind w:left="180"/>
              <w:spacing w:after="0" w:line="151" w:lineRule="exact"/>
              <w:rPr>
                <w:sz w:val="20"/>
                <w:szCs w:val="20"/>
                <w:color w:val="auto"/>
              </w:rPr>
            </w:pPr>
            <w:r>
              <w:rPr>
                <w:rFonts w:ascii="Calibri" w:cs="Calibri" w:eastAsia="Calibri" w:hAnsi="Calibri"/>
                <w:sz w:val="14"/>
                <w:szCs w:val="14"/>
                <w:color w:val="auto"/>
              </w:rPr>
              <w:t>Credit Card</w:t>
            </w:r>
          </w:p>
        </w:tc>
        <w:tc>
          <w:tcPr>
            <w:tcW w:w="900" w:type="dxa"/>
            <w:vAlign w:val="bottom"/>
          </w:tcPr>
          <w:p>
            <w:pPr>
              <w:jc w:val="center"/>
              <w:spacing w:after="0" w:line="151" w:lineRule="exact"/>
              <w:rPr>
                <w:sz w:val="20"/>
                <w:szCs w:val="20"/>
                <w:color w:val="auto"/>
              </w:rPr>
            </w:pPr>
            <w:r>
              <w:rPr>
                <w:rFonts w:ascii="Calibri" w:cs="Calibri" w:eastAsia="Calibri" w:hAnsi="Calibri"/>
                <w:sz w:val="14"/>
                <w:szCs w:val="14"/>
                <w:color w:val="auto"/>
              </w:rPr>
              <w:t>6,068</w:t>
            </w:r>
          </w:p>
        </w:tc>
        <w:tc>
          <w:tcPr>
            <w:tcW w:w="940" w:type="dxa"/>
            <w:vAlign w:val="bottom"/>
          </w:tcPr>
          <w:p>
            <w:pPr>
              <w:jc w:val="center"/>
              <w:spacing w:after="0" w:line="151" w:lineRule="exact"/>
              <w:rPr>
                <w:sz w:val="20"/>
                <w:szCs w:val="20"/>
                <w:color w:val="auto"/>
              </w:rPr>
            </w:pPr>
            <w:r>
              <w:rPr>
                <w:rFonts w:ascii="Calibri" w:cs="Calibri" w:eastAsia="Calibri" w:hAnsi="Calibri"/>
                <w:sz w:val="14"/>
                <w:szCs w:val="14"/>
                <w:color w:val="auto"/>
                <w:w w:val="93"/>
              </w:rPr>
              <w:t>5,955</w:t>
            </w:r>
          </w:p>
        </w:tc>
        <w:tc>
          <w:tcPr>
            <w:tcW w:w="96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rPr>
              <w:t>6,124</w:t>
            </w:r>
          </w:p>
        </w:tc>
        <w:tc>
          <w:tcPr>
            <w:tcW w:w="920" w:type="dxa"/>
            <w:vAlign w:val="bottom"/>
          </w:tcPr>
          <w:p>
            <w:pPr>
              <w:jc w:val="center"/>
              <w:spacing w:after="0" w:line="151" w:lineRule="exact"/>
              <w:rPr>
                <w:sz w:val="20"/>
                <w:szCs w:val="20"/>
                <w:color w:val="auto"/>
              </w:rPr>
            </w:pPr>
            <w:r>
              <w:rPr>
                <w:rFonts w:ascii="Calibri" w:cs="Calibri" w:eastAsia="Calibri" w:hAnsi="Calibri"/>
                <w:sz w:val="14"/>
                <w:szCs w:val="14"/>
                <w:color w:val="auto"/>
              </w:rPr>
              <w:t>169</w:t>
            </w:r>
          </w:p>
        </w:tc>
        <w:tc>
          <w:tcPr>
            <w:tcW w:w="94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w w:val="98"/>
              </w:rPr>
              <w:t>57</w:t>
            </w:r>
          </w:p>
        </w:tc>
        <w:tc>
          <w:tcPr>
            <w:tcW w:w="980" w:type="dxa"/>
            <w:vAlign w:val="bottom"/>
          </w:tcPr>
          <w:p>
            <w:pPr>
              <w:jc w:val="center"/>
              <w:spacing w:after="0" w:line="151" w:lineRule="exact"/>
              <w:rPr>
                <w:sz w:val="20"/>
                <w:szCs w:val="20"/>
                <w:color w:val="auto"/>
              </w:rPr>
            </w:pPr>
            <w:r>
              <w:rPr>
                <w:rFonts w:ascii="Calibri" w:cs="Calibri" w:eastAsia="Calibri" w:hAnsi="Calibri"/>
                <w:sz w:val="14"/>
                <w:szCs w:val="14"/>
                <w:color w:val="auto"/>
              </w:rPr>
              <w:t>2.8%</w:t>
            </w:r>
          </w:p>
        </w:tc>
        <w:tc>
          <w:tcPr>
            <w:tcW w:w="900" w:type="dxa"/>
            <w:vAlign w:val="bottom"/>
            <w:tcBorders>
              <w:right w:val="single" w:sz="8" w:color="auto"/>
            </w:tcBorders>
          </w:tcPr>
          <w:p>
            <w:pPr>
              <w:jc w:val="center"/>
              <w:ind w:right="11"/>
              <w:spacing w:after="0" w:line="151" w:lineRule="exact"/>
              <w:rPr>
                <w:sz w:val="20"/>
                <w:szCs w:val="20"/>
                <w:color w:val="auto"/>
              </w:rPr>
            </w:pPr>
            <w:r>
              <w:rPr>
                <w:rFonts w:ascii="Calibri" w:cs="Calibri" w:eastAsia="Calibri" w:hAnsi="Calibri"/>
                <w:sz w:val="14"/>
                <w:szCs w:val="14"/>
                <w:color w:val="auto"/>
                <w:w w:val="93"/>
              </w:rPr>
              <w:t>0.9%</w:t>
            </w:r>
          </w:p>
        </w:tc>
        <w:tc>
          <w:tcPr>
            <w:tcW w:w="920" w:type="dxa"/>
            <w:vAlign w:val="bottom"/>
          </w:tcPr>
          <w:p>
            <w:pPr>
              <w:jc w:val="center"/>
              <w:spacing w:after="0" w:line="151" w:lineRule="exact"/>
              <w:rPr>
                <w:sz w:val="20"/>
                <w:szCs w:val="20"/>
                <w:color w:val="auto"/>
              </w:rPr>
            </w:pPr>
            <w:r>
              <w:rPr>
                <w:rFonts w:ascii="Calibri" w:cs="Calibri" w:eastAsia="Calibri" w:hAnsi="Calibri"/>
                <w:sz w:val="14"/>
                <w:szCs w:val="14"/>
                <w:color w:val="auto"/>
              </w:rPr>
              <w:t>4.1%</w:t>
            </w:r>
          </w:p>
        </w:tc>
        <w:tc>
          <w:tcPr>
            <w:tcW w:w="800" w:type="dxa"/>
            <w:vAlign w:val="bottom"/>
          </w:tcPr>
          <w:p>
            <w:pPr>
              <w:jc w:val="center"/>
              <w:ind w:left="51"/>
              <w:spacing w:after="0" w:line="151" w:lineRule="exact"/>
              <w:rPr>
                <w:sz w:val="20"/>
                <w:szCs w:val="20"/>
                <w:color w:val="auto"/>
              </w:rPr>
            </w:pPr>
            <w:r>
              <w:rPr>
                <w:rFonts w:ascii="Calibri" w:cs="Calibri" w:eastAsia="Calibri" w:hAnsi="Calibri"/>
                <w:sz w:val="14"/>
                <w:szCs w:val="14"/>
                <w:color w:val="auto"/>
              </w:rPr>
              <w:t>4.2%</w:t>
            </w:r>
          </w:p>
        </w:tc>
        <w:tc>
          <w:tcPr>
            <w:tcW w:w="1080" w:type="dxa"/>
            <w:vAlign w:val="bottom"/>
            <w:tcBorders>
              <w:right w:val="single" w:sz="8" w:color="auto"/>
            </w:tcBorders>
          </w:tcPr>
          <w:p>
            <w:pPr>
              <w:jc w:val="center"/>
              <w:ind w:left="51"/>
              <w:spacing w:after="0" w:line="151" w:lineRule="exact"/>
              <w:rPr>
                <w:sz w:val="20"/>
                <w:szCs w:val="20"/>
                <w:color w:val="auto"/>
              </w:rPr>
            </w:pPr>
            <w:r>
              <w:rPr>
                <w:rFonts w:ascii="Calibri" w:cs="Calibri" w:eastAsia="Calibri" w:hAnsi="Calibri"/>
                <w:sz w:val="14"/>
                <w:szCs w:val="14"/>
                <w:color w:val="auto"/>
              </w:rPr>
              <w:t>4.3%</w:t>
            </w:r>
          </w:p>
        </w:tc>
        <w:tc>
          <w:tcPr>
            <w:tcW w:w="0" w:type="dxa"/>
            <w:vAlign w:val="bottom"/>
          </w:tcPr>
          <w:p>
            <w:pPr>
              <w:spacing w:after="0"/>
              <w:rPr>
                <w:sz w:val="1"/>
                <w:szCs w:val="1"/>
                <w:color w:val="auto"/>
              </w:rPr>
            </w:pPr>
          </w:p>
        </w:tc>
      </w:tr>
      <w:tr>
        <w:trPr>
          <w:trHeight w:val="187"/>
        </w:trPr>
        <w:tc>
          <w:tcPr>
            <w:tcW w:w="1900" w:type="dxa"/>
            <w:vAlign w:val="bottom"/>
            <w:tcBorders>
              <w:left w:val="single" w:sz="8" w:color="auto"/>
              <w:right w:val="single" w:sz="8" w:color="auto"/>
            </w:tcBorders>
          </w:tcPr>
          <w:p>
            <w:pPr>
              <w:ind w:left="20"/>
              <w:spacing w:after="0" w:line="187" w:lineRule="exact"/>
              <w:rPr>
                <w:sz w:val="20"/>
                <w:szCs w:val="20"/>
                <w:color w:val="auto"/>
              </w:rPr>
            </w:pPr>
            <w:r>
              <w:rPr>
                <w:rFonts w:ascii="Calibri" w:cs="Calibri" w:eastAsia="Calibri" w:hAnsi="Calibri"/>
                <w:sz w:val="12"/>
                <w:szCs w:val="12"/>
                <w:b w:val="1"/>
                <w:bCs w:val="1"/>
                <w:color w:val="auto"/>
              </w:rPr>
              <w:t xml:space="preserve">Others </w:t>
            </w:r>
            <w:r>
              <w:rPr>
                <w:rFonts w:ascii="Calibri" w:cs="Calibri" w:eastAsia="Calibri" w:hAnsi="Calibri"/>
                <w:sz w:val="20"/>
                <w:szCs w:val="20"/>
                <w:b w:val="1"/>
                <w:bCs w:val="1"/>
                <w:color w:val="auto"/>
                <w:vertAlign w:val="superscript"/>
              </w:rPr>
              <w:t>(1)</w:t>
            </w:r>
          </w:p>
        </w:tc>
        <w:tc>
          <w:tcPr>
            <w:tcW w:w="9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1,909</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3"/>
              </w:rPr>
              <w:t>1,901</w:t>
            </w:r>
          </w:p>
        </w:tc>
        <w:tc>
          <w:tcPr>
            <w:tcW w:w="9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9"/>
              </w:rPr>
              <w:t>1,797</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-103</w:t>
            </w:r>
          </w:p>
        </w:tc>
        <w:tc>
          <w:tcPr>
            <w:tcW w:w="9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3"/>
              </w:rPr>
              <w:t>-112</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-5.4%</w:t>
            </w:r>
          </w:p>
        </w:tc>
        <w:tc>
          <w:tcPr>
            <w:tcW w:w="90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8"/>
              </w:rPr>
              <w:t>-5.8%</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1.3%</w:t>
            </w:r>
          </w:p>
        </w:tc>
        <w:tc>
          <w:tcPr>
            <w:tcW w:w="800" w:type="dxa"/>
            <w:vAlign w:val="bottom"/>
          </w:tcPr>
          <w:p>
            <w:pPr>
              <w:jc w:val="center"/>
              <w:ind w:left="51"/>
              <w:spacing w:after="0" w:line="169" w:lineRule="exact"/>
              <w:rPr>
                <w:sz w:val="20"/>
                <w:szCs w:val="20"/>
                <w:color w:val="auto"/>
              </w:rPr>
            </w:pPr>
            <w:r>
              <w:rPr>
                <w:rFonts w:ascii="Calibri" w:cs="Calibri" w:eastAsia="Calibri" w:hAnsi="Calibri"/>
                <w:sz w:val="14"/>
                <w:szCs w:val="14"/>
                <w:b w:val="1"/>
                <w:bCs w:val="1"/>
                <w:color w:val="auto"/>
                <w:w w:val="99"/>
              </w:rPr>
              <w:t>1.3%</w:t>
            </w:r>
          </w:p>
        </w:tc>
        <w:tc>
          <w:tcPr>
            <w:tcW w:w="1080" w:type="dxa"/>
            <w:vAlign w:val="bottom"/>
            <w:tcBorders>
              <w:right w:val="single" w:sz="8" w:color="auto"/>
            </w:tcBorders>
          </w:tcPr>
          <w:p>
            <w:pPr>
              <w:jc w:val="center"/>
              <w:ind w:left="51"/>
              <w:spacing w:after="0" w:line="169" w:lineRule="exact"/>
              <w:rPr>
                <w:sz w:val="20"/>
                <w:szCs w:val="20"/>
                <w:color w:val="auto"/>
              </w:rPr>
            </w:pPr>
            <w:r>
              <w:rPr>
                <w:rFonts w:ascii="Calibri" w:cs="Calibri" w:eastAsia="Calibri" w:hAnsi="Calibri"/>
                <w:sz w:val="14"/>
                <w:szCs w:val="14"/>
                <w:b w:val="1"/>
                <w:bCs w:val="1"/>
                <w:color w:val="auto"/>
                <w:w w:val="99"/>
              </w:rPr>
              <w:t>1.3%</w:t>
            </w:r>
          </w:p>
        </w:tc>
        <w:tc>
          <w:tcPr>
            <w:tcW w:w="0" w:type="dxa"/>
            <w:vAlign w:val="bottom"/>
          </w:tcPr>
          <w:p>
            <w:pPr>
              <w:spacing w:after="0"/>
              <w:rPr>
                <w:sz w:val="1"/>
                <w:szCs w:val="1"/>
                <w:color w:val="auto"/>
              </w:rPr>
            </w:pPr>
          </w:p>
        </w:tc>
      </w:tr>
      <w:tr>
        <w:trPr>
          <w:trHeight w:val="161"/>
        </w:trPr>
        <w:tc>
          <w:tcPr>
            <w:tcW w:w="1900" w:type="dxa"/>
            <w:vAlign w:val="bottom"/>
            <w:tcBorders>
              <w:top w:val="single" w:sz="8" w:color="auto"/>
              <w:left w:val="single" w:sz="8" w:color="auto"/>
              <w:bottom w:val="single" w:sz="8" w:color="auto"/>
              <w:right w:val="single" w:sz="8" w:color="646464"/>
            </w:tcBorders>
          </w:tcPr>
          <w:p>
            <w:pPr>
              <w:ind w:left="20"/>
              <w:spacing w:after="0" w:line="161" w:lineRule="exact"/>
              <w:rPr>
                <w:sz w:val="20"/>
                <w:szCs w:val="20"/>
                <w:color w:val="auto"/>
              </w:rPr>
            </w:pPr>
            <w:r>
              <w:rPr>
                <w:rFonts w:ascii="Calibri" w:cs="Calibri" w:eastAsia="Calibri" w:hAnsi="Calibri"/>
                <w:sz w:val="14"/>
                <w:szCs w:val="14"/>
                <w:b w:val="1"/>
                <w:bCs w:val="1"/>
                <w:color w:val="auto"/>
              </w:rPr>
              <w:t>Total Loans BAP</w:t>
            </w:r>
          </w:p>
        </w:tc>
        <w:tc>
          <w:tcPr>
            <w:tcW w:w="900" w:type="dxa"/>
            <w:vAlign w:val="bottom"/>
            <w:tcBorders>
              <w:top w:val="single" w:sz="8" w:color="auto"/>
              <w:bottom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9"/>
              </w:rPr>
              <w:t>146,947</w:t>
            </w:r>
          </w:p>
        </w:tc>
        <w:tc>
          <w:tcPr>
            <w:tcW w:w="940" w:type="dxa"/>
            <w:vAlign w:val="bottom"/>
            <w:tcBorders>
              <w:top w:val="single" w:sz="8" w:color="auto"/>
              <w:bottom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9"/>
              </w:rPr>
              <w:t>141,197</w:t>
            </w:r>
          </w:p>
        </w:tc>
        <w:tc>
          <w:tcPr>
            <w:tcW w:w="960" w:type="dxa"/>
            <w:vAlign w:val="bottom"/>
            <w:tcBorders>
              <w:top w:val="single" w:sz="8" w:color="auto"/>
              <w:bottom w:val="single" w:sz="8" w:color="auto"/>
              <w:right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9"/>
              </w:rPr>
              <w:t>140,962</w:t>
            </w:r>
          </w:p>
        </w:tc>
        <w:tc>
          <w:tcPr>
            <w:tcW w:w="920" w:type="dxa"/>
            <w:vAlign w:val="bottom"/>
            <w:tcBorders>
              <w:top w:val="single" w:sz="8" w:color="auto"/>
              <w:bottom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rPr>
              <w:t>-235</w:t>
            </w:r>
          </w:p>
        </w:tc>
        <w:tc>
          <w:tcPr>
            <w:tcW w:w="940" w:type="dxa"/>
            <w:vAlign w:val="bottom"/>
            <w:tcBorders>
              <w:top w:val="single" w:sz="8" w:color="auto"/>
              <w:bottom w:val="single" w:sz="8" w:color="auto"/>
              <w:right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9"/>
              </w:rPr>
              <w:t>-5,985</w:t>
            </w:r>
          </w:p>
        </w:tc>
        <w:tc>
          <w:tcPr>
            <w:tcW w:w="980" w:type="dxa"/>
            <w:vAlign w:val="bottom"/>
            <w:tcBorders>
              <w:top w:val="single" w:sz="8" w:color="auto"/>
              <w:bottom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8"/>
              </w:rPr>
              <w:t>-0.2%</w:t>
            </w:r>
          </w:p>
        </w:tc>
        <w:tc>
          <w:tcPr>
            <w:tcW w:w="900" w:type="dxa"/>
            <w:vAlign w:val="bottom"/>
            <w:tcBorders>
              <w:top w:val="single" w:sz="8" w:color="auto"/>
              <w:bottom w:val="single" w:sz="8" w:color="auto"/>
              <w:right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8"/>
              </w:rPr>
              <w:t>-4.1%</w:t>
            </w:r>
          </w:p>
        </w:tc>
        <w:tc>
          <w:tcPr>
            <w:tcW w:w="920" w:type="dxa"/>
            <w:vAlign w:val="bottom"/>
            <w:tcBorders>
              <w:top w:val="single" w:sz="8" w:color="auto"/>
              <w:bottom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9"/>
              </w:rPr>
              <w:t>100.0%</w:t>
            </w:r>
          </w:p>
        </w:tc>
        <w:tc>
          <w:tcPr>
            <w:tcW w:w="800" w:type="dxa"/>
            <w:vAlign w:val="bottom"/>
            <w:tcBorders>
              <w:top w:val="single" w:sz="8" w:color="auto"/>
              <w:bottom w:val="single" w:sz="8" w:color="auto"/>
            </w:tcBorders>
          </w:tcPr>
          <w:p>
            <w:pPr>
              <w:jc w:val="center"/>
              <w:ind w:left="71"/>
              <w:spacing w:after="0" w:line="161" w:lineRule="exact"/>
              <w:rPr>
                <w:sz w:val="20"/>
                <w:szCs w:val="20"/>
                <w:color w:val="auto"/>
              </w:rPr>
            </w:pPr>
            <w:r>
              <w:rPr>
                <w:rFonts w:ascii="Calibri" w:cs="Calibri" w:eastAsia="Calibri" w:hAnsi="Calibri"/>
                <w:sz w:val="14"/>
                <w:szCs w:val="14"/>
                <w:b w:val="1"/>
                <w:bCs w:val="1"/>
                <w:color w:val="auto"/>
                <w:w w:val="99"/>
              </w:rPr>
              <w:t>100.0%</w:t>
            </w:r>
          </w:p>
        </w:tc>
        <w:tc>
          <w:tcPr>
            <w:tcW w:w="1080" w:type="dxa"/>
            <w:vAlign w:val="bottom"/>
            <w:tcBorders>
              <w:top w:val="single" w:sz="8" w:color="auto"/>
              <w:bottom w:val="single" w:sz="8" w:color="auto"/>
              <w:right w:val="single" w:sz="8" w:color="auto"/>
            </w:tcBorders>
          </w:tcPr>
          <w:p>
            <w:pPr>
              <w:jc w:val="center"/>
              <w:ind w:left="71"/>
              <w:spacing w:after="0" w:line="161" w:lineRule="exact"/>
              <w:rPr>
                <w:sz w:val="20"/>
                <w:szCs w:val="20"/>
                <w:color w:val="auto"/>
              </w:rPr>
            </w:pPr>
            <w:r>
              <w:rPr>
                <w:rFonts w:ascii="Calibri" w:cs="Calibri" w:eastAsia="Calibri" w:hAnsi="Calibri"/>
                <w:sz w:val="14"/>
                <w:szCs w:val="14"/>
                <w:b w:val="1"/>
                <w:bCs w:val="1"/>
                <w:color w:val="auto"/>
                <w:w w:val="99"/>
              </w:rPr>
              <w:t>100.0%</w:t>
            </w: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444" w:right="339" w:bottom="1440" w:gutter="0" w:footer="0" w:header="0"/>
        </w:sectPr>
      </w:pPr>
    </w:p>
    <w:p>
      <w:pPr>
        <w:spacing w:after="0"/>
        <w:rPr>
          <w:sz w:val="20"/>
          <w:szCs w:val="20"/>
          <w:color w:val="auto"/>
        </w:rPr>
      </w:pPr>
      <w:r>
        <w:rPr>
          <w:rFonts w:ascii="Calibri" w:cs="Calibri" w:eastAsia="Calibri" w:hAnsi="Calibri"/>
          <w:sz w:val="11"/>
          <w:szCs w:val="11"/>
          <w:color w:val="auto"/>
        </w:rPr>
        <w:t>For consolidaton purposes, loans generated in Foreign Currency (FC) are converted into Local Currency (LC).</w:t>
      </w:r>
    </w:p>
    <w:p>
      <w:pPr>
        <w:spacing w:after="0" w:line="232" w:lineRule="auto"/>
        <w:rPr>
          <w:sz w:val="20"/>
          <w:szCs w:val="20"/>
          <w:color w:val="auto"/>
        </w:rPr>
      </w:pPr>
      <w:r>
        <w:rPr>
          <w:rFonts w:ascii="Calibri" w:cs="Calibri" w:eastAsia="Calibri" w:hAnsi="Calibri"/>
          <w:sz w:val="11"/>
          <w:szCs w:val="11"/>
          <w:color w:val="auto"/>
        </w:rPr>
        <w:t>(1) Includes other assets and accruals.</w:t>
      </w:r>
    </w:p>
    <w:p>
      <w:pPr>
        <w:spacing w:after="0" w:line="17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 total loans in quarter-end balances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rose 1.4% (+2.5%</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FX Neutral). This growth was driven primarily by </w:t>
      </w:r>
      <w:r>
        <w:rPr>
          <w:rFonts w:ascii="Calibri" w:cs="Calibri" w:eastAsia="Calibri" w:hAnsi="Calibri"/>
          <w:sz w:val="17"/>
          <w:szCs w:val="17"/>
          <w:b w:val="1"/>
          <w:bCs w:val="1"/>
          <w:color w:val="auto"/>
        </w:rPr>
        <w:t>Retail Banking</w:t>
      </w:r>
      <w:r>
        <w:rPr>
          <w:rFonts w:ascii="Calibri" w:cs="Calibri" w:eastAsia="Calibri" w:hAnsi="Calibri"/>
          <w:sz w:val="17"/>
          <w:szCs w:val="17"/>
          <w:color w:val="auto"/>
        </w:rPr>
        <w:t xml:space="preserve"> and secondarily by </w:t>
      </w:r>
      <w:r>
        <w:rPr>
          <w:rFonts w:ascii="Calibri" w:cs="Calibri" w:eastAsia="Calibri" w:hAnsi="Calibri"/>
          <w:sz w:val="17"/>
          <w:szCs w:val="17"/>
          <w:b w:val="1"/>
          <w:bCs w:val="1"/>
          <w:color w:val="auto"/>
        </w:rPr>
        <w:t>Wholesale Banking</w:t>
      </w:r>
      <w:r>
        <w:rPr>
          <w:rFonts w:ascii="Calibri" w:cs="Calibri" w:eastAsia="Calibri" w:hAnsi="Calibri"/>
          <w:sz w:val="17"/>
          <w:szCs w:val="17"/>
          <w:color w:val="auto"/>
        </w:rPr>
        <w:t>. In Retail, growth was driven primarily by:</w:t>
      </w:r>
    </w:p>
    <w:p>
      <w:pPr>
        <w:spacing w:after="0" w:line="265" w:lineRule="exact"/>
        <w:rPr>
          <w:sz w:val="20"/>
          <w:szCs w:val="20"/>
          <w:color w:val="auto"/>
        </w:rPr>
      </w:pPr>
    </w:p>
    <w:p>
      <w:pPr>
        <w:ind w:left="480" w:right="20" w:hanging="320"/>
        <w:spacing w:after="0" w:line="239" w:lineRule="auto"/>
        <w:tabs>
          <w:tab w:leader="none" w:pos="480" w:val="left"/>
        </w:tabs>
        <w:numPr>
          <w:ilvl w:val="0"/>
          <w:numId w:val="13"/>
        </w:numPr>
        <w:rPr>
          <w:rFonts w:ascii="Calibri" w:cs="Calibri" w:eastAsia="Calibri" w:hAnsi="Calibri"/>
          <w:sz w:val="17"/>
          <w:szCs w:val="17"/>
          <w:color w:val="auto"/>
          <w:strike w:val="1"/>
        </w:rPr>
      </w:pPr>
      <w:r>
        <w:rPr>
          <w:rFonts w:ascii="Calibri" w:cs="Calibri" w:eastAsia="Calibri" w:hAnsi="Calibri"/>
          <w:sz w:val="17"/>
          <w:szCs w:val="17"/>
          <w:b w:val="1"/>
          <w:bCs w:val="1"/>
          <w:color w:val="auto"/>
        </w:rPr>
        <w:t>Mortgage</w:t>
      </w:r>
      <w:r>
        <w:rPr>
          <w:rFonts w:ascii="Calibri" w:cs="Calibri" w:eastAsia="Calibri" w:hAnsi="Calibri"/>
          <w:sz w:val="17"/>
          <w:szCs w:val="17"/>
          <w:color w:val="auto"/>
        </w:rPr>
        <w:t>, where loan demand was boosted by improvements in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economic environment and lower interest rates.</w:t>
      </w:r>
    </w:p>
    <w:p>
      <w:pPr>
        <w:spacing w:after="0" w:line="2" w:lineRule="exact"/>
        <w:rPr>
          <w:rFonts w:ascii="Calibri" w:cs="Calibri" w:eastAsia="Calibri" w:hAnsi="Calibri"/>
          <w:sz w:val="17"/>
          <w:szCs w:val="17"/>
          <w:color w:val="auto"/>
          <w:strike w:val="1"/>
        </w:rPr>
      </w:pPr>
    </w:p>
    <w:p>
      <w:pPr>
        <w:ind w:left="480" w:right="20" w:hanging="320"/>
        <w:spacing w:after="0" w:line="239" w:lineRule="auto"/>
        <w:tabs>
          <w:tab w:leader="none" w:pos="480" w:val="left"/>
        </w:tabs>
        <w:numPr>
          <w:ilvl w:val="0"/>
          <w:numId w:val="13"/>
        </w:numPr>
        <w:rPr>
          <w:rFonts w:ascii="Calibri" w:cs="Calibri" w:eastAsia="Calibri" w:hAnsi="Calibri"/>
          <w:sz w:val="17"/>
          <w:szCs w:val="17"/>
          <w:color w:val="auto"/>
          <w:strike w:val="1"/>
        </w:rPr>
      </w:pPr>
      <w:r>
        <w:rPr>
          <w:rFonts w:ascii="Calibri" w:cs="Calibri" w:eastAsia="Calibri" w:hAnsi="Calibri"/>
          <w:sz w:val="17"/>
          <w:szCs w:val="17"/>
          <w:b w:val="1"/>
          <w:bCs w:val="1"/>
          <w:color w:val="auto"/>
        </w:rPr>
        <w:t xml:space="preserve">Consumer, </w:t>
      </w:r>
      <w:r>
        <w:rPr>
          <w:rFonts w:ascii="Calibri" w:cs="Calibri" w:eastAsia="Calibri" w:hAnsi="Calibri"/>
          <w:sz w:val="17"/>
          <w:szCs w:val="17"/>
          <w:color w:val="auto"/>
        </w:rPr>
        <w:t>due to an upswing in disbursements, mainly through BCP</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and Yape.</w:t>
      </w:r>
    </w:p>
    <w:p>
      <w:pPr>
        <w:spacing w:after="0" w:line="145"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In </w:t>
      </w:r>
      <w:r>
        <w:rPr>
          <w:rFonts w:ascii="Calibri" w:cs="Calibri" w:eastAsia="Calibri" w:hAnsi="Calibri"/>
          <w:sz w:val="17"/>
          <w:szCs w:val="17"/>
          <w:b w:val="1"/>
          <w:bCs w:val="1"/>
          <w:color w:val="auto"/>
        </w:rPr>
        <w:t>Wholesale Banking,</w:t>
      </w:r>
      <w:r>
        <w:rPr>
          <w:rFonts w:ascii="Calibri" w:cs="Calibri" w:eastAsia="Calibri" w:hAnsi="Calibri"/>
          <w:sz w:val="17"/>
          <w:szCs w:val="17"/>
          <w:color w:val="auto"/>
        </w:rPr>
        <w:t xml:space="preserve"> growth was driven by:</w:t>
      </w:r>
    </w:p>
    <w:p>
      <w:pPr>
        <w:spacing w:after="0" w:line="210" w:lineRule="exact"/>
        <w:rPr>
          <w:sz w:val="20"/>
          <w:szCs w:val="20"/>
          <w:color w:val="auto"/>
        </w:rPr>
      </w:pPr>
    </w:p>
    <w:p>
      <w:pPr>
        <w:ind w:left="480" w:right="20" w:hanging="320"/>
        <w:spacing w:after="0" w:line="239" w:lineRule="auto"/>
        <w:tabs>
          <w:tab w:leader="none" w:pos="480" w:val="left"/>
        </w:tabs>
        <w:numPr>
          <w:ilvl w:val="0"/>
          <w:numId w:val="14"/>
        </w:numPr>
        <w:rPr>
          <w:rFonts w:ascii="Calibri" w:cs="Calibri" w:eastAsia="Calibri" w:hAnsi="Calibri"/>
          <w:sz w:val="17"/>
          <w:szCs w:val="17"/>
          <w:color w:val="auto"/>
          <w:strike w:val="1"/>
        </w:rPr>
      </w:pPr>
      <w:r>
        <w:rPr>
          <w:rFonts w:ascii="Calibri" w:cs="Calibri" w:eastAsia="Calibri" w:hAnsi="Calibri"/>
          <w:sz w:val="17"/>
          <w:szCs w:val="17"/>
          <w:b w:val="1"/>
          <w:bCs w:val="1"/>
          <w:color w:val="auto"/>
        </w:rPr>
        <w:t>Middle Market Banking</w:t>
      </w:r>
      <w:r>
        <w:rPr>
          <w:rFonts w:ascii="Calibri" w:cs="Calibri" w:eastAsia="Calibri" w:hAnsi="Calibri"/>
          <w:sz w:val="17"/>
          <w:szCs w:val="17"/>
          <w:color w:val="auto"/>
        </w:rPr>
        <w:t>, which registered an uptck in demand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working capital loans afer the frst fshing campaign began in April.</w:t>
      </w:r>
    </w:p>
    <w:p>
      <w:pPr>
        <w:spacing w:after="0" w:line="132" w:lineRule="exact"/>
        <w:rPr>
          <w:sz w:val="20"/>
          <w:szCs w:val="20"/>
          <w:color w:val="auto"/>
        </w:rPr>
      </w:pPr>
    </w:p>
    <w:p>
      <w:pPr>
        <w:spacing w:after="0"/>
        <w:rPr>
          <w:sz w:val="20"/>
          <w:szCs w:val="20"/>
          <w:color w:val="auto"/>
        </w:rPr>
      </w:pPr>
      <w:r>
        <w:rPr>
          <w:rFonts w:ascii="Calibri" w:cs="Calibri" w:eastAsia="Calibri" w:hAnsi="Calibri"/>
          <w:sz w:val="17"/>
          <w:szCs w:val="17"/>
          <w:color w:val="auto"/>
        </w:rPr>
        <w:t>The aforementoned was partally ofset by a drop in loans through:</w:t>
      </w:r>
    </w:p>
    <w:p>
      <w:pPr>
        <w:spacing w:after="0" w:line="209" w:lineRule="exact"/>
        <w:rPr>
          <w:sz w:val="20"/>
          <w:szCs w:val="20"/>
          <w:color w:val="auto"/>
        </w:rPr>
      </w:pPr>
    </w:p>
    <w:p>
      <w:pPr>
        <w:ind w:left="480" w:hanging="320"/>
        <w:spacing w:after="0"/>
        <w:tabs>
          <w:tab w:leader="none" w:pos="480" w:val="left"/>
        </w:tabs>
        <w:numPr>
          <w:ilvl w:val="0"/>
          <w:numId w:val="15"/>
        </w:numPr>
        <w:rPr>
          <w:rFonts w:ascii="Calibri" w:cs="Calibri" w:eastAsia="Calibri" w:hAnsi="Calibri"/>
          <w:sz w:val="17"/>
          <w:szCs w:val="17"/>
          <w:color w:val="auto"/>
          <w:strike w:val="1"/>
        </w:rPr>
      </w:pPr>
      <w:r>
        <w:rPr>
          <w:rFonts w:ascii="Calibri" w:cs="Calibri" w:eastAsia="Calibri" w:hAnsi="Calibri"/>
          <w:sz w:val="17"/>
          <w:szCs w:val="17"/>
          <w:b w:val="1"/>
          <w:bCs w:val="1"/>
          <w:color w:val="auto"/>
        </w:rPr>
        <w:t xml:space="preserve">Corporate Banking, </w:t>
      </w:r>
      <w:r>
        <w:rPr>
          <w:rFonts w:ascii="Calibri" w:cs="Calibri" w:eastAsia="Calibri" w:hAnsi="Calibri"/>
          <w:sz w:val="17"/>
          <w:szCs w:val="17"/>
          <w:color w:val="auto"/>
        </w:rPr>
        <w:t>due to growth in amortzatons of short-term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YoY</w:t>
      </w:r>
      <w:r>
        <w:rPr>
          <w:rFonts w:ascii="Calibri" w:cs="Calibri" w:eastAsia="Calibri" w:hAnsi="Calibri"/>
          <w:sz w:val="17"/>
          <w:szCs w:val="17"/>
          <w:color w:val="auto"/>
        </w:rPr>
        <w:t>, total loans in quarter-end balances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remained stable,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given that growth in loans through </w:t>
      </w:r>
      <w:r>
        <w:rPr>
          <w:rFonts w:ascii="Calibri" w:cs="Calibri" w:eastAsia="Calibri" w:hAnsi="Calibri"/>
          <w:sz w:val="17"/>
          <w:szCs w:val="17"/>
          <w:b w:val="1"/>
          <w:bCs w:val="1"/>
          <w:color w:val="auto"/>
        </w:rPr>
        <w:t>Retail Banking</w:t>
      </w:r>
      <w:r>
        <w:rPr>
          <w:rFonts w:ascii="Calibri" w:cs="Calibri" w:eastAsia="Calibri" w:hAnsi="Calibri"/>
          <w:sz w:val="17"/>
          <w:szCs w:val="17"/>
          <w:color w:val="auto"/>
        </w:rPr>
        <w:t xml:space="preserve"> was ofset by a drop in </w:t>
      </w:r>
      <w:r>
        <w:rPr>
          <w:rFonts w:ascii="Calibri" w:cs="Calibri" w:eastAsia="Calibri" w:hAnsi="Calibri"/>
          <w:sz w:val="17"/>
          <w:szCs w:val="17"/>
          <w:b w:val="1"/>
          <w:bCs w:val="1"/>
          <w:color w:val="auto"/>
        </w:rPr>
        <w:t xml:space="preserve">Wholesale Banking </w:t>
      </w:r>
      <w:r>
        <w:rPr>
          <w:rFonts w:ascii="Calibri" w:cs="Calibri" w:eastAsia="Calibri" w:hAnsi="Calibri"/>
          <w:sz w:val="17"/>
          <w:szCs w:val="17"/>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-767715</wp:posOffset>
            </wp:positionV>
            <wp:extent cx="1049020" cy="189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49020" cy="189865"/>
                    </a:xfrm>
                    <a:prstGeom prst="rect">
                      <a:avLst/>
                    </a:prstGeom>
                    <a:noFill/>
                  </pic:spPr>
                </pic:pic>
              </a:graphicData>
            </a:graphic>
          </wp:anchor>
        </w:drawing>
      </w:r>
    </w:p>
    <w:p>
      <w:pPr>
        <w:spacing w:after="0" w:line="128"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Nonetheless, in the FX neutral analysis, total loans increased 2.6% </w:t>
      </w:r>
      <w:r>
        <w:rPr>
          <w:rFonts w:ascii="Calibri" w:cs="Calibri" w:eastAsia="Calibri" w:hAnsi="Calibri"/>
          <w:sz w:val="17"/>
          <w:szCs w:val="17"/>
          <w:b w:val="1"/>
          <w:bCs w:val="1"/>
          <w:color w:val="auto"/>
        </w:rPr>
        <w:t>YoY</w:t>
      </w:r>
      <w:r>
        <w:rPr>
          <w:rFonts w:ascii="Calibri" w:cs="Calibri" w:eastAsia="Calibri" w:hAnsi="Calibri"/>
          <w:sz w:val="17"/>
          <w:szCs w:val="17"/>
          <w:color w:val="auto"/>
        </w:rPr>
        <w:t>, on the back of expansion in both segments.</w:t>
      </w:r>
    </w:p>
    <w:p>
      <w:pPr>
        <w:spacing w:after="0" w:line="13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In </w:t>
      </w:r>
      <w:r>
        <w:rPr>
          <w:rFonts w:ascii="Calibri" w:cs="Calibri" w:eastAsia="Calibri" w:hAnsi="Calibri"/>
          <w:sz w:val="17"/>
          <w:szCs w:val="17"/>
          <w:b w:val="1"/>
          <w:bCs w:val="1"/>
          <w:color w:val="auto"/>
        </w:rPr>
        <w:t>Retail Banking</w:t>
      </w:r>
      <w:r>
        <w:rPr>
          <w:rFonts w:ascii="Calibri" w:cs="Calibri" w:eastAsia="Calibri" w:hAnsi="Calibri"/>
          <w:sz w:val="17"/>
          <w:szCs w:val="17"/>
          <w:color w:val="auto"/>
        </w:rPr>
        <w:t>, a 3.0% growth was primarily driven by:</w:t>
      </w:r>
    </w:p>
    <w:p>
      <w:pPr>
        <w:spacing w:after="0" w:line="196" w:lineRule="exact"/>
        <w:rPr>
          <w:sz w:val="20"/>
          <w:szCs w:val="20"/>
          <w:color w:val="auto"/>
        </w:rPr>
      </w:pPr>
    </w:p>
    <w:p>
      <w:pPr>
        <w:ind w:left="480" w:hanging="315"/>
        <w:spacing w:after="0"/>
        <w:tabs>
          <w:tab w:leader="none" w:pos="480" w:val="left"/>
        </w:tabs>
        <w:numPr>
          <w:ilvl w:val="0"/>
          <w:numId w:val="16"/>
        </w:numPr>
        <w:rPr>
          <w:rFonts w:ascii="Calibri" w:cs="Calibri" w:eastAsia="Calibri" w:hAnsi="Calibri"/>
          <w:sz w:val="17"/>
          <w:szCs w:val="17"/>
          <w:color w:val="auto"/>
          <w:strike w:val="1"/>
        </w:rPr>
      </w:pPr>
      <w:r>
        <w:rPr>
          <w:rFonts w:ascii="Calibri" w:cs="Calibri" w:eastAsia="Calibri" w:hAnsi="Calibri"/>
          <w:sz w:val="17"/>
          <w:szCs w:val="17"/>
          <w:b w:val="1"/>
          <w:bCs w:val="1"/>
          <w:color w:val="auto"/>
        </w:rPr>
        <w:t xml:space="preserve">Mortgage, </w:t>
      </w:r>
      <w:r>
        <w:rPr>
          <w:rFonts w:ascii="Calibri" w:cs="Calibri" w:eastAsia="Calibri" w:hAnsi="Calibri"/>
          <w:sz w:val="17"/>
          <w:szCs w:val="17"/>
          <w:color w:val="auto"/>
        </w:rPr>
        <w:t>due to the same dynamics in play</w:t>
      </w:r>
      <w:r>
        <w:rPr>
          <w:rFonts w:ascii="Calibri" w:cs="Calibri" w:eastAsia="Calibri" w:hAnsi="Calibri"/>
          <w:sz w:val="17"/>
          <w:szCs w:val="17"/>
          <w:b w:val="1"/>
          <w:bCs w:val="1"/>
          <w:color w:val="auto"/>
        </w:rPr>
        <w:t xml:space="preserve"> QoQ</w:t>
      </w:r>
      <w:r>
        <w:rPr>
          <w:rFonts w:ascii="Calibri" w:cs="Calibri" w:eastAsia="Calibri" w:hAnsi="Calibri"/>
          <w:sz w:val="17"/>
          <w:szCs w:val="17"/>
          <w:color w:val="auto"/>
        </w:rPr>
        <w:t>.</w:t>
      </w:r>
    </w:p>
    <w:p>
      <w:pPr>
        <w:ind w:left="480" w:hanging="315"/>
        <w:spacing w:after="0"/>
        <w:tabs>
          <w:tab w:leader="none" w:pos="480" w:val="left"/>
        </w:tabs>
        <w:numPr>
          <w:ilvl w:val="0"/>
          <w:numId w:val="16"/>
        </w:numPr>
        <w:rPr>
          <w:rFonts w:ascii="Calibri" w:cs="Calibri" w:eastAsia="Calibri" w:hAnsi="Calibri"/>
          <w:sz w:val="17"/>
          <w:szCs w:val="17"/>
          <w:color w:val="auto"/>
          <w:strike w:val="1"/>
        </w:rPr>
      </w:pPr>
      <w:r>
        <w:rPr>
          <w:rFonts w:ascii="Calibri" w:cs="Calibri" w:eastAsia="Calibri" w:hAnsi="Calibri"/>
          <w:sz w:val="17"/>
          <w:szCs w:val="17"/>
          <w:b w:val="1"/>
          <w:bCs w:val="1"/>
          <w:color w:val="auto"/>
        </w:rPr>
        <w:t xml:space="preserve">Consumer, </w:t>
      </w:r>
      <w:r>
        <w:rPr>
          <w:rFonts w:ascii="Calibri" w:cs="Calibri" w:eastAsia="Calibri" w:hAnsi="Calibri"/>
          <w:sz w:val="17"/>
          <w:szCs w:val="17"/>
          <w:color w:val="auto"/>
        </w:rPr>
        <w:t>spurredmainly by growth in disbursements through Yape.</w:t>
      </w:r>
    </w:p>
    <w:p>
      <w:pPr>
        <w:spacing w:after="0" w:line="223" w:lineRule="exact"/>
        <w:rPr>
          <w:sz w:val="20"/>
          <w:szCs w:val="20"/>
          <w:color w:val="auto"/>
        </w:rPr>
      </w:pPr>
    </w:p>
    <w:p>
      <w:pPr>
        <w:spacing w:after="0" w:line="239" w:lineRule="auto"/>
        <w:rPr>
          <w:sz w:val="20"/>
          <w:szCs w:val="20"/>
          <w:color w:val="auto"/>
        </w:rPr>
      </w:pPr>
      <w:r>
        <w:rPr>
          <w:rFonts w:ascii="Calibri" w:cs="Calibri" w:eastAsia="Calibri" w:hAnsi="Calibri"/>
          <w:sz w:val="17"/>
          <w:szCs w:val="17"/>
          <w:color w:val="auto"/>
        </w:rPr>
        <w:t xml:space="preserve">In </w:t>
      </w:r>
      <w:r>
        <w:rPr>
          <w:rFonts w:ascii="Calibri" w:cs="Calibri" w:eastAsia="Calibri" w:hAnsi="Calibri"/>
          <w:sz w:val="17"/>
          <w:szCs w:val="17"/>
          <w:b w:val="1"/>
          <w:bCs w:val="1"/>
          <w:color w:val="auto"/>
        </w:rPr>
        <w:t>Wholesale Banking</w:t>
      </w:r>
      <w:r>
        <w:rPr>
          <w:rFonts w:ascii="Calibri" w:cs="Calibri" w:eastAsia="Calibri" w:hAnsi="Calibri"/>
          <w:sz w:val="17"/>
          <w:szCs w:val="17"/>
          <w:color w:val="auto"/>
        </w:rPr>
        <w:t>, a 2.2% growth in the loan balance was primarily driven by:</w:t>
      </w:r>
    </w:p>
    <w:p>
      <w:pPr>
        <w:spacing w:after="0" w:line="198" w:lineRule="exact"/>
        <w:rPr>
          <w:sz w:val="20"/>
          <w:szCs w:val="20"/>
          <w:color w:val="auto"/>
        </w:rPr>
      </w:pPr>
    </w:p>
    <w:p>
      <w:pPr>
        <w:ind w:left="480" w:right="60" w:hanging="315"/>
        <w:spacing w:after="0" w:line="239" w:lineRule="auto"/>
        <w:tabs>
          <w:tab w:leader="none" w:pos="480" w:val="left"/>
        </w:tabs>
        <w:numPr>
          <w:ilvl w:val="0"/>
          <w:numId w:val="17"/>
        </w:numPr>
        <w:rPr>
          <w:rFonts w:ascii="Calibri" w:cs="Calibri" w:eastAsia="Calibri" w:hAnsi="Calibri"/>
          <w:sz w:val="17"/>
          <w:szCs w:val="17"/>
          <w:color w:val="auto"/>
          <w:strike w:val="1"/>
        </w:rPr>
      </w:pPr>
      <w:r>
        <w:rPr>
          <w:rFonts w:ascii="Calibri" w:cs="Calibri" w:eastAsia="Calibri" w:hAnsi="Calibri"/>
          <w:sz w:val="17"/>
          <w:szCs w:val="17"/>
          <w:b w:val="1"/>
          <w:bCs w:val="1"/>
          <w:color w:val="auto"/>
        </w:rPr>
        <w:t>Middle Market Banking (+5.8%)</w:t>
      </w:r>
      <w:r>
        <w:rPr>
          <w:rFonts w:ascii="Calibri" w:cs="Calibri" w:eastAsia="Calibri" w:hAnsi="Calibri"/>
          <w:sz w:val="17"/>
          <w:szCs w:val="17"/>
          <w:color w:val="auto"/>
        </w:rPr>
        <w:t>, due to an uptck in demand for short-term fnancing.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899160</wp:posOffset>
            </wp:positionV>
            <wp:extent cx="71374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262890</wp:posOffset>
            </wp:positionV>
            <wp:extent cx="6492875" cy="4959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92875" cy="495935"/>
                    </a:xfrm>
                    <a:prstGeom prst="rect">
                      <a:avLst/>
                    </a:prstGeom>
                    <a:noFill/>
                  </pic:spPr>
                </pic:pic>
              </a:graphicData>
            </a:graphic>
          </wp:anchor>
        </w:drawing>
      </w:r>
    </w:p>
    <w:p>
      <w:pPr>
        <w:sectPr>
          <w:pgSz w:w="11900" w:h="16838" w:orient="portrait"/>
          <w:cols w:equalWidth="0" w:num="2">
            <w:col w:w="5400" w:space="440"/>
            <w:col w:w="5400"/>
          </w:cols>
          <w:pgMar w:left="320" w:top="444" w:right="339" w:bottom="1440" w:gutter="0" w:footer="0" w:header="0"/>
          <w:type w:val="continuous"/>
        </w:sectPr>
      </w:pPr>
    </w:p>
    <w:bookmarkStart w:id="19" w:name="page20"/>
    <w:bookmarkEnd w:id="19"/>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01. Loan Portolio</w:t>
      </w:r>
    </w:p>
    <w:p>
      <w:pPr>
        <w:spacing w:after="0" w:line="153"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b w:val="1"/>
          <w:bCs w:val="1"/>
          <w:color w:val="auto"/>
        </w:rPr>
        <w:t xml:space="preserve">Evoluton of the Dollarizaton Level of Total Loans (In Quarter-end Balances) </w:t>
      </w:r>
      <w:r>
        <w:rPr>
          <w:rFonts w:ascii="Calibri" w:cs="Calibri" w:eastAsia="Calibri" w:hAnsi="Calibri"/>
          <w:sz w:val="28"/>
          <w:szCs w:val="28"/>
          <w:b w:val="1"/>
          <w:bCs w:val="1"/>
          <w:color w:val="auto"/>
          <w:vertAlign w:val="superscript"/>
        </w:rPr>
        <w:t>(1)(2)</w:t>
      </w:r>
    </w:p>
    <w:tbl>
      <w:tblPr>
        <w:tblLayout w:type="fixed"/>
        <w:tblInd w:w="10" w:type="dxa"/>
        <w:tblCellMar>
          <w:top w:w="0" w:type="dxa"/>
          <w:left w:w="0" w:type="dxa"/>
          <w:bottom w:w="0" w:type="dxa"/>
          <w:right w:w="0" w:type="dxa"/>
        </w:tblCellMar>
      </w:tblPr>
      <w:tr>
        <w:trPr>
          <w:trHeight w:val="123"/>
        </w:trPr>
        <w:tc>
          <w:tcPr>
            <w:tcW w:w="2300" w:type="dxa"/>
            <w:vAlign w:val="bottom"/>
            <w:tcBorders>
              <w:top w:val="single" w:sz="8" w:color="auto"/>
              <w:left w:val="single" w:sz="8" w:color="auto"/>
              <w:right w:val="single" w:sz="8" w:color="auto"/>
            </w:tcBorders>
            <w:gridSpan w:val="2"/>
            <w:vMerge w:val="restart"/>
            <w:shd w:val="clear" w:color="auto" w:fill="33CCCC"/>
          </w:tcPr>
          <w:p>
            <w:pPr>
              <w:ind w:left="20"/>
              <w:spacing w:after="0"/>
              <w:rPr>
                <w:sz w:val="20"/>
                <w:szCs w:val="20"/>
                <w:color w:val="auto"/>
              </w:rPr>
            </w:pPr>
            <w:r>
              <w:rPr>
                <w:rFonts w:ascii="Calibri" w:cs="Calibri" w:eastAsia="Calibri" w:hAnsi="Calibri"/>
                <w:sz w:val="10"/>
                <w:szCs w:val="10"/>
                <w:b w:val="1"/>
                <w:bCs w:val="1"/>
                <w:color w:val="FFFFFF"/>
              </w:rPr>
              <w:t>Total Loans</w:t>
            </w:r>
          </w:p>
        </w:tc>
        <w:tc>
          <w:tcPr>
            <w:tcW w:w="2260" w:type="dxa"/>
            <w:vAlign w:val="bottom"/>
            <w:tcBorders>
              <w:top w:val="single" w:sz="8" w:color="auto"/>
              <w:right w:val="single" w:sz="8" w:color="auto"/>
            </w:tcBorders>
            <w:gridSpan w:val="3"/>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Local Currency (LC) - S/ millions</w:t>
            </w:r>
          </w:p>
        </w:tc>
        <w:tc>
          <w:tcPr>
            <w:tcW w:w="66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 change</w:t>
            </w:r>
          </w:p>
        </w:tc>
        <w:tc>
          <w:tcPr>
            <w:tcW w:w="700" w:type="dxa"/>
            <w:vAlign w:val="bottom"/>
            <w:tcBorders>
              <w:top w:val="single" w:sz="8" w:color="auto"/>
              <w:right w:val="single" w:sz="8" w:color="auto"/>
            </w:tcBorders>
            <w:shd w:val="clear" w:color="auto" w:fill="33CCCC"/>
          </w:tcPr>
          <w:p>
            <w:pPr>
              <w:spacing w:after="0"/>
              <w:rPr>
                <w:sz w:val="10"/>
                <w:szCs w:val="10"/>
                <w:color w:val="auto"/>
              </w:rPr>
            </w:pPr>
          </w:p>
        </w:tc>
        <w:tc>
          <w:tcPr>
            <w:tcW w:w="2580" w:type="dxa"/>
            <w:vAlign w:val="bottom"/>
            <w:tcBorders>
              <w:top w:val="single" w:sz="8" w:color="auto"/>
              <w:right w:val="single" w:sz="8" w:color="auto"/>
            </w:tcBorders>
            <w:gridSpan w:val="5"/>
            <w:shd w:val="clear" w:color="auto" w:fill="33CCCC"/>
          </w:tcPr>
          <w:p>
            <w:pPr>
              <w:ind w:left="540"/>
              <w:spacing w:after="0"/>
              <w:rPr>
                <w:sz w:val="20"/>
                <w:szCs w:val="20"/>
                <w:color w:val="auto"/>
              </w:rPr>
            </w:pPr>
            <w:r>
              <w:rPr>
                <w:rFonts w:ascii="Calibri" w:cs="Calibri" w:eastAsia="Calibri" w:hAnsi="Calibri"/>
                <w:sz w:val="10"/>
                <w:szCs w:val="10"/>
                <w:b w:val="1"/>
                <w:bCs w:val="1"/>
                <w:color w:val="FFFFFF"/>
              </w:rPr>
              <w:t>Foreign Currency (FC) - S/ millions</w:t>
            </w:r>
          </w:p>
        </w:tc>
        <w:tc>
          <w:tcPr>
            <w:tcW w:w="1380" w:type="dxa"/>
            <w:vAlign w:val="bottom"/>
            <w:tcBorders>
              <w:top w:val="single" w:sz="8" w:color="auto"/>
              <w:right w:val="single" w:sz="8" w:color="auto"/>
            </w:tcBorders>
            <w:gridSpan w:val="2"/>
            <w:shd w:val="clear" w:color="auto" w:fill="33CCCC"/>
          </w:tcPr>
          <w:p>
            <w:pPr>
              <w:ind w:left="480"/>
              <w:spacing w:after="0"/>
              <w:rPr>
                <w:sz w:val="20"/>
                <w:szCs w:val="20"/>
                <w:color w:val="auto"/>
              </w:rPr>
            </w:pPr>
            <w:r>
              <w:rPr>
                <w:rFonts w:ascii="Calibri" w:cs="Calibri" w:eastAsia="Calibri" w:hAnsi="Calibri"/>
                <w:sz w:val="10"/>
                <w:szCs w:val="10"/>
                <w:b w:val="1"/>
                <w:bCs w:val="1"/>
                <w:color w:val="FFFFFF"/>
              </w:rPr>
              <w:t>% change</w:t>
            </w:r>
          </w:p>
        </w:tc>
        <w:tc>
          <w:tcPr>
            <w:tcW w:w="1360" w:type="dxa"/>
            <w:vAlign w:val="bottom"/>
            <w:tcBorders>
              <w:top w:val="single" w:sz="8" w:color="auto"/>
              <w:right w:val="single" w:sz="8" w:color="646464"/>
            </w:tcBorders>
            <w:gridSpan w:val="2"/>
            <w:shd w:val="clear" w:color="auto" w:fill="33CCCC"/>
          </w:tcPr>
          <w:p>
            <w:pPr>
              <w:ind w:left="240"/>
              <w:spacing w:after="0"/>
              <w:rPr>
                <w:sz w:val="20"/>
                <w:szCs w:val="20"/>
                <w:color w:val="auto"/>
              </w:rPr>
            </w:pPr>
            <w:r>
              <w:rPr>
                <w:rFonts w:ascii="Calibri" w:cs="Calibri" w:eastAsia="Calibri" w:hAnsi="Calibri"/>
                <w:sz w:val="10"/>
                <w:szCs w:val="10"/>
                <w:b w:val="1"/>
                <w:bCs w:val="1"/>
                <w:color w:val="FFFFFF"/>
              </w:rPr>
              <w:t>% part. by currency</w:t>
            </w:r>
          </w:p>
        </w:tc>
        <w:tc>
          <w:tcPr>
            <w:tcW w:w="0" w:type="dxa"/>
            <w:vAlign w:val="bottom"/>
          </w:tcPr>
          <w:p>
            <w:pPr>
              <w:spacing w:after="0"/>
              <w:rPr>
                <w:sz w:val="1"/>
                <w:szCs w:val="1"/>
                <w:color w:val="auto"/>
              </w:rPr>
            </w:pPr>
          </w:p>
        </w:tc>
      </w:tr>
      <w:tr>
        <w:trPr>
          <w:trHeight w:val="52"/>
        </w:trPr>
        <w:tc>
          <w:tcPr>
            <w:tcW w:w="2300" w:type="dxa"/>
            <w:vAlign w:val="bottom"/>
            <w:tcBorders>
              <w:left w:val="single" w:sz="8" w:color="auto"/>
              <w:right w:val="single" w:sz="8" w:color="auto"/>
            </w:tcBorders>
            <w:gridSpan w:val="2"/>
            <w:vMerge w:val="continue"/>
            <w:shd w:val="clear" w:color="auto" w:fill="33CCCC"/>
          </w:tcPr>
          <w:p>
            <w:pPr>
              <w:spacing w:after="0"/>
              <w:rPr>
                <w:sz w:val="4"/>
                <w:szCs w:val="4"/>
                <w:color w:val="auto"/>
              </w:rPr>
            </w:pPr>
          </w:p>
        </w:tc>
        <w:tc>
          <w:tcPr>
            <w:tcW w:w="720" w:type="dxa"/>
            <w:vAlign w:val="bottom"/>
            <w:shd w:val="clear" w:color="auto" w:fill="33CCCC"/>
          </w:tcPr>
          <w:p>
            <w:pPr>
              <w:spacing w:after="0"/>
              <w:rPr>
                <w:sz w:val="4"/>
                <w:szCs w:val="4"/>
                <w:color w:val="auto"/>
              </w:rPr>
            </w:pPr>
          </w:p>
        </w:tc>
        <w:tc>
          <w:tcPr>
            <w:tcW w:w="760" w:type="dxa"/>
            <w:vAlign w:val="bottom"/>
            <w:vMerge w:val="restart"/>
            <w:shd w:val="clear" w:color="auto" w:fill="33CCCC"/>
          </w:tcPr>
          <w:p>
            <w:pPr>
              <w:jc w:val="center"/>
              <w:spacing w:after="0" w:line="117" w:lineRule="exact"/>
              <w:rPr>
                <w:sz w:val="20"/>
                <w:szCs w:val="20"/>
                <w:color w:val="auto"/>
              </w:rPr>
            </w:pPr>
            <w:r>
              <w:rPr>
                <w:rFonts w:ascii="Calibri" w:cs="Calibri" w:eastAsia="Calibri" w:hAnsi="Calibri"/>
                <w:sz w:val="10"/>
                <w:szCs w:val="10"/>
                <w:b w:val="1"/>
                <w:bCs w:val="1"/>
                <w:color w:val="FFFFFF"/>
                <w:w w:val="94"/>
              </w:rPr>
              <w:t>Total</w:t>
            </w:r>
          </w:p>
        </w:tc>
        <w:tc>
          <w:tcPr>
            <w:tcW w:w="780" w:type="dxa"/>
            <w:vAlign w:val="bottom"/>
            <w:tcBorders>
              <w:right w:val="single" w:sz="8" w:color="auto"/>
            </w:tcBorders>
            <w:shd w:val="clear" w:color="auto" w:fill="33CCCC"/>
          </w:tcPr>
          <w:p>
            <w:pPr>
              <w:spacing w:after="0"/>
              <w:rPr>
                <w:sz w:val="4"/>
                <w:szCs w:val="4"/>
                <w:color w:val="auto"/>
              </w:rPr>
            </w:pPr>
          </w:p>
        </w:tc>
        <w:tc>
          <w:tcPr>
            <w:tcW w:w="660" w:type="dxa"/>
            <w:vAlign w:val="bottom"/>
            <w:shd w:val="clear" w:color="auto" w:fill="33CCCC"/>
          </w:tcPr>
          <w:p>
            <w:pPr>
              <w:spacing w:after="0"/>
              <w:rPr>
                <w:sz w:val="4"/>
                <w:szCs w:val="4"/>
                <w:color w:val="auto"/>
              </w:rPr>
            </w:pPr>
          </w:p>
        </w:tc>
        <w:tc>
          <w:tcPr>
            <w:tcW w:w="700" w:type="dxa"/>
            <w:vAlign w:val="bottom"/>
            <w:tcBorders>
              <w:right w:val="single" w:sz="8" w:color="auto"/>
            </w:tcBorders>
            <w:shd w:val="clear" w:color="auto" w:fill="33CCCC"/>
          </w:tcPr>
          <w:p>
            <w:pPr>
              <w:spacing w:after="0"/>
              <w:rPr>
                <w:sz w:val="4"/>
                <w:szCs w:val="4"/>
                <w:color w:val="auto"/>
              </w:rPr>
            </w:pPr>
          </w:p>
        </w:tc>
        <w:tc>
          <w:tcPr>
            <w:tcW w:w="820" w:type="dxa"/>
            <w:vAlign w:val="bottom"/>
            <w:shd w:val="clear" w:color="auto" w:fill="33CCCC"/>
          </w:tcPr>
          <w:p>
            <w:pPr>
              <w:spacing w:after="0"/>
              <w:rPr>
                <w:sz w:val="4"/>
                <w:szCs w:val="4"/>
                <w:color w:val="auto"/>
              </w:rPr>
            </w:pPr>
          </w:p>
        </w:tc>
        <w:tc>
          <w:tcPr>
            <w:tcW w:w="340" w:type="dxa"/>
            <w:vAlign w:val="bottom"/>
            <w:shd w:val="clear" w:color="auto" w:fill="33CCCC"/>
          </w:tcPr>
          <w:p>
            <w:pPr>
              <w:spacing w:after="0"/>
              <w:rPr>
                <w:sz w:val="4"/>
                <w:szCs w:val="4"/>
                <w:color w:val="auto"/>
              </w:rPr>
            </w:pPr>
          </w:p>
        </w:tc>
        <w:tc>
          <w:tcPr>
            <w:tcW w:w="200" w:type="dxa"/>
            <w:vAlign w:val="bottom"/>
            <w:vMerge w:val="restart"/>
            <w:shd w:val="clear" w:color="auto" w:fill="33CCCC"/>
          </w:tcPr>
          <w:p>
            <w:pPr>
              <w:spacing w:after="0" w:line="117" w:lineRule="exact"/>
              <w:rPr>
                <w:sz w:val="20"/>
                <w:szCs w:val="20"/>
                <w:color w:val="auto"/>
              </w:rPr>
            </w:pPr>
            <w:r>
              <w:rPr>
                <w:rFonts w:ascii="Calibri" w:cs="Calibri" w:eastAsia="Calibri" w:hAnsi="Calibri"/>
                <w:sz w:val="10"/>
                <w:szCs w:val="10"/>
                <w:b w:val="1"/>
                <w:bCs w:val="1"/>
                <w:color w:val="FFFFFF"/>
                <w:w w:val="84"/>
                <w:shd w:val="clear" w:color="auto" w:fill="33CCCC"/>
              </w:rPr>
              <w:t>Total</w:t>
            </w:r>
          </w:p>
        </w:tc>
        <w:tc>
          <w:tcPr>
            <w:tcW w:w="300" w:type="dxa"/>
            <w:vAlign w:val="bottom"/>
            <w:shd w:val="clear" w:color="auto" w:fill="33CCCC"/>
          </w:tcPr>
          <w:p>
            <w:pPr>
              <w:spacing w:after="0"/>
              <w:rPr>
                <w:sz w:val="4"/>
                <w:szCs w:val="4"/>
                <w:color w:val="auto"/>
              </w:rPr>
            </w:pPr>
          </w:p>
        </w:tc>
        <w:tc>
          <w:tcPr>
            <w:tcW w:w="920" w:type="dxa"/>
            <w:vAlign w:val="bottom"/>
            <w:tcBorders>
              <w:right w:val="single" w:sz="8" w:color="auto"/>
            </w:tcBorders>
            <w:shd w:val="clear" w:color="auto" w:fill="33CCCC"/>
          </w:tcPr>
          <w:p>
            <w:pPr>
              <w:spacing w:after="0"/>
              <w:rPr>
                <w:sz w:val="4"/>
                <w:szCs w:val="4"/>
                <w:color w:val="auto"/>
              </w:rPr>
            </w:pPr>
          </w:p>
        </w:tc>
        <w:tc>
          <w:tcPr>
            <w:tcW w:w="660" w:type="dxa"/>
            <w:vAlign w:val="bottom"/>
            <w:shd w:val="clear" w:color="auto" w:fill="33CCCC"/>
          </w:tcPr>
          <w:p>
            <w:pPr>
              <w:spacing w:after="0"/>
              <w:rPr>
                <w:sz w:val="4"/>
                <w:szCs w:val="4"/>
                <w:color w:val="auto"/>
              </w:rPr>
            </w:pPr>
          </w:p>
        </w:tc>
        <w:tc>
          <w:tcPr>
            <w:tcW w:w="720" w:type="dxa"/>
            <w:vAlign w:val="bottom"/>
            <w:tcBorders>
              <w:right w:val="single" w:sz="8" w:color="auto"/>
            </w:tcBorders>
            <w:shd w:val="clear" w:color="auto" w:fill="33CCCC"/>
          </w:tcPr>
          <w:p>
            <w:pPr>
              <w:spacing w:after="0"/>
              <w:rPr>
                <w:sz w:val="4"/>
                <w:szCs w:val="4"/>
                <w:color w:val="auto"/>
              </w:rPr>
            </w:pPr>
          </w:p>
        </w:tc>
        <w:tc>
          <w:tcPr>
            <w:tcW w:w="660" w:type="dxa"/>
            <w:vAlign w:val="bottom"/>
            <w:vMerge w:val="restart"/>
            <w:shd w:val="clear" w:color="auto" w:fill="33CCCC"/>
          </w:tcPr>
          <w:p>
            <w:pPr>
              <w:ind w:left="180"/>
              <w:spacing w:after="0" w:line="117" w:lineRule="exact"/>
              <w:rPr>
                <w:sz w:val="20"/>
                <w:szCs w:val="20"/>
                <w:color w:val="auto"/>
              </w:rPr>
            </w:pPr>
            <w:r>
              <w:rPr>
                <w:rFonts w:ascii="Calibri" w:cs="Calibri" w:eastAsia="Calibri" w:hAnsi="Calibri"/>
                <w:sz w:val="10"/>
                <w:szCs w:val="10"/>
                <w:b w:val="1"/>
                <w:bCs w:val="1"/>
                <w:color w:val="FFFFFF"/>
              </w:rPr>
              <w:t>Jun 25</w:t>
            </w:r>
          </w:p>
        </w:tc>
        <w:tc>
          <w:tcPr>
            <w:tcW w:w="700" w:type="dxa"/>
            <w:vAlign w:val="bottom"/>
            <w:tcBorders>
              <w:right w:val="single" w:sz="8" w:color="646464"/>
            </w:tcBorders>
            <w:shd w:val="clear" w:color="auto" w:fill="33CCCC"/>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60" w:type="dxa"/>
            <w:vAlign w:val="bottom"/>
            <w:tcBorders>
              <w:left w:val="single" w:sz="8" w:color="auto"/>
            </w:tcBorders>
            <w:vMerge w:val="restart"/>
            <w:shd w:val="clear" w:color="auto" w:fill="33CCCC"/>
          </w:tcPr>
          <w:p>
            <w:pPr>
              <w:ind w:left="20"/>
              <w:spacing w:after="0"/>
              <w:rPr>
                <w:sz w:val="20"/>
                <w:szCs w:val="20"/>
                <w:color w:val="auto"/>
              </w:rPr>
            </w:pPr>
            <w:r>
              <w:rPr>
                <w:rFonts w:ascii="Calibri" w:cs="Calibri" w:eastAsia="Calibri" w:hAnsi="Calibri"/>
                <w:sz w:val="10"/>
                <w:szCs w:val="10"/>
                <w:b w:val="1"/>
                <w:bCs w:val="1"/>
                <w:color w:val="FFFFFF"/>
                <w:shd w:val="clear" w:color="auto" w:fill="33CCCC"/>
              </w:rPr>
              <w:t>(S/ Millions)</w:t>
            </w:r>
          </w:p>
        </w:tc>
        <w:tc>
          <w:tcPr>
            <w:tcW w:w="1740" w:type="dxa"/>
            <w:vAlign w:val="bottom"/>
            <w:tcBorders>
              <w:right w:val="single" w:sz="8" w:color="auto"/>
            </w:tcBorders>
            <w:shd w:val="clear" w:color="auto" w:fill="33CCCC"/>
          </w:tcPr>
          <w:p>
            <w:pPr>
              <w:spacing w:after="0"/>
              <w:rPr>
                <w:sz w:val="5"/>
                <w:szCs w:val="5"/>
                <w:color w:val="auto"/>
              </w:rPr>
            </w:pPr>
          </w:p>
        </w:tc>
        <w:tc>
          <w:tcPr>
            <w:tcW w:w="720" w:type="dxa"/>
            <w:vAlign w:val="bottom"/>
            <w:shd w:val="clear" w:color="auto" w:fill="33CCCC"/>
          </w:tcPr>
          <w:p>
            <w:pPr>
              <w:spacing w:after="0"/>
              <w:rPr>
                <w:sz w:val="5"/>
                <w:szCs w:val="5"/>
                <w:color w:val="auto"/>
              </w:rPr>
            </w:pPr>
          </w:p>
        </w:tc>
        <w:tc>
          <w:tcPr>
            <w:tcW w:w="760" w:type="dxa"/>
            <w:vAlign w:val="bottom"/>
            <w:vMerge w:val="continue"/>
            <w:shd w:val="clear" w:color="auto" w:fill="33CCCC"/>
          </w:tcPr>
          <w:p>
            <w:pPr>
              <w:spacing w:after="0"/>
              <w:rPr>
                <w:sz w:val="5"/>
                <w:szCs w:val="5"/>
                <w:color w:val="auto"/>
              </w:rPr>
            </w:pPr>
          </w:p>
        </w:tc>
        <w:tc>
          <w:tcPr>
            <w:tcW w:w="780" w:type="dxa"/>
            <w:vAlign w:val="bottom"/>
            <w:tcBorders>
              <w:right w:val="single" w:sz="8" w:color="auto"/>
            </w:tcBorders>
            <w:shd w:val="clear" w:color="auto" w:fill="33CCCC"/>
          </w:tcPr>
          <w:p>
            <w:pPr>
              <w:spacing w:after="0"/>
              <w:rPr>
                <w:sz w:val="5"/>
                <w:szCs w:val="5"/>
                <w:color w:val="auto"/>
              </w:rPr>
            </w:pPr>
          </w:p>
        </w:tc>
        <w:tc>
          <w:tcPr>
            <w:tcW w:w="660" w:type="dxa"/>
            <w:vAlign w:val="bottom"/>
            <w:shd w:val="clear" w:color="auto" w:fill="33CCCC"/>
          </w:tcPr>
          <w:p>
            <w:pPr>
              <w:spacing w:after="0"/>
              <w:rPr>
                <w:sz w:val="5"/>
                <w:szCs w:val="5"/>
                <w:color w:val="auto"/>
              </w:rPr>
            </w:pPr>
          </w:p>
        </w:tc>
        <w:tc>
          <w:tcPr>
            <w:tcW w:w="700" w:type="dxa"/>
            <w:vAlign w:val="bottom"/>
            <w:tcBorders>
              <w:right w:val="single" w:sz="8" w:color="auto"/>
            </w:tcBorders>
            <w:shd w:val="clear" w:color="auto" w:fill="33CCCC"/>
          </w:tcPr>
          <w:p>
            <w:pPr>
              <w:spacing w:after="0"/>
              <w:rPr>
                <w:sz w:val="5"/>
                <w:szCs w:val="5"/>
                <w:color w:val="auto"/>
              </w:rPr>
            </w:pPr>
          </w:p>
        </w:tc>
        <w:tc>
          <w:tcPr>
            <w:tcW w:w="820" w:type="dxa"/>
            <w:vAlign w:val="bottom"/>
            <w:shd w:val="clear" w:color="auto" w:fill="33CCCC"/>
          </w:tcPr>
          <w:p>
            <w:pPr>
              <w:spacing w:after="0"/>
              <w:rPr>
                <w:sz w:val="5"/>
                <w:szCs w:val="5"/>
                <w:color w:val="auto"/>
              </w:rPr>
            </w:pPr>
          </w:p>
        </w:tc>
        <w:tc>
          <w:tcPr>
            <w:tcW w:w="340" w:type="dxa"/>
            <w:vAlign w:val="bottom"/>
            <w:shd w:val="clear" w:color="auto" w:fill="33CCCC"/>
          </w:tcPr>
          <w:p>
            <w:pPr>
              <w:spacing w:after="0"/>
              <w:rPr>
                <w:sz w:val="5"/>
                <w:szCs w:val="5"/>
                <w:color w:val="auto"/>
              </w:rPr>
            </w:pPr>
          </w:p>
        </w:tc>
        <w:tc>
          <w:tcPr>
            <w:tcW w:w="200" w:type="dxa"/>
            <w:vAlign w:val="bottom"/>
            <w:vMerge w:val="continue"/>
            <w:shd w:val="clear" w:color="auto" w:fill="33CCCC"/>
          </w:tcPr>
          <w:p>
            <w:pPr>
              <w:spacing w:after="0"/>
              <w:rPr>
                <w:sz w:val="5"/>
                <w:szCs w:val="5"/>
                <w:color w:val="auto"/>
              </w:rPr>
            </w:pPr>
          </w:p>
        </w:tc>
        <w:tc>
          <w:tcPr>
            <w:tcW w:w="300" w:type="dxa"/>
            <w:vAlign w:val="bottom"/>
            <w:shd w:val="clear" w:color="auto" w:fill="33CCCC"/>
          </w:tcPr>
          <w:p>
            <w:pPr>
              <w:spacing w:after="0"/>
              <w:rPr>
                <w:sz w:val="5"/>
                <w:szCs w:val="5"/>
                <w:color w:val="auto"/>
              </w:rPr>
            </w:pPr>
          </w:p>
        </w:tc>
        <w:tc>
          <w:tcPr>
            <w:tcW w:w="920" w:type="dxa"/>
            <w:vAlign w:val="bottom"/>
            <w:tcBorders>
              <w:right w:val="single" w:sz="8" w:color="auto"/>
            </w:tcBorders>
            <w:shd w:val="clear" w:color="auto" w:fill="33CCCC"/>
          </w:tcPr>
          <w:p>
            <w:pPr>
              <w:spacing w:after="0"/>
              <w:rPr>
                <w:sz w:val="5"/>
                <w:szCs w:val="5"/>
                <w:color w:val="auto"/>
              </w:rPr>
            </w:pPr>
          </w:p>
        </w:tc>
        <w:tc>
          <w:tcPr>
            <w:tcW w:w="660" w:type="dxa"/>
            <w:vAlign w:val="bottom"/>
            <w:shd w:val="clear" w:color="auto" w:fill="33CCCC"/>
          </w:tcPr>
          <w:p>
            <w:pPr>
              <w:spacing w:after="0"/>
              <w:rPr>
                <w:sz w:val="5"/>
                <w:szCs w:val="5"/>
                <w:color w:val="auto"/>
              </w:rPr>
            </w:pPr>
          </w:p>
        </w:tc>
        <w:tc>
          <w:tcPr>
            <w:tcW w:w="720" w:type="dxa"/>
            <w:vAlign w:val="bottom"/>
            <w:tcBorders>
              <w:right w:val="single" w:sz="8" w:color="auto"/>
            </w:tcBorders>
            <w:shd w:val="clear" w:color="auto" w:fill="33CCCC"/>
          </w:tcPr>
          <w:p>
            <w:pPr>
              <w:spacing w:after="0"/>
              <w:rPr>
                <w:sz w:val="5"/>
                <w:szCs w:val="5"/>
                <w:color w:val="auto"/>
              </w:rPr>
            </w:pPr>
          </w:p>
        </w:tc>
        <w:tc>
          <w:tcPr>
            <w:tcW w:w="660" w:type="dxa"/>
            <w:vAlign w:val="bottom"/>
            <w:vMerge w:val="continue"/>
            <w:shd w:val="clear" w:color="auto" w:fill="33CCCC"/>
          </w:tcPr>
          <w:p>
            <w:pPr>
              <w:spacing w:after="0"/>
              <w:rPr>
                <w:sz w:val="5"/>
                <w:szCs w:val="5"/>
                <w:color w:val="auto"/>
              </w:rPr>
            </w:pPr>
          </w:p>
        </w:tc>
        <w:tc>
          <w:tcPr>
            <w:tcW w:w="700" w:type="dxa"/>
            <w:vAlign w:val="bottom"/>
            <w:tcBorders>
              <w:right w:val="single" w:sz="8" w:color="646464"/>
            </w:tcBorders>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560" w:type="dxa"/>
            <w:vAlign w:val="bottom"/>
            <w:tcBorders>
              <w:left w:val="single" w:sz="8" w:color="auto"/>
            </w:tcBorders>
            <w:vMerge w:val="continue"/>
            <w:shd w:val="clear" w:color="auto" w:fill="33CCCC"/>
          </w:tcPr>
          <w:p>
            <w:pPr>
              <w:spacing w:after="0"/>
              <w:rPr>
                <w:sz w:val="5"/>
                <w:szCs w:val="5"/>
                <w:color w:val="auto"/>
              </w:rPr>
            </w:pPr>
          </w:p>
        </w:tc>
        <w:tc>
          <w:tcPr>
            <w:tcW w:w="1740" w:type="dxa"/>
            <w:vAlign w:val="bottom"/>
            <w:tcBorders>
              <w:right w:val="single" w:sz="8" w:color="auto"/>
            </w:tcBorders>
            <w:shd w:val="clear" w:color="auto" w:fill="33CCCC"/>
          </w:tcPr>
          <w:p>
            <w:pPr>
              <w:spacing w:after="0"/>
              <w:rPr>
                <w:sz w:val="5"/>
                <w:szCs w:val="5"/>
                <w:color w:val="auto"/>
              </w:rPr>
            </w:pPr>
          </w:p>
        </w:tc>
        <w:tc>
          <w:tcPr>
            <w:tcW w:w="720" w:type="dxa"/>
            <w:vAlign w:val="bottom"/>
            <w:vMerge w:val="restart"/>
            <w:shd w:val="clear" w:color="auto" w:fill="33CCCC"/>
          </w:tcPr>
          <w:p>
            <w:pPr>
              <w:ind w:left="220"/>
              <w:spacing w:after="0"/>
              <w:rPr>
                <w:sz w:val="20"/>
                <w:szCs w:val="20"/>
                <w:color w:val="auto"/>
              </w:rPr>
            </w:pPr>
            <w:r>
              <w:rPr>
                <w:rFonts w:ascii="Calibri" w:cs="Calibri" w:eastAsia="Calibri" w:hAnsi="Calibri"/>
                <w:sz w:val="10"/>
                <w:szCs w:val="10"/>
                <w:b w:val="1"/>
                <w:bCs w:val="1"/>
                <w:color w:val="FFFFFF"/>
              </w:rPr>
              <w:t>Jun 24</w:t>
            </w:r>
          </w:p>
        </w:tc>
        <w:tc>
          <w:tcPr>
            <w:tcW w:w="760" w:type="dxa"/>
            <w:vAlign w:val="bottom"/>
            <w:vMerge w:val="restart"/>
            <w:shd w:val="clear" w:color="auto" w:fill="33CCCC"/>
          </w:tcPr>
          <w:p>
            <w:pPr>
              <w:ind w:left="220"/>
              <w:spacing w:after="0"/>
              <w:rPr>
                <w:sz w:val="20"/>
                <w:szCs w:val="20"/>
                <w:color w:val="auto"/>
              </w:rPr>
            </w:pPr>
            <w:r>
              <w:rPr>
                <w:rFonts w:ascii="Calibri" w:cs="Calibri" w:eastAsia="Calibri" w:hAnsi="Calibri"/>
                <w:sz w:val="10"/>
                <w:szCs w:val="10"/>
                <w:b w:val="1"/>
                <w:bCs w:val="1"/>
                <w:color w:val="FFFFFF"/>
              </w:rPr>
              <w:t>Mar 25</w:t>
            </w:r>
          </w:p>
        </w:tc>
        <w:tc>
          <w:tcPr>
            <w:tcW w:w="780" w:type="dxa"/>
            <w:vAlign w:val="bottom"/>
            <w:tcBorders>
              <w:right w:val="single" w:sz="8" w:color="auto"/>
            </w:tcBorders>
            <w:vMerge w:val="restart"/>
            <w:shd w:val="clear" w:color="auto" w:fill="33CCCC"/>
          </w:tcPr>
          <w:p>
            <w:pPr>
              <w:ind w:left="220"/>
              <w:spacing w:after="0"/>
              <w:rPr>
                <w:sz w:val="20"/>
                <w:szCs w:val="20"/>
                <w:color w:val="auto"/>
              </w:rPr>
            </w:pPr>
            <w:r>
              <w:rPr>
                <w:rFonts w:ascii="Calibri" w:cs="Calibri" w:eastAsia="Calibri" w:hAnsi="Calibri"/>
                <w:sz w:val="10"/>
                <w:szCs w:val="10"/>
                <w:b w:val="1"/>
                <w:bCs w:val="1"/>
                <w:color w:val="FFFFFF"/>
              </w:rPr>
              <w:t>Jun 25</w:t>
            </w:r>
          </w:p>
        </w:tc>
        <w:tc>
          <w:tcPr>
            <w:tcW w:w="660" w:type="dxa"/>
            <w:vAlign w:val="bottom"/>
            <w:vMerge w:val="restart"/>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QoQ</w:t>
            </w:r>
          </w:p>
        </w:tc>
        <w:tc>
          <w:tcPr>
            <w:tcW w:w="700" w:type="dxa"/>
            <w:vAlign w:val="bottom"/>
            <w:tcBorders>
              <w:right w:val="single" w:sz="8" w:color="auto"/>
            </w:tcBorders>
            <w:vMerge w:val="restart"/>
            <w:shd w:val="clear" w:color="auto" w:fill="33CCCC"/>
          </w:tcPr>
          <w:p>
            <w:pPr>
              <w:ind w:left="260"/>
              <w:spacing w:after="0"/>
              <w:rPr>
                <w:sz w:val="20"/>
                <w:szCs w:val="20"/>
                <w:color w:val="auto"/>
              </w:rPr>
            </w:pPr>
            <w:r>
              <w:rPr>
                <w:rFonts w:ascii="Calibri" w:cs="Calibri" w:eastAsia="Calibri" w:hAnsi="Calibri"/>
                <w:sz w:val="10"/>
                <w:szCs w:val="10"/>
                <w:b w:val="1"/>
                <w:bCs w:val="1"/>
                <w:color w:val="FFFFFF"/>
              </w:rPr>
              <w:t>YoY</w:t>
            </w:r>
          </w:p>
        </w:tc>
        <w:tc>
          <w:tcPr>
            <w:tcW w:w="820" w:type="dxa"/>
            <w:vAlign w:val="bottom"/>
            <w:vMerge w:val="restart"/>
            <w:shd w:val="clear" w:color="auto" w:fill="33CCCC"/>
          </w:tcPr>
          <w:p>
            <w:pPr>
              <w:ind w:left="260"/>
              <w:spacing w:after="0"/>
              <w:rPr>
                <w:sz w:val="20"/>
                <w:szCs w:val="20"/>
                <w:color w:val="auto"/>
              </w:rPr>
            </w:pPr>
            <w:r>
              <w:rPr>
                <w:rFonts w:ascii="Calibri" w:cs="Calibri" w:eastAsia="Calibri" w:hAnsi="Calibri"/>
                <w:sz w:val="10"/>
                <w:szCs w:val="10"/>
                <w:b w:val="1"/>
                <w:bCs w:val="1"/>
                <w:color w:val="FFFFFF"/>
              </w:rPr>
              <w:t>Jun 24</w:t>
            </w:r>
          </w:p>
        </w:tc>
        <w:tc>
          <w:tcPr>
            <w:tcW w:w="840" w:type="dxa"/>
            <w:vAlign w:val="bottom"/>
            <w:gridSpan w:val="3"/>
            <w:vMerge w:val="restart"/>
            <w:shd w:val="clear" w:color="auto" w:fill="33CCCC"/>
          </w:tcPr>
          <w:p>
            <w:pPr>
              <w:ind w:left="260"/>
              <w:spacing w:after="0"/>
              <w:rPr>
                <w:sz w:val="20"/>
                <w:szCs w:val="20"/>
                <w:color w:val="auto"/>
              </w:rPr>
            </w:pPr>
            <w:r>
              <w:rPr>
                <w:rFonts w:ascii="Calibri" w:cs="Calibri" w:eastAsia="Calibri" w:hAnsi="Calibri"/>
                <w:sz w:val="10"/>
                <w:szCs w:val="10"/>
                <w:b w:val="1"/>
                <w:bCs w:val="1"/>
                <w:color w:val="FFFFFF"/>
              </w:rPr>
              <w:t>Mar 25</w:t>
            </w:r>
          </w:p>
        </w:tc>
        <w:tc>
          <w:tcPr>
            <w:tcW w:w="920" w:type="dxa"/>
            <w:vAlign w:val="bottom"/>
            <w:tcBorders>
              <w:right w:val="single" w:sz="8" w:color="auto"/>
            </w:tcBorders>
            <w:vMerge w:val="restart"/>
            <w:shd w:val="clear" w:color="auto" w:fill="33CCCC"/>
          </w:tcPr>
          <w:p>
            <w:pPr>
              <w:ind w:left="300"/>
              <w:spacing w:after="0"/>
              <w:rPr>
                <w:sz w:val="20"/>
                <w:szCs w:val="20"/>
                <w:color w:val="auto"/>
              </w:rPr>
            </w:pPr>
            <w:r>
              <w:rPr>
                <w:rFonts w:ascii="Calibri" w:cs="Calibri" w:eastAsia="Calibri" w:hAnsi="Calibri"/>
                <w:sz w:val="10"/>
                <w:szCs w:val="10"/>
                <w:b w:val="1"/>
                <w:bCs w:val="1"/>
                <w:color w:val="FFFFFF"/>
              </w:rPr>
              <w:t>Jun 25</w:t>
            </w:r>
          </w:p>
        </w:tc>
        <w:tc>
          <w:tcPr>
            <w:tcW w:w="660" w:type="dxa"/>
            <w:vAlign w:val="bottom"/>
            <w:vMerge w:val="restart"/>
            <w:shd w:val="clear" w:color="auto" w:fill="33CCCC"/>
          </w:tcPr>
          <w:p>
            <w:pPr>
              <w:ind w:left="240"/>
              <w:spacing w:after="0"/>
              <w:rPr>
                <w:sz w:val="20"/>
                <w:szCs w:val="20"/>
                <w:color w:val="auto"/>
              </w:rPr>
            </w:pPr>
            <w:r>
              <w:rPr>
                <w:rFonts w:ascii="Calibri" w:cs="Calibri" w:eastAsia="Calibri" w:hAnsi="Calibri"/>
                <w:sz w:val="10"/>
                <w:szCs w:val="10"/>
                <w:b w:val="1"/>
                <w:bCs w:val="1"/>
                <w:color w:val="FFFFFF"/>
              </w:rPr>
              <w:t>QoQ</w:t>
            </w:r>
          </w:p>
        </w:tc>
        <w:tc>
          <w:tcPr>
            <w:tcW w:w="720" w:type="dxa"/>
            <w:vAlign w:val="bottom"/>
            <w:tcBorders>
              <w:right w:val="single" w:sz="8" w:color="auto"/>
            </w:tcBorders>
            <w:vMerge w:val="restart"/>
            <w:shd w:val="clear" w:color="auto" w:fill="33CCCC"/>
          </w:tcPr>
          <w:p>
            <w:pPr>
              <w:ind w:left="260"/>
              <w:spacing w:after="0"/>
              <w:rPr>
                <w:sz w:val="20"/>
                <w:szCs w:val="20"/>
                <w:color w:val="auto"/>
              </w:rPr>
            </w:pPr>
            <w:r>
              <w:rPr>
                <w:rFonts w:ascii="Calibri" w:cs="Calibri" w:eastAsia="Calibri" w:hAnsi="Calibri"/>
                <w:sz w:val="10"/>
                <w:szCs w:val="10"/>
                <w:b w:val="1"/>
                <w:bCs w:val="1"/>
                <w:color w:val="FFFFFF"/>
              </w:rPr>
              <w:t>YoY</w:t>
            </w:r>
          </w:p>
        </w:tc>
        <w:tc>
          <w:tcPr>
            <w:tcW w:w="660" w:type="dxa"/>
            <w:vAlign w:val="bottom"/>
            <w:vMerge w:val="restart"/>
            <w:shd w:val="clear" w:color="auto" w:fill="33CCCC"/>
          </w:tcPr>
          <w:p>
            <w:pPr>
              <w:ind w:left="240"/>
              <w:spacing w:after="0"/>
              <w:rPr>
                <w:sz w:val="20"/>
                <w:szCs w:val="20"/>
                <w:color w:val="auto"/>
              </w:rPr>
            </w:pPr>
            <w:r>
              <w:rPr>
                <w:rFonts w:ascii="Calibri" w:cs="Calibri" w:eastAsia="Calibri" w:hAnsi="Calibri"/>
                <w:sz w:val="10"/>
                <w:szCs w:val="10"/>
                <w:b w:val="1"/>
                <w:bCs w:val="1"/>
                <w:color w:val="FFFFFF"/>
              </w:rPr>
              <w:t>MN</w:t>
            </w:r>
          </w:p>
        </w:tc>
        <w:tc>
          <w:tcPr>
            <w:tcW w:w="700" w:type="dxa"/>
            <w:vAlign w:val="bottom"/>
            <w:tcBorders>
              <w:right w:val="single" w:sz="8" w:color="646464"/>
            </w:tcBorders>
            <w:vMerge w:val="restart"/>
            <w:shd w:val="clear" w:color="auto" w:fill="33CCCC"/>
          </w:tcPr>
          <w:p>
            <w:pPr>
              <w:ind w:left="260"/>
              <w:spacing w:after="0"/>
              <w:rPr>
                <w:sz w:val="20"/>
                <w:szCs w:val="20"/>
                <w:color w:val="auto"/>
              </w:rPr>
            </w:pPr>
            <w:r>
              <w:rPr>
                <w:rFonts w:ascii="Calibri" w:cs="Calibri" w:eastAsia="Calibri" w:hAnsi="Calibri"/>
                <w:sz w:val="10"/>
                <w:szCs w:val="10"/>
                <w:b w:val="1"/>
                <w:bCs w:val="1"/>
                <w:color w:val="FFFFFF"/>
              </w:rPr>
              <w:t>ME</w:t>
            </w:r>
          </w:p>
        </w:tc>
        <w:tc>
          <w:tcPr>
            <w:tcW w:w="0" w:type="dxa"/>
            <w:vAlign w:val="bottom"/>
          </w:tcPr>
          <w:p>
            <w:pPr>
              <w:spacing w:after="0"/>
              <w:rPr>
                <w:sz w:val="1"/>
                <w:szCs w:val="1"/>
                <w:color w:val="auto"/>
              </w:rPr>
            </w:pPr>
          </w:p>
        </w:tc>
      </w:tr>
      <w:tr>
        <w:trPr>
          <w:trHeight w:val="96"/>
        </w:trPr>
        <w:tc>
          <w:tcPr>
            <w:tcW w:w="560" w:type="dxa"/>
            <w:vAlign w:val="bottom"/>
            <w:tcBorders>
              <w:left w:val="single" w:sz="8" w:color="auto"/>
            </w:tcBorders>
            <w:shd w:val="clear" w:color="auto" w:fill="33CCCC"/>
          </w:tcPr>
          <w:p>
            <w:pPr>
              <w:spacing w:after="0"/>
              <w:rPr>
                <w:sz w:val="7"/>
                <w:szCs w:val="7"/>
                <w:color w:val="auto"/>
              </w:rPr>
            </w:pPr>
          </w:p>
        </w:tc>
        <w:tc>
          <w:tcPr>
            <w:tcW w:w="1740" w:type="dxa"/>
            <w:vAlign w:val="bottom"/>
            <w:tcBorders>
              <w:right w:val="single" w:sz="8" w:color="auto"/>
            </w:tcBorders>
            <w:shd w:val="clear" w:color="auto" w:fill="33CCCC"/>
          </w:tcPr>
          <w:p>
            <w:pPr>
              <w:spacing w:after="0"/>
              <w:rPr>
                <w:sz w:val="7"/>
                <w:szCs w:val="7"/>
                <w:color w:val="auto"/>
              </w:rPr>
            </w:pPr>
          </w:p>
        </w:tc>
        <w:tc>
          <w:tcPr>
            <w:tcW w:w="720" w:type="dxa"/>
            <w:vAlign w:val="bottom"/>
            <w:tcBorders>
              <w:bottom w:val="single" w:sz="8" w:color="auto"/>
            </w:tcBorders>
            <w:vMerge w:val="continue"/>
            <w:shd w:val="clear" w:color="auto" w:fill="33CCCC"/>
          </w:tcPr>
          <w:p>
            <w:pPr>
              <w:spacing w:after="0"/>
              <w:rPr>
                <w:sz w:val="7"/>
                <w:szCs w:val="7"/>
                <w:color w:val="auto"/>
              </w:rPr>
            </w:pPr>
          </w:p>
        </w:tc>
        <w:tc>
          <w:tcPr>
            <w:tcW w:w="760" w:type="dxa"/>
            <w:vAlign w:val="bottom"/>
            <w:tcBorders>
              <w:bottom w:val="single" w:sz="8" w:color="auto"/>
            </w:tcBorders>
            <w:vMerge w:val="continue"/>
            <w:shd w:val="clear" w:color="auto" w:fill="33CCCC"/>
          </w:tcPr>
          <w:p>
            <w:pPr>
              <w:spacing w:after="0"/>
              <w:rPr>
                <w:sz w:val="7"/>
                <w:szCs w:val="7"/>
                <w:color w:val="auto"/>
              </w:rPr>
            </w:pPr>
          </w:p>
        </w:tc>
        <w:tc>
          <w:tcPr>
            <w:tcW w:w="78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660" w:type="dxa"/>
            <w:vAlign w:val="bottom"/>
            <w:tcBorders>
              <w:bottom w:val="single" w:sz="8" w:color="auto"/>
            </w:tcBorders>
            <w:vMerge w:val="continue"/>
            <w:shd w:val="clear" w:color="auto" w:fill="33CCCC"/>
          </w:tcPr>
          <w:p>
            <w:pPr>
              <w:spacing w:after="0"/>
              <w:rPr>
                <w:sz w:val="7"/>
                <w:szCs w:val="7"/>
                <w:color w:val="auto"/>
              </w:rPr>
            </w:pPr>
          </w:p>
        </w:tc>
        <w:tc>
          <w:tcPr>
            <w:tcW w:w="70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820" w:type="dxa"/>
            <w:vAlign w:val="bottom"/>
            <w:tcBorders>
              <w:bottom w:val="single" w:sz="8" w:color="auto"/>
            </w:tcBorders>
            <w:vMerge w:val="continue"/>
            <w:shd w:val="clear" w:color="auto" w:fill="33CCCC"/>
          </w:tcPr>
          <w:p>
            <w:pPr>
              <w:spacing w:after="0"/>
              <w:rPr>
                <w:sz w:val="7"/>
                <w:szCs w:val="7"/>
                <w:color w:val="auto"/>
              </w:rPr>
            </w:pPr>
          </w:p>
        </w:tc>
        <w:tc>
          <w:tcPr>
            <w:tcW w:w="840" w:type="dxa"/>
            <w:vAlign w:val="bottom"/>
            <w:tcBorders>
              <w:bottom w:val="single" w:sz="8" w:color="auto"/>
            </w:tcBorders>
            <w:gridSpan w:val="3"/>
            <w:vMerge w:val="continue"/>
            <w:shd w:val="clear" w:color="auto" w:fill="33CCCC"/>
          </w:tcPr>
          <w:p>
            <w:pPr>
              <w:spacing w:after="0"/>
              <w:rPr>
                <w:sz w:val="7"/>
                <w:szCs w:val="7"/>
                <w:color w:val="auto"/>
              </w:rPr>
            </w:pPr>
          </w:p>
        </w:tc>
        <w:tc>
          <w:tcPr>
            <w:tcW w:w="92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660" w:type="dxa"/>
            <w:vAlign w:val="bottom"/>
            <w:tcBorders>
              <w:bottom w:val="single" w:sz="8" w:color="auto"/>
            </w:tcBorders>
            <w:vMerge w:val="continue"/>
            <w:shd w:val="clear" w:color="auto" w:fill="33CCCC"/>
          </w:tcPr>
          <w:p>
            <w:pPr>
              <w:spacing w:after="0"/>
              <w:rPr>
                <w:sz w:val="7"/>
                <w:szCs w:val="7"/>
                <w:color w:val="auto"/>
              </w:rPr>
            </w:pPr>
          </w:p>
        </w:tc>
        <w:tc>
          <w:tcPr>
            <w:tcW w:w="72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660" w:type="dxa"/>
            <w:vAlign w:val="bottom"/>
            <w:tcBorders>
              <w:bottom w:val="single" w:sz="8" w:color="auto"/>
            </w:tcBorders>
            <w:vMerge w:val="continue"/>
            <w:shd w:val="clear" w:color="auto" w:fill="33CCCC"/>
          </w:tcPr>
          <w:p>
            <w:pPr>
              <w:spacing w:after="0"/>
              <w:rPr>
                <w:sz w:val="7"/>
                <w:szCs w:val="7"/>
                <w:color w:val="auto"/>
              </w:rPr>
            </w:pPr>
          </w:p>
        </w:tc>
        <w:tc>
          <w:tcPr>
            <w:tcW w:w="700" w:type="dxa"/>
            <w:vAlign w:val="bottom"/>
            <w:tcBorders>
              <w:bottom w:val="single" w:sz="8" w:color="auto"/>
              <w:right w:val="single" w:sz="8" w:color="646464"/>
            </w:tcBorders>
            <w:vMerge w:val="continue"/>
            <w:shd w:val="clear" w:color="auto" w:fill="33CCCC"/>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300" w:type="dxa"/>
            <w:vAlign w:val="bottom"/>
            <w:tcBorders>
              <w:left w:val="single" w:sz="8" w:color="auto"/>
              <w:right w:val="single" w:sz="8" w:color="auto"/>
            </w:tcBorders>
            <w:gridSpan w:val="2"/>
          </w:tcPr>
          <w:p>
            <w:pPr>
              <w:ind w:left="20"/>
              <w:spacing w:after="0" w:line="104" w:lineRule="exact"/>
              <w:rPr>
                <w:sz w:val="20"/>
                <w:szCs w:val="20"/>
                <w:color w:val="auto"/>
              </w:rPr>
            </w:pPr>
            <w:r>
              <w:rPr>
                <w:rFonts w:ascii="Calibri" w:cs="Calibri" w:eastAsia="Calibri" w:hAnsi="Calibri"/>
                <w:sz w:val="10"/>
                <w:szCs w:val="10"/>
                <w:b w:val="1"/>
                <w:bCs w:val="1"/>
                <w:color w:val="auto"/>
              </w:rPr>
              <w:t>BCP Stand-alone</w:t>
            </w:r>
          </w:p>
        </w:tc>
        <w:tc>
          <w:tcPr>
            <w:tcW w:w="72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rPr>
              <w:t>80,749</w:t>
            </w:r>
          </w:p>
        </w:tc>
        <w:tc>
          <w:tcPr>
            <w:tcW w:w="76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rPr>
              <w:t>79,702</w:t>
            </w:r>
          </w:p>
        </w:tc>
        <w:tc>
          <w:tcPr>
            <w:tcW w:w="78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rPr>
              <w:t>81,217</w:t>
            </w:r>
          </w:p>
        </w:tc>
        <w:tc>
          <w:tcPr>
            <w:tcW w:w="66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rPr>
              <w:t>1.9%</w:t>
            </w:r>
          </w:p>
        </w:tc>
        <w:tc>
          <w:tcPr>
            <w:tcW w:w="70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w w:val="99"/>
              </w:rPr>
              <w:t>0.6%</w:t>
            </w:r>
          </w:p>
        </w:tc>
        <w:tc>
          <w:tcPr>
            <w:tcW w:w="82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rPr>
              <w:t>40,307</w:t>
            </w:r>
          </w:p>
        </w:tc>
        <w:tc>
          <w:tcPr>
            <w:tcW w:w="840" w:type="dxa"/>
            <w:vAlign w:val="bottom"/>
            <w:gridSpan w:val="3"/>
          </w:tcPr>
          <w:p>
            <w:pPr>
              <w:jc w:val="center"/>
              <w:ind w:right="20"/>
              <w:spacing w:after="0" w:line="116" w:lineRule="exact"/>
              <w:rPr>
                <w:sz w:val="20"/>
                <w:szCs w:val="20"/>
                <w:color w:val="auto"/>
              </w:rPr>
            </w:pPr>
            <w:r>
              <w:rPr>
                <w:rFonts w:ascii="Calibri" w:cs="Calibri" w:eastAsia="Calibri" w:hAnsi="Calibri"/>
                <w:sz w:val="10"/>
                <w:szCs w:val="10"/>
                <w:b w:val="1"/>
                <w:bCs w:val="1"/>
                <w:color w:val="auto"/>
              </w:rPr>
              <w:t>39,677</w:t>
            </w:r>
          </w:p>
        </w:tc>
        <w:tc>
          <w:tcPr>
            <w:tcW w:w="92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rPr>
              <w:t>39,782</w:t>
            </w:r>
          </w:p>
        </w:tc>
        <w:tc>
          <w:tcPr>
            <w:tcW w:w="66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rPr>
              <w:t>0.3%</w:t>
            </w:r>
          </w:p>
        </w:tc>
        <w:tc>
          <w:tcPr>
            <w:tcW w:w="72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rPr>
              <w:t>-1.3%</w:t>
            </w:r>
          </w:p>
        </w:tc>
        <w:tc>
          <w:tcPr>
            <w:tcW w:w="66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rPr>
              <w:t>67.1%</w:t>
            </w:r>
          </w:p>
        </w:tc>
        <w:tc>
          <w:tcPr>
            <w:tcW w:w="70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rPr>
              <w:t>32.9%</w:t>
            </w:r>
          </w:p>
        </w:tc>
        <w:tc>
          <w:tcPr>
            <w:tcW w:w="0" w:type="dxa"/>
            <w:vAlign w:val="bottom"/>
          </w:tcPr>
          <w:p>
            <w:pPr>
              <w:spacing w:after="0"/>
              <w:rPr>
                <w:sz w:val="1"/>
                <w:szCs w:val="1"/>
                <w:color w:val="auto"/>
              </w:rPr>
            </w:pPr>
          </w:p>
        </w:tc>
      </w:tr>
      <w:tr>
        <w:trPr>
          <w:trHeight w:val="124"/>
        </w:trPr>
        <w:tc>
          <w:tcPr>
            <w:tcW w:w="2300" w:type="dxa"/>
            <w:vAlign w:val="bottom"/>
            <w:tcBorders>
              <w:left w:val="single" w:sz="8" w:color="auto"/>
              <w:right w:val="single" w:sz="8" w:color="auto"/>
            </w:tcBorders>
            <w:gridSpan w:val="2"/>
          </w:tcPr>
          <w:p>
            <w:pPr>
              <w:ind w:left="180"/>
              <w:spacing w:after="0"/>
              <w:rPr>
                <w:sz w:val="20"/>
                <w:szCs w:val="20"/>
                <w:color w:val="auto"/>
              </w:rPr>
            </w:pPr>
            <w:r>
              <w:rPr>
                <w:rFonts w:ascii="Calibri" w:cs="Calibri" w:eastAsia="Calibri" w:hAnsi="Calibri"/>
                <w:sz w:val="10"/>
                <w:szCs w:val="10"/>
                <w:b w:val="1"/>
                <w:bCs w:val="1"/>
                <w:color w:val="auto"/>
              </w:rPr>
              <w:t>Wholesale Banking</w:t>
            </w:r>
          </w:p>
        </w:tc>
        <w:tc>
          <w:tcPr>
            <w:tcW w:w="720" w:type="dxa"/>
            <w:vAlign w:val="bottom"/>
          </w:tcPr>
          <w:p>
            <w:pPr>
              <w:jc w:val="center"/>
              <w:spacing w:after="0"/>
              <w:rPr>
                <w:sz w:val="20"/>
                <w:szCs w:val="20"/>
                <w:color w:val="auto"/>
              </w:rPr>
            </w:pPr>
            <w:r>
              <w:rPr>
                <w:rFonts w:ascii="Calibri" w:cs="Calibri" w:eastAsia="Calibri" w:hAnsi="Calibri"/>
                <w:sz w:val="10"/>
                <w:szCs w:val="10"/>
                <w:b w:val="1"/>
                <w:bCs w:val="1"/>
                <w:color w:val="auto"/>
              </w:rPr>
              <w:t>23,538</w:t>
            </w:r>
          </w:p>
        </w:tc>
        <w:tc>
          <w:tcPr>
            <w:tcW w:w="760" w:type="dxa"/>
            <w:vAlign w:val="bottom"/>
          </w:tcPr>
          <w:p>
            <w:pPr>
              <w:jc w:val="center"/>
              <w:spacing w:after="0"/>
              <w:rPr>
                <w:sz w:val="20"/>
                <w:szCs w:val="20"/>
                <w:color w:val="auto"/>
              </w:rPr>
            </w:pPr>
            <w:r>
              <w:rPr>
                <w:rFonts w:ascii="Calibri" w:cs="Calibri" w:eastAsia="Calibri" w:hAnsi="Calibri"/>
                <w:sz w:val="10"/>
                <w:szCs w:val="10"/>
                <w:b w:val="1"/>
                <w:bCs w:val="1"/>
                <w:color w:val="auto"/>
              </w:rPr>
              <w:t>22,209</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22,475</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1.2%</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-4.5%</w:t>
            </w:r>
          </w:p>
        </w:tc>
        <w:tc>
          <w:tcPr>
            <w:tcW w:w="820" w:type="dxa"/>
            <w:vAlign w:val="bottom"/>
          </w:tcPr>
          <w:p>
            <w:pPr>
              <w:jc w:val="center"/>
              <w:spacing w:after="0"/>
              <w:rPr>
                <w:sz w:val="20"/>
                <w:szCs w:val="20"/>
                <w:color w:val="auto"/>
              </w:rPr>
            </w:pPr>
            <w:r>
              <w:rPr>
                <w:rFonts w:ascii="Calibri" w:cs="Calibri" w:eastAsia="Calibri" w:hAnsi="Calibri"/>
                <w:sz w:val="10"/>
                <w:szCs w:val="10"/>
                <w:b w:val="1"/>
                <w:bCs w:val="1"/>
                <w:color w:val="auto"/>
              </w:rPr>
              <w:t>30,781</w:t>
            </w:r>
          </w:p>
        </w:tc>
        <w:tc>
          <w:tcPr>
            <w:tcW w:w="840" w:type="dxa"/>
            <w:vAlign w:val="bottom"/>
            <w:gridSpan w:val="3"/>
          </w:tcPr>
          <w:p>
            <w:pPr>
              <w:jc w:val="center"/>
              <w:ind w:right="20"/>
              <w:spacing w:after="0"/>
              <w:rPr>
                <w:sz w:val="20"/>
                <w:szCs w:val="20"/>
                <w:color w:val="auto"/>
              </w:rPr>
            </w:pPr>
            <w:r>
              <w:rPr>
                <w:rFonts w:ascii="Calibri" w:cs="Calibri" w:eastAsia="Calibri" w:hAnsi="Calibri"/>
                <w:sz w:val="10"/>
                <w:szCs w:val="10"/>
                <w:b w:val="1"/>
                <w:bCs w:val="1"/>
                <w:color w:val="auto"/>
              </w:rPr>
              <w:t>30,407</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30,551</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0.5%</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-0.7%</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42.4%</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57.6%</w:t>
            </w:r>
          </w:p>
        </w:tc>
        <w:tc>
          <w:tcPr>
            <w:tcW w:w="0" w:type="dxa"/>
            <w:vAlign w:val="bottom"/>
          </w:tcPr>
          <w:p>
            <w:pPr>
              <w:spacing w:after="0"/>
              <w:rPr>
                <w:sz w:val="1"/>
                <w:szCs w:val="1"/>
                <w:color w:val="auto"/>
              </w:rPr>
            </w:pPr>
          </w:p>
        </w:tc>
      </w:tr>
      <w:tr>
        <w:trPr>
          <w:trHeight w:val="143"/>
        </w:trPr>
        <w:tc>
          <w:tcPr>
            <w:tcW w:w="2300" w:type="dxa"/>
            <w:vAlign w:val="bottom"/>
            <w:tcBorders>
              <w:left w:val="single" w:sz="8" w:color="auto"/>
              <w:right w:val="single" w:sz="8" w:color="auto"/>
            </w:tcBorders>
            <w:gridSpan w:val="2"/>
          </w:tcPr>
          <w:p>
            <w:pPr>
              <w:ind w:left="320"/>
              <w:spacing w:after="0"/>
              <w:rPr>
                <w:sz w:val="20"/>
                <w:szCs w:val="20"/>
                <w:color w:val="auto"/>
              </w:rPr>
            </w:pPr>
            <w:r>
              <w:rPr>
                <w:rFonts w:ascii="Calibri" w:cs="Calibri" w:eastAsia="Calibri" w:hAnsi="Calibri"/>
                <w:sz w:val="10"/>
                <w:szCs w:val="10"/>
                <w:color w:val="auto"/>
              </w:rPr>
              <w:t>Corporate</w:t>
            </w:r>
          </w:p>
        </w:tc>
        <w:tc>
          <w:tcPr>
            <w:tcW w:w="720" w:type="dxa"/>
            <w:vAlign w:val="bottom"/>
          </w:tcPr>
          <w:p>
            <w:pPr>
              <w:jc w:val="center"/>
              <w:spacing w:after="0"/>
              <w:rPr>
                <w:sz w:val="20"/>
                <w:szCs w:val="20"/>
                <w:color w:val="auto"/>
              </w:rPr>
            </w:pPr>
            <w:r>
              <w:rPr>
                <w:rFonts w:ascii="Calibri" w:cs="Calibri" w:eastAsia="Calibri" w:hAnsi="Calibri"/>
                <w:sz w:val="10"/>
                <w:szCs w:val="10"/>
                <w:color w:val="auto"/>
              </w:rPr>
              <w:t>14,475</w:t>
            </w:r>
          </w:p>
        </w:tc>
        <w:tc>
          <w:tcPr>
            <w:tcW w:w="760" w:type="dxa"/>
            <w:vAlign w:val="bottom"/>
          </w:tcPr>
          <w:p>
            <w:pPr>
              <w:jc w:val="center"/>
              <w:spacing w:after="0"/>
              <w:rPr>
                <w:sz w:val="20"/>
                <w:szCs w:val="20"/>
                <w:color w:val="auto"/>
              </w:rPr>
            </w:pPr>
            <w:r>
              <w:rPr>
                <w:rFonts w:ascii="Calibri" w:cs="Calibri" w:eastAsia="Calibri" w:hAnsi="Calibri"/>
                <w:sz w:val="10"/>
                <w:szCs w:val="10"/>
                <w:color w:val="auto"/>
              </w:rPr>
              <w:t>13,049</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13,194</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1.1%</w:t>
            </w:r>
          </w:p>
        </w:tc>
        <w:tc>
          <w:tcPr>
            <w:tcW w:w="700" w:type="dxa"/>
            <w:vAlign w:val="bottom"/>
            <w:tcBorders>
              <w:right w:val="single" w:sz="8" w:color="auto"/>
            </w:tcBorders>
            <w:shd w:val="clear" w:color="auto" w:fill="E93BAC"/>
          </w:tcPr>
          <w:p>
            <w:pPr>
              <w:jc w:val="center"/>
              <w:spacing w:after="0"/>
              <w:rPr>
                <w:sz w:val="20"/>
                <w:szCs w:val="20"/>
                <w:color w:val="auto"/>
              </w:rPr>
            </w:pPr>
            <w:r>
              <w:rPr>
                <w:rFonts w:ascii="Calibri" w:cs="Calibri" w:eastAsia="Calibri" w:hAnsi="Calibri"/>
                <w:sz w:val="10"/>
                <w:szCs w:val="10"/>
                <w:color w:val="auto"/>
              </w:rPr>
              <w:t>-8.8%</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17,535</w:t>
            </w:r>
          </w:p>
        </w:tc>
        <w:tc>
          <w:tcPr>
            <w:tcW w:w="840" w:type="dxa"/>
            <w:vAlign w:val="bottom"/>
            <w:gridSpan w:val="3"/>
          </w:tcPr>
          <w:p>
            <w:pPr>
              <w:jc w:val="center"/>
              <w:ind w:right="20"/>
              <w:spacing w:after="0"/>
              <w:rPr>
                <w:sz w:val="20"/>
                <w:szCs w:val="20"/>
                <w:color w:val="auto"/>
              </w:rPr>
            </w:pPr>
            <w:r>
              <w:rPr>
                <w:rFonts w:ascii="Calibri" w:cs="Calibri" w:eastAsia="Calibri" w:hAnsi="Calibri"/>
                <w:sz w:val="10"/>
                <w:szCs w:val="10"/>
                <w:color w:val="auto"/>
              </w:rPr>
              <w:t>18,334</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17,302</w:t>
            </w:r>
          </w:p>
        </w:tc>
        <w:tc>
          <w:tcPr>
            <w:tcW w:w="660" w:type="dxa"/>
            <w:vAlign w:val="bottom"/>
            <w:shd w:val="clear" w:color="auto" w:fill="E93BAC"/>
          </w:tcPr>
          <w:p>
            <w:pPr>
              <w:jc w:val="center"/>
              <w:spacing w:after="0"/>
              <w:rPr>
                <w:sz w:val="20"/>
                <w:szCs w:val="20"/>
                <w:color w:val="auto"/>
              </w:rPr>
            </w:pPr>
            <w:r>
              <w:rPr>
                <w:rFonts w:ascii="Calibri" w:cs="Calibri" w:eastAsia="Calibri" w:hAnsi="Calibri"/>
                <w:sz w:val="10"/>
                <w:szCs w:val="10"/>
                <w:color w:val="auto"/>
                <w:w w:val="95"/>
              </w:rPr>
              <w:t>-5.6%</w:t>
            </w:r>
          </w:p>
        </w:tc>
        <w:tc>
          <w:tcPr>
            <w:tcW w:w="720" w:type="dxa"/>
            <w:vAlign w:val="bottom"/>
            <w:tcBorders>
              <w:right w:val="single" w:sz="8" w:color="auto"/>
            </w:tcBorders>
            <w:shd w:val="clear" w:color="auto" w:fill="E93BAC"/>
          </w:tcPr>
          <w:p>
            <w:pPr>
              <w:jc w:val="center"/>
              <w:spacing w:after="0"/>
              <w:rPr>
                <w:sz w:val="20"/>
                <w:szCs w:val="20"/>
                <w:color w:val="auto"/>
              </w:rPr>
            </w:pPr>
            <w:r>
              <w:rPr>
                <w:rFonts w:ascii="Calibri" w:cs="Calibri" w:eastAsia="Calibri" w:hAnsi="Calibri"/>
                <w:sz w:val="10"/>
                <w:szCs w:val="10"/>
                <w:color w:val="auto"/>
              </w:rPr>
              <w:t>-1.3%</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43.3%</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56.7%</w:t>
            </w: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gridSpan w:val="2"/>
          </w:tcPr>
          <w:p>
            <w:pPr>
              <w:ind w:left="320"/>
              <w:spacing w:after="0"/>
              <w:rPr>
                <w:sz w:val="20"/>
                <w:szCs w:val="20"/>
                <w:color w:val="auto"/>
              </w:rPr>
            </w:pPr>
            <w:r>
              <w:rPr>
                <w:rFonts w:ascii="Calibri" w:cs="Calibri" w:eastAsia="Calibri" w:hAnsi="Calibri"/>
                <w:sz w:val="10"/>
                <w:szCs w:val="10"/>
                <w:color w:val="auto"/>
              </w:rPr>
              <w:t>Middle - Market</w:t>
            </w:r>
          </w:p>
        </w:tc>
        <w:tc>
          <w:tcPr>
            <w:tcW w:w="720" w:type="dxa"/>
            <w:vAlign w:val="bottom"/>
          </w:tcPr>
          <w:p>
            <w:pPr>
              <w:jc w:val="center"/>
              <w:spacing w:after="0"/>
              <w:rPr>
                <w:sz w:val="20"/>
                <w:szCs w:val="20"/>
                <w:color w:val="auto"/>
              </w:rPr>
            </w:pPr>
            <w:r>
              <w:rPr>
                <w:rFonts w:ascii="Calibri" w:cs="Calibri" w:eastAsia="Calibri" w:hAnsi="Calibri"/>
                <w:sz w:val="10"/>
                <w:szCs w:val="10"/>
                <w:color w:val="auto"/>
              </w:rPr>
              <w:t>9,064</w:t>
            </w:r>
          </w:p>
        </w:tc>
        <w:tc>
          <w:tcPr>
            <w:tcW w:w="760" w:type="dxa"/>
            <w:vAlign w:val="bottom"/>
          </w:tcPr>
          <w:p>
            <w:pPr>
              <w:jc w:val="center"/>
              <w:spacing w:after="0"/>
              <w:rPr>
                <w:sz w:val="20"/>
                <w:szCs w:val="20"/>
                <w:color w:val="auto"/>
              </w:rPr>
            </w:pPr>
            <w:r>
              <w:rPr>
                <w:rFonts w:ascii="Calibri" w:cs="Calibri" w:eastAsia="Calibri" w:hAnsi="Calibri"/>
                <w:sz w:val="10"/>
                <w:szCs w:val="10"/>
                <w:color w:val="auto"/>
              </w:rPr>
              <w:t>9,160</w:t>
            </w:r>
          </w:p>
        </w:tc>
        <w:tc>
          <w:tcPr>
            <w:tcW w:w="780" w:type="dxa"/>
            <w:vAlign w:val="bottom"/>
            <w:tcBorders>
              <w:right w:val="single" w:sz="8" w:color="auto"/>
            </w:tcBorders>
          </w:tcPr>
          <w:p>
            <w:pPr>
              <w:jc w:val="center"/>
              <w:ind w:right="9"/>
              <w:spacing w:after="0"/>
              <w:rPr>
                <w:sz w:val="20"/>
                <w:szCs w:val="20"/>
                <w:color w:val="auto"/>
              </w:rPr>
            </w:pPr>
            <w:r>
              <w:rPr>
                <w:rFonts w:ascii="Calibri" w:cs="Calibri" w:eastAsia="Calibri" w:hAnsi="Calibri"/>
                <w:sz w:val="10"/>
                <w:szCs w:val="10"/>
                <w:color w:val="auto"/>
              </w:rPr>
              <w:t>9,281</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1.3%</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2.4%</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13,246</w:t>
            </w:r>
          </w:p>
        </w:tc>
        <w:tc>
          <w:tcPr>
            <w:tcW w:w="840" w:type="dxa"/>
            <w:vAlign w:val="bottom"/>
            <w:gridSpan w:val="3"/>
          </w:tcPr>
          <w:p>
            <w:pPr>
              <w:jc w:val="center"/>
              <w:ind w:right="20"/>
              <w:spacing w:after="0"/>
              <w:rPr>
                <w:sz w:val="20"/>
                <w:szCs w:val="20"/>
                <w:color w:val="auto"/>
              </w:rPr>
            </w:pPr>
            <w:r>
              <w:rPr>
                <w:rFonts w:ascii="Calibri" w:cs="Calibri" w:eastAsia="Calibri" w:hAnsi="Calibri"/>
                <w:sz w:val="10"/>
                <w:szCs w:val="10"/>
                <w:color w:val="auto"/>
              </w:rPr>
              <w:t>12,073</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13,249</w:t>
            </w:r>
          </w:p>
        </w:tc>
        <w:tc>
          <w:tcPr>
            <w:tcW w:w="660" w:type="dxa"/>
            <w:vAlign w:val="bottom"/>
            <w:shd w:val="clear" w:color="auto" w:fill="00D273"/>
          </w:tcPr>
          <w:p>
            <w:pPr>
              <w:jc w:val="center"/>
              <w:spacing w:after="0"/>
              <w:rPr>
                <w:sz w:val="20"/>
                <w:szCs w:val="20"/>
                <w:color w:val="auto"/>
              </w:rPr>
            </w:pPr>
            <w:r>
              <w:rPr>
                <w:rFonts w:ascii="Calibri" w:cs="Calibri" w:eastAsia="Calibri" w:hAnsi="Calibri"/>
                <w:sz w:val="10"/>
                <w:szCs w:val="10"/>
                <w:color w:val="auto"/>
              </w:rPr>
              <w:t>9.7%</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0.0%</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41.2%</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58.8%</w:t>
            </w:r>
          </w:p>
        </w:tc>
        <w:tc>
          <w:tcPr>
            <w:tcW w:w="0" w:type="dxa"/>
            <w:vAlign w:val="bottom"/>
          </w:tcPr>
          <w:p>
            <w:pPr>
              <w:spacing w:after="0"/>
              <w:rPr>
                <w:sz w:val="1"/>
                <w:szCs w:val="1"/>
                <w:color w:val="auto"/>
              </w:rPr>
            </w:pPr>
          </w:p>
        </w:tc>
      </w:tr>
      <w:tr>
        <w:trPr>
          <w:trHeight w:val="123"/>
        </w:trPr>
        <w:tc>
          <w:tcPr>
            <w:tcW w:w="2300" w:type="dxa"/>
            <w:vAlign w:val="bottom"/>
            <w:tcBorders>
              <w:left w:val="single" w:sz="8" w:color="auto"/>
              <w:right w:val="single" w:sz="8" w:color="auto"/>
            </w:tcBorders>
            <w:gridSpan w:val="2"/>
          </w:tcPr>
          <w:p>
            <w:pPr>
              <w:ind w:left="180"/>
              <w:spacing w:after="0"/>
              <w:rPr>
                <w:sz w:val="20"/>
                <w:szCs w:val="20"/>
                <w:color w:val="auto"/>
              </w:rPr>
            </w:pPr>
            <w:r>
              <w:rPr>
                <w:rFonts w:ascii="Calibri" w:cs="Calibri" w:eastAsia="Calibri" w:hAnsi="Calibri"/>
                <w:sz w:val="10"/>
                <w:szCs w:val="10"/>
                <w:b w:val="1"/>
                <w:bCs w:val="1"/>
                <w:color w:val="auto"/>
              </w:rPr>
              <w:t>Retail Banking</w:t>
            </w:r>
          </w:p>
        </w:tc>
        <w:tc>
          <w:tcPr>
            <w:tcW w:w="720" w:type="dxa"/>
            <w:vAlign w:val="bottom"/>
          </w:tcPr>
          <w:p>
            <w:pPr>
              <w:jc w:val="center"/>
              <w:spacing w:after="0"/>
              <w:rPr>
                <w:sz w:val="20"/>
                <w:szCs w:val="20"/>
                <w:color w:val="auto"/>
              </w:rPr>
            </w:pPr>
            <w:r>
              <w:rPr>
                <w:rFonts w:ascii="Calibri" w:cs="Calibri" w:eastAsia="Calibri" w:hAnsi="Calibri"/>
                <w:sz w:val="10"/>
                <w:szCs w:val="10"/>
                <w:b w:val="1"/>
                <w:bCs w:val="1"/>
                <w:color w:val="auto"/>
              </w:rPr>
              <w:t>56,733</w:t>
            </w:r>
          </w:p>
        </w:tc>
        <w:tc>
          <w:tcPr>
            <w:tcW w:w="760" w:type="dxa"/>
            <w:vAlign w:val="bottom"/>
          </w:tcPr>
          <w:p>
            <w:pPr>
              <w:jc w:val="center"/>
              <w:spacing w:after="0"/>
              <w:rPr>
                <w:sz w:val="20"/>
                <w:szCs w:val="20"/>
                <w:color w:val="auto"/>
              </w:rPr>
            </w:pPr>
            <w:r>
              <w:rPr>
                <w:rFonts w:ascii="Calibri" w:cs="Calibri" w:eastAsia="Calibri" w:hAnsi="Calibri"/>
                <w:sz w:val="10"/>
                <w:szCs w:val="10"/>
                <w:b w:val="1"/>
                <w:bCs w:val="1"/>
                <w:color w:val="auto"/>
              </w:rPr>
              <w:t>56,911</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58,176</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2.2%</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2.5%</w:t>
            </w:r>
          </w:p>
        </w:tc>
        <w:tc>
          <w:tcPr>
            <w:tcW w:w="820" w:type="dxa"/>
            <w:vAlign w:val="bottom"/>
          </w:tcPr>
          <w:p>
            <w:pPr>
              <w:jc w:val="center"/>
              <w:spacing w:after="0"/>
              <w:rPr>
                <w:sz w:val="20"/>
                <w:szCs w:val="20"/>
                <w:color w:val="auto"/>
              </w:rPr>
            </w:pPr>
            <w:r>
              <w:rPr>
                <w:rFonts w:ascii="Calibri" w:cs="Calibri" w:eastAsia="Calibri" w:hAnsi="Calibri"/>
                <w:sz w:val="10"/>
                <w:szCs w:val="10"/>
                <w:b w:val="1"/>
                <w:bCs w:val="1"/>
                <w:color w:val="auto"/>
              </w:rPr>
              <w:t>8,115</w:t>
            </w:r>
          </w:p>
        </w:tc>
        <w:tc>
          <w:tcPr>
            <w:tcW w:w="540" w:type="dxa"/>
            <w:vAlign w:val="bottom"/>
            <w:gridSpan w:val="2"/>
          </w:tcPr>
          <w:p>
            <w:pPr>
              <w:jc w:val="center"/>
              <w:ind w:left="208"/>
              <w:spacing w:after="0"/>
              <w:rPr>
                <w:sz w:val="20"/>
                <w:szCs w:val="20"/>
                <w:color w:val="auto"/>
              </w:rPr>
            </w:pPr>
            <w:r>
              <w:rPr>
                <w:rFonts w:ascii="Calibri" w:cs="Calibri" w:eastAsia="Calibri" w:hAnsi="Calibri"/>
                <w:sz w:val="10"/>
                <w:szCs w:val="10"/>
                <w:b w:val="1"/>
                <w:bCs w:val="1"/>
                <w:color w:val="auto"/>
              </w:rPr>
              <w:t>7,911</w:t>
            </w:r>
          </w:p>
        </w:tc>
        <w:tc>
          <w:tcPr>
            <w:tcW w:w="300" w:type="dxa"/>
            <w:vAlign w:val="bottom"/>
          </w:tcPr>
          <w:p>
            <w:pPr>
              <w:spacing w:after="0"/>
              <w:rPr>
                <w:sz w:val="10"/>
                <w:szCs w:val="10"/>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7,953</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0.5%</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-2.0%</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87.9%</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12.1%</w:t>
            </w:r>
          </w:p>
        </w:tc>
        <w:tc>
          <w:tcPr>
            <w:tcW w:w="0" w:type="dxa"/>
            <w:vAlign w:val="bottom"/>
          </w:tcPr>
          <w:p>
            <w:pPr>
              <w:spacing w:after="0"/>
              <w:rPr>
                <w:sz w:val="1"/>
                <w:szCs w:val="1"/>
                <w:color w:val="auto"/>
              </w:rPr>
            </w:pPr>
          </w:p>
        </w:tc>
      </w:tr>
      <w:tr>
        <w:trPr>
          <w:trHeight w:val="124"/>
        </w:trPr>
        <w:tc>
          <w:tcPr>
            <w:tcW w:w="2300" w:type="dxa"/>
            <w:vAlign w:val="bottom"/>
            <w:tcBorders>
              <w:left w:val="single" w:sz="8" w:color="auto"/>
              <w:right w:val="single" w:sz="8" w:color="auto"/>
            </w:tcBorders>
            <w:gridSpan w:val="2"/>
          </w:tcPr>
          <w:p>
            <w:pPr>
              <w:ind w:left="320"/>
              <w:spacing w:after="0"/>
              <w:rPr>
                <w:sz w:val="20"/>
                <w:szCs w:val="20"/>
                <w:color w:val="auto"/>
              </w:rPr>
            </w:pPr>
            <w:r>
              <w:rPr>
                <w:rFonts w:ascii="Calibri" w:cs="Calibri" w:eastAsia="Calibri" w:hAnsi="Calibri"/>
                <w:sz w:val="10"/>
                <w:szCs w:val="10"/>
                <w:color w:val="auto"/>
              </w:rPr>
              <w:t>SME - Business</w:t>
            </w:r>
          </w:p>
        </w:tc>
        <w:tc>
          <w:tcPr>
            <w:tcW w:w="720" w:type="dxa"/>
            <w:vAlign w:val="bottom"/>
          </w:tcPr>
          <w:p>
            <w:pPr>
              <w:jc w:val="center"/>
              <w:spacing w:after="0"/>
              <w:rPr>
                <w:sz w:val="20"/>
                <w:szCs w:val="20"/>
                <w:color w:val="auto"/>
              </w:rPr>
            </w:pPr>
            <w:r>
              <w:rPr>
                <w:rFonts w:ascii="Calibri" w:cs="Calibri" w:eastAsia="Calibri" w:hAnsi="Calibri"/>
                <w:sz w:val="10"/>
                <w:szCs w:val="10"/>
                <w:color w:val="auto"/>
              </w:rPr>
              <w:t>4,683</w:t>
            </w:r>
          </w:p>
        </w:tc>
        <w:tc>
          <w:tcPr>
            <w:tcW w:w="760" w:type="dxa"/>
            <w:vAlign w:val="bottom"/>
          </w:tcPr>
          <w:p>
            <w:pPr>
              <w:jc w:val="center"/>
              <w:spacing w:after="0"/>
              <w:rPr>
                <w:sz w:val="20"/>
                <w:szCs w:val="20"/>
                <w:color w:val="auto"/>
              </w:rPr>
            </w:pPr>
            <w:r>
              <w:rPr>
                <w:rFonts w:ascii="Calibri" w:cs="Calibri" w:eastAsia="Calibri" w:hAnsi="Calibri"/>
                <w:sz w:val="10"/>
                <w:szCs w:val="10"/>
                <w:color w:val="auto"/>
              </w:rPr>
              <w:t>4,525</w:t>
            </w:r>
          </w:p>
        </w:tc>
        <w:tc>
          <w:tcPr>
            <w:tcW w:w="780" w:type="dxa"/>
            <w:vAlign w:val="bottom"/>
            <w:tcBorders>
              <w:right w:val="single" w:sz="8" w:color="auto"/>
            </w:tcBorders>
          </w:tcPr>
          <w:p>
            <w:pPr>
              <w:jc w:val="center"/>
              <w:ind w:right="9"/>
              <w:spacing w:after="0"/>
              <w:rPr>
                <w:sz w:val="20"/>
                <w:szCs w:val="20"/>
                <w:color w:val="auto"/>
              </w:rPr>
            </w:pPr>
            <w:r>
              <w:rPr>
                <w:rFonts w:ascii="Calibri" w:cs="Calibri" w:eastAsia="Calibri" w:hAnsi="Calibri"/>
                <w:sz w:val="10"/>
                <w:szCs w:val="10"/>
                <w:color w:val="auto"/>
              </w:rPr>
              <w:t>4,471</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-1.2%</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-4.5%</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3,205</w:t>
            </w:r>
          </w:p>
        </w:tc>
        <w:tc>
          <w:tcPr>
            <w:tcW w:w="540" w:type="dxa"/>
            <w:vAlign w:val="bottom"/>
            <w:gridSpan w:val="2"/>
          </w:tcPr>
          <w:p>
            <w:pPr>
              <w:jc w:val="center"/>
              <w:ind w:left="208"/>
              <w:spacing w:after="0"/>
              <w:rPr>
                <w:sz w:val="20"/>
                <w:szCs w:val="20"/>
                <w:color w:val="auto"/>
              </w:rPr>
            </w:pPr>
            <w:r>
              <w:rPr>
                <w:rFonts w:ascii="Calibri" w:cs="Calibri" w:eastAsia="Calibri" w:hAnsi="Calibri"/>
                <w:sz w:val="10"/>
                <w:szCs w:val="10"/>
                <w:color w:val="auto"/>
              </w:rPr>
              <w:t>3,074</w:t>
            </w:r>
          </w:p>
        </w:tc>
        <w:tc>
          <w:tcPr>
            <w:tcW w:w="300" w:type="dxa"/>
            <w:vAlign w:val="bottom"/>
          </w:tcPr>
          <w:p>
            <w:pPr>
              <w:spacing w:after="0"/>
              <w:rPr>
                <w:sz w:val="10"/>
                <w:szCs w:val="10"/>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3,122</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1.6%</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-2.6%</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58.1%</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41.9%</w:t>
            </w: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gridSpan w:val="2"/>
          </w:tcPr>
          <w:p>
            <w:pPr>
              <w:ind w:left="320"/>
              <w:spacing w:after="0"/>
              <w:rPr>
                <w:sz w:val="20"/>
                <w:szCs w:val="20"/>
                <w:color w:val="auto"/>
              </w:rPr>
            </w:pPr>
            <w:r>
              <w:rPr>
                <w:rFonts w:ascii="Calibri" w:cs="Calibri" w:eastAsia="Calibri" w:hAnsi="Calibri"/>
                <w:sz w:val="10"/>
                <w:szCs w:val="10"/>
                <w:color w:val="auto"/>
              </w:rPr>
              <w:t>SME - Pyme</w:t>
            </w:r>
          </w:p>
        </w:tc>
        <w:tc>
          <w:tcPr>
            <w:tcW w:w="720" w:type="dxa"/>
            <w:vAlign w:val="bottom"/>
          </w:tcPr>
          <w:p>
            <w:pPr>
              <w:jc w:val="center"/>
              <w:spacing w:after="0"/>
              <w:rPr>
                <w:sz w:val="20"/>
                <w:szCs w:val="20"/>
                <w:color w:val="auto"/>
              </w:rPr>
            </w:pPr>
            <w:r>
              <w:rPr>
                <w:rFonts w:ascii="Calibri" w:cs="Calibri" w:eastAsia="Calibri" w:hAnsi="Calibri"/>
                <w:sz w:val="10"/>
                <w:szCs w:val="10"/>
                <w:color w:val="auto"/>
              </w:rPr>
              <w:t>16,225</w:t>
            </w:r>
          </w:p>
        </w:tc>
        <w:tc>
          <w:tcPr>
            <w:tcW w:w="760" w:type="dxa"/>
            <w:vAlign w:val="bottom"/>
          </w:tcPr>
          <w:p>
            <w:pPr>
              <w:jc w:val="center"/>
              <w:spacing w:after="0"/>
              <w:rPr>
                <w:sz w:val="20"/>
                <w:szCs w:val="20"/>
                <w:color w:val="auto"/>
              </w:rPr>
            </w:pPr>
            <w:r>
              <w:rPr>
                <w:rFonts w:ascii="Calibri" w:cs="Calibri" w:eastAsia="Calibri" w:hAnsi="Calibri"/>
                <w:sz w:val="10"/>
                <w:szCs w:val="10"/>
                <w:color w:val="auto"/>
              </w:rPr>
              <w:t>15,791</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15,949</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1.0%</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-1.7%</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144</w:t>
            </w:r>
          </w:p>
        </w:tc>
        <w:tc>
          <w:tcPr>
            <w:tcW w:w="540" w:type="dxa"/>
            <w:vAlign w:val="bottom"/>
            <w:gridSpan w:val="2"/>
          </w:tcPr>
          <w:p>
            <w:pPr>
              <w:jc w:val="center"/>
              <w:ind w:left="208"/>
              <w:spacing w:after="0"/>
              <w:rPr>
                <w:sz w:val="20"/>
                <w:szCs w:val="20"/>
                <w:color w:val="auto"/>
              </w:rPr>
            </w:pPr>
            <w:r>
              <w:rPr>
                <w:rFonts w:ascii="Calibri" w:cs="Calibri" w:eastAsia="Calibri" w:hAnsi="Calibri"/>
                <w:sz w:val="10"/>
                <w:szCs w:val="10"/>
                <w:color w:val="auto"/>
              </w:rPr>
              <w:t>131</w:t>
            </w:r>
          </w:p>
        </w:tc>
        <w:tc>
          <w:tcPr>
            <w:tcW w:w="300" w:type="dxa"/>
            <w:vAlign w:val="bottom"/>
          </w:tcPr>
          <w:p>
            <w:pPr>
              <w:spacing w:after="0"/>
              <w:rPr>
                <w:sz w:val="11"/>
                <w:szCs w:val="11"/>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142</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8.3%</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-1.6%</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99.1%</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0.9%</w:t>
            </w:r>
          </w:p>
        </w:tc>
        <w:tc>
          <w:tcPr>
            <w:tcW w:w="0" w:type="dxa"/>
            <w:vAlign w:val="bottom"/>
          </w:tcPr>
          <w:p>
            <w:pPr>
              <w:spacing w:after="0"/>
              <w:rPr>
                <w:sz w:val="1"/>
                <w:szCs w:val="1"/>
                <w:color w:val="auto"/>
              </w:rPr>
            </w:pPr>
          </w:p>
        </w:tc>
      </w:tr>
      <w:tr>
        <w:trPr>
          <w:trHeight w:val="143"/>
        </w:trPr>
        <w:tc>
          <w:tcPr>
            <w:tcW w:w="2300" w:type="dxa"/>
            <w:vAlign w:val="bottom"/>
            <w:tcBorders>
              <w:left w:val="single" w:sz="8" w:color="auto"/>
              <w:right w:val="single" w:sz="8" w:color="auto"/>
            </w:tcBorders>
            <w:gridSpan w:val="2"/>
          </w:tcPr>
          <w:p>
            <w:pPr>
              <w:ind w:left="320"/>
              <w:spacing w:after="0"/>
              <w:rPr>
                <w:sz w:val="20"/>
                <w:szCs w:val="20"/>
                <w:color w:val="auto"/>
              </w:rPr>
            </w:pPr>
            <w:r>
              <w:rPr>
                <w:rFonts w:ascii="Calibri" w:cs="Calibri" w:eastAsia="Calibri" w:hAnsi="Calibri"/>
                <w:sz w:val="10"/>
                <w:szCs w:val="10"/>
                <w:color w:val="auto"/>
              </w:rPr>
              <w:t>Mortgage</w:t>
            </w:r>
          </w:p>
        </w:tc>
        <w:tc>
          <w:tcPr>
            <w:tcW w:w="720" w:type="dxa"/>
            <w:vAlign w:val="bottom"/>
          </w:tcPr>
          <w:p>
            <w:pPr>
              <w:jc w:val="center"/>
              <w:spacing w:after="0"/>
              <w:rPr>
                <w:sz w:val="20"/>
                <w:szCs w:val="20"/>
                <w:color w:val="auto"/>
              </w:rPr>
            </w:pPr>
            <w:r>
              <w:rPr>
                <w:rFonts w:ascii="Calibri" w:cs="Calibri" w:eastAsia="Calibri" w:hAnsi="Calibri"/>
                <w:sz w:val="10"/>
                <w:szCs w:val="10"/>
                <w:color w:val="auto"/>
              </w:rPr>
              <w:t>19,574</w:t>
            </w:r>
          </w:p>
        </w:tc>
        <w:tc>
          <w:tcPr>
            <w:tcW w:w="760" w:type="dxa"/>
            <w:vAlign w:val="bottom"/>
          </w:tcPr>
          <w:p>
            <w:pPr>
              <w:jc w:val="center"/>
              <w:spacing w:after="0"/>
              <w:rPr>
                <w:sz w:val="20"/>
                <w:szCs w:val="20"/>
                <w:color w:val="auto"/>
              </w:rPr>
            </w:pPr>
            <w:r>
              <w:rPr>
                <w:rFonts w:ascii="Calibri" w:cs="Calibri" w:eastAsia="Calibri" w:hAnsi="Calibri"/>
                <w:sz w:val="10"/>
                <w:szCs w:val="10"/>
                <w:color w:val="auto"/>
              </w:rPr>
              <w:t>20,325</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21,130</w:t>
            </w:r>
          </w:p>
        </w:tc>
        <w:tc>
          <w:tcPr>
            <w:tcW w:w="660" w:type="dxa"/>
            <w:vAlign w:val="bottom"/>
            <w:shd w:val="clear" w:color="auto" w:fill="00D273"/>
          </w:tcPr>
          <w:p>
            <w:pPr>
              <w:jc w:val="center"/>
              <w:spacing w:after="0"/>
              <w:rPr>
                <w:sz w:val="20"/>
                <w:szCs w:val="20"/>
                <w:color w:val="auto"/>
              </w:rPr>
            </w:pPr>
            <w:r>
              <w:rPr>
                <w:rFonts w:ascii="Calibri" w:cs="Calibri" w:eastAsia="Calibri" w:hAnsi="Calibri"/>
                <w:sz w:val="10"/>
                <w:szCs w:val="10"/>
                <w:color w:val="auto"/>
              </w:rPr>
              <w:t>4.0%</w:t>
            </w:r>
          </w:p>
        </w:tc>
        <w:tc>
          <w:tcPr>
            <w:tcW w:w="700" w:type="dxa"/>
            <w:vAlign w:val="bottom"/>
            <w:tcBorders>
              <w:right w:val="single" w:sz="8" w:color="auto"/>
            </w:tcBorders>
            <w:shd w:val="clear" w:color="auto" w:fill="00D273"/>
          </w:tcPr>
          <w:p>
            <w:pPr>
              <w:jc w:val="center"/>
              <w:spacing w:after="0"/>
              <w:rPr>
                <w:sz w:val="20"/>
                <w:szCs w:val="20"/>
                <w:color w:val="auto"/>
              </w:rPr>
            </w:pPr>
            <w:r>
              <w:rPr>
                <w:rFonts w:ascii="Calibri" w:cs="Calibri" w:eastAsia="Calibri" w:hAnsi="Calibri"/>
                <w:sz w:val="10"/>
                <w:szCs w:val="10"/>
                <w:color w:val="auto"/>
              </w:rPr>
              <w:t>7.9%</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1,981</w:t>
            </w:r>
          </w:p>
        </w:tc>
        <w:tc>
          <w:tcPr>
            <w:tcW w:w="540" w:type="dxa"/>
            <w:vAlign w:val="bottom"/>
            <w:gridSpan w:val="2"/>
          </w:tcPr>
          <w:p>
            <w:pPr>
              <w:jc w:val="center"/>
              <w:ind w:left="208"/>
              <w:spacing w:after="0"/>
              <w:rPr>
                <w:sz w:val="20"/>
                <w:szCs w:val="20"/>
                <w:color w:val="auto"/>
              </w:rPr>
            </w:pPr>
            <w:r>
              <w:rPr>
                <w:rFonts w:ascii="Calibri" w:cs="Calibri" w:eastAsia="Calibri" w:hAnsi="Calibri"/>
                <w:sz w:val="10"/>
                <w:szCs w:val="10"/>
                <w:color w:val="auto"/>
              </w:rPr>
              <w:t>1,789</w:t>
            </w:r>
          </w:p>
        </w:tc>
        <w:tc>
          <w:tcPr>
            <w:tcW w:w="300" w:type="dxa"/>
            <w:vAlign w:val="bottom"/>
          </w:tcPr>
          <w:p>
            <w:pPr>
              <w:spacing w:after="0"/>
              <w:rPr>
                <w:sz w:val="12"/>
                <w:szCs w:val="12"/>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1,694</w:t>
            </w:r>
          </w:p>
        </w:tc>
        <w:tc>
          <w:tcPr>
            <w:tcW w:w="660" w:type="dxa"/>
            <w:vAlign w:val="bottom"/>
          </w:tcPr>
          <w:p>
            <w:pPr>
              <w:jc w:val="center"/>
              <w:spacing w:after="0"/>
              <w:rPr>
                <w:sz w:val="20"/>
                <w:szCs w:val="20"/>
                <w:color w:val="auto"/>
              </w:rPr>
            </w:pPr>
            <w:r>
              <w:rPr>
                <w:rFonts w:ascii="Calibri" w:cs="Calibri" w:eastAsia="Calibri" w:hAnsi="Calibri"/>
                <w:sz w:val="10"/>
                <w:szCs w:val="10"/>
                <w:color w:val="auto"/>
                <w:w w:val="95"/>
              </w:rPr>
              <w:t>-5.3%</w:t>
            </w:r>
          </w:p>
        </w:tc>
        <w:tc>
          <w:tcPr>
            <w:tcW w:w="720" w:type="dxa"/>
            <w:vAlign w:val="bottom"/>
            <w:tcBorders>
              <w:right w:val="single" w:sz="8" w:color="auto"/>
            </w:tcBorders>
            <w:shd w:val="clear" w:color="auto" w:fill="E93BAC"/>
          </w:tcPr>
          <w:p>
            <w:pPr>
              <w:jc w:val="center"/>
              <w:spacing w:after="0"/>
              <w:rPr>
                <w:sz w:val="20"/>
                <w:szCs w:val="20"/>
                <w:color w:val="auto"/>
              </w:rPr>
            </w:pPr>
            <w:r>
              <w:rPr>
                <w:rFonts w:ascii="Calibri" w:cs="Calibri" w:eastAsia="Calibri" w:hAnsi="Calibri"/>
                <w:sz w:val="10"/>
                <w:szCs w:val="10"/>
                <w:color w:val="auto"/>
              </w:rPr>
              <w:t>-14.5%</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92.6%</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7.4%</w:t>
            </w: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gridSpan w:val="2"/>
          </w:tcPr>
          <w:p>
            <w:pPr>
              <w:ind w:left="320"/>
              <w:spacing w:after="0"/>
              <w:rPr>
                <w:sz w:val="20"/>
                <w:szCs w:val="20"/>
                <w:color w:val="auto"/>
              </w:rPr>
            </w:pPr>
            <w:r>
              <w:rPr>
                <w:rFonts w:ascii="Calibri" w:cs="Calibri" w:eastAsia="Calibri" w:hAnsi="Calibri"/>
                <w:sz w:val="10"/>
                <w:szCs w:val="10"/>
                <w:color w:val="auto"/>
              </w:rPr>
              <w:t>Consumer</w:t>
            </w:r>
          </w:p>
        </w:tc>
        <w:tc>
          <w:tcPr>
            <w:tcW w:w="720" w:type="dxa"/>
            <w:vAlign w:val="bottom"/>
          </w:tcPr>
          <w:p>
            <w:pPr>
              <w:jc w:val="center"/>
              <w:spacing w:after="0"/>
              <w:rPr>
                <w:sz w:val="20"/>
                <w:szCs w:val="20"/>
                <w:color w:val="auto"/>
              </w:rPr>
            </w:pPr>
            <w:r>
              <w:rPr>
                <w:rFonts w:ascii="Calibri" w:cs="Calibri" w:eastAsia="Calibri" w:hAnsi="Calibri"/>
                <w:sz w:val="10"/>
                <w:szCs w:val="10"/>
                <w:color w:val="auto"/>
              </w:rPr>
              <w:t>11,209</w:t>
            </w:r>
          </w:p>
        </w:tc>
        <w:tc>
          <w:tcPr>
            <w:tcW w:w="760" w:type="dxa"/>
            <w:vAlign w:val="bottom"/>
          </w:tcPr>
          <w:p>
            <w:pPr>
              <w:jc w:val="center"/>
              <w:spacing w:after="0"/>
              <w:rPr>
                <w:sz w:val="20"/>
                <w:szCs w:val="20"/>
                <w:color w:val="auto"/>
              </w:rPr>
            </w:pPr>
            <w:r>
              <w:rPr>
                <w:rFonts w:ascii="Calibri" w:cs="Calibri" w:eastAsia="Calibri" w:hAnsi="Calibri"/>
                <w:sz w:val="10"/>
                <w:szCs w:val="10"/>
                <w:color w:val="auto"/>
              </w:rPr>
              <w:t>11,329</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11,517</w:t>
            </w:r>
          </w:p>
        </w:tc>
        <w:tc>
          <w:tcPr>
            <w:tcW w:w="660" w:type="dxa"/>
            <w:vAlign w:val="bottom"/>
            <w:shd w:val="clear" w:color="auto" w:fill="00D273"/>
          </w:tcPr>
          <w:p>
            <w:pPr>
              <w:jc w:val="center"/>
              <w:spacing w:after="0"/>
              <w:rPr>
                <w:sz w:val="20"/>
                <w:szCs w:val="20"/>
                <w:color w:val="auto"/>
              </w:rPr>
            </w:pPr>
            <w:r>
              <w:rPr>
                <w:rFonts w:ascii="Calibri" w:cs="Calibri" w:eastAsia="Calibri" w:hAnsi="Calibri"/>
                <w:sz w:val="10"/>
                <w:szCs w:val="10"/>
                <w:color w:val="auto"/>
              </w:rPr>
              <w:t>1.7%</w:t>
            </w:r>
          </w:p>
        </w:tc>
        <w:tc>
          <w:tcPr>
            <w:tcW w:w="700" w:type="dxa"/>
            <w:vAlign w:val="bottom"/>
            <w:tcBorders>
              <w:right w:val="single" w:sz="8" w:color="auto"/>
            </w:tcBorders>
            <w:shd w:val="clear" w:color="auto" w:fill="00D273"/>
          </w:tcPr>
          <w:p>
            <w:pPr>
              <w:jc w:val="center"/>
              <w:spacing w:after="0"/>
              <w:rPr>
                <w:sz w:val="20"/>
                <w:szCs w:val="20"/>
                <w:color w:val="auto"/>
              </w:rPr>
            </w:pPr>
            <w:r>
              <w:rPr>
                <w:rFonts w:ascii="Calibri" w:cs="Calibri" w:eastAsia="Calibri" w:hAnsi="Calibri"/>
                <w:sz w:val="10"/>
                <w:szCs w:val="10"/>
                <w:color w:val="auto"/>
              </w:rPr>
              <w:t>2.8%</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1,760</w:t>
            </w:r>
          </w:p>
        </w:tc>
        <w:tc>
          <w:tcPr>
            <w:tcW w:w="540" w:type="dxa"/>
            <w:vAlign w:val="bottom"/>
            <w:gridSpan w:val="2"/>
          </w:tcPr>
          <w:p>
            <w:pPr>
              <w:jc w:val="center"/>
              <w:ind w:left="208"/>
              <w:spacing w:after="0"/>
              <w:rPr>
                <w:sz w:val="20"/>
                <w:szCs w:val="20"/>
                <w:color w:val="auto"/>
              </w:rPr>
            </w:pPr>
            <w:r>
              <w:rPr>
                <w:rFonts w:ascii="Calibri" w:cs="Calibri" w:eastAsia="Calibri" w:hAnsi="Calibri"/>
                <w:sz w:val="10"/>
                <w:szCs w:val="10"/>
                <w:color w:val="auto"/>
              </w:rPr>
              <w:t>1,902</w:t>
            </w:r>
          </w:p>
        </w:tc>
        <w:tc>
          <w:tcPr>
            <w:tcW w:w="300" w:type="dxa"/>
            <w:vAlign w:val="bottom"/>
          </w:tcPr>
          <w:p>
            <w:pPr>
              <w:spacing w:after="0"/>
              <w:rPr>
                <w:sz w:val="11"/>
                <w:szCs w:val="11"/>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1,979</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4.1%</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12.5%</w:t>
            </w:r>
          </w:p>
        </w:tc>
        <w:tc>
          <w:tcPr>
            <w:tcW w:w="660" w:type="dxa"/>
            <w:vAlign w:val="bottom"/>
          </w:tcPr>
          <w:p>
            <w:pPr>
              <w:jc w:val="center"/>
              <w:spacing w:after="0"/>
              <w:rPr>
                <w:sz w:val="20"/>
                <w:szCs w:val="20"/>
                <w:color w:val="auto"/>
              </w:rPr>
            </w:pPr>
            <w:r>
              <w:rPr>
                <w:rFonts w:ascii="Calibri" w:cs="Calibri" w:eastAsia="Calibri" w:hAnsi="Calibri"/>
                <w:sz w:val="10"/>
                <w:szCs w:val="10"/>
                <w:color w:val="auto"/>
              </w:rPr>
              <w:t>85.7%</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14.3%</w:t>
            </w:r>
          </w:p>
        </w:tc>
        <w:tc>
          <w:tcPr>
            <w:tcW w:w="0" w:type="dxa"/>
            <w:vAlign w:val="bottom"/>
          </w:tcPr>
          <w:p>
            <w:pPr>
              <w:spacing w:after="0"/>
              <w:rPr>
                <w:sz w:val="1"/>
                <w:szCs w:val="1"/>
                <w:color w:val="auto"/>
              </w:rPr>
            </w:pPr>
          </w:p>
        </w:tc>
      </w:tr>
      <w:tr>
        <w:trPr>
          <w:trHeight w:val="114"/>
        </w:trPr>
        <w:tc>
          <w:tcPr>
            <w:tcW w:w="2300" w:type="dxa"/>
            <w:vAlign w:val="bottom"/>
            <w:tcBorders>
              <w:left w:val="single" w:sz="8" w:color="auto"/>
              <w:right w:val="single" w:sz="8" w:color="auto"/>
            </w:tcBorders>
            <w:gridSpan w:val="2"/>
          </w:tcPr>
          <w:p>
            <w:pPr>
              <w:ind w:left="320"/>
              <w:spacing w:after="0" w:line="114" w:lineRule="exact"/>
              <w:rPr>
                <w:sz w:val="20"/>
                <w:szCs w:val="20"/>
                <w:color w:val="auto"/>
              </w:rPr>
            </w:pPr>
            <w:r>
              <w:rPr>
                <w:rFonts w:ascii="Calibri" w:cs="Calibri" w:eastAsia="Calibri" w:hAnsi="Calibri"/>
                <w:sz w:val="10"/>
                <w:szCs w:val="10"/>
                <w:color w:val="auto"/>
              </w:rPr>
              <w:t>Credit Card</w:t>
            </w:r>
          </w:p>
        </w:tc>
        <w:tc>
          <w:tcPr>
            <w:tcW w:w="720" w:type="dxa"/>
            <w:vAlign w:val="bottom"/>
          </w:tcPr>
          <w:p>
            <w:pPr>
              <w:jc w:val="center"/>
              <w:spacing w:after="0" w:line="114" w:lineRule="exact"/>
              <w:rPr>
                <w:sz w:val="20"/>
                <w:szCs w:val="20"/>
                <w:color w:val="auto"/>
              </w:rPr>
            </w:pPr>
            <w:r>
              <w:rPr>
                <w:rFonts w:ascii="Calibri" w:cs="Calibri" w:eastAsia="Calibri" w:hAnsi="Calibri"/>
                <w:sz w:val="10"/>
                <w:szCs w:val="10"/>
                <w:color w:val="auto"/>
              </w:rPr>
              <w:t>5,043</w:t>
            </w:r>
          </w:p>
        </w:tc>
        <w:tc>
          <w:tcPr>
            <w:tcW w:w="760" w:type="dxa"/>
            <w:vAlign w:val="bottom"/>
          </w:tcPr>
          <w:p>
            <w:pPr>
              <w:jc w:val="center"/>
              <w:spacing w:after="0" w:line="114" w:lineRule="exact"/>
              <w:rPr>
                <w:sz w:val="20"/>
                <w:szCs w:val="20"/>
                <w:color w:val="auto"/>
              </w:rPr>
            </w:pPr>
            <w:r>
              <w:rPr>
                <w:rFonts w:ascii="Calibri" w:cs="Calibri" w:eastAsia="Calibri" w:hAnsi="Calibri"/>
                <w:sz w:val="10"/>
                <w:szCs w:val="10"/>
                <w:color w:val="auto"/>
              </w:rPr>
              <w:t>4,941</w:t>
            </w:r>
          </w:p>
        </w:tc>
        <w:tc>
          <w:tcPr>
            <w:tcW w:w="780" w:type="dxa"/>
            <w:vAlign w:val="bottom"/>
            <w:tcBorders>
              <w:right w:val="single" w:sz="8" w:color="auto"/>
            </w:tcBorders>
          </w:tcPr>
          <w:p>
            <w:pPr>
              <w:jc w:val="center"/>
              <w:ind w:right="9"/>
              <w:spacing w:after="0" w:line="114" w:lineRule="exact"/>
              <w:rPr>
                <w:sz w:val="20"/>
                <w:szCs w:val="20"/>
                <w:color w:val="auto"/>
              </w:rPr>
            </w:pPr>
            <w:r>
              <w:rPr>
                <w:rFonts w:ascii="Calibri" w:cs="Calibri" w:eastAsia="Calibri" w:hAnsi="Calibri"/>
                <w:sz w:val="10"/>
                <w:szCs w:val="10"/>
                <w:color w:val="auto"/>
              </w:rPr>
              <w:t>5,109</w:t>
            </w:r>
          </w:p>
        </w:tc>
        <w:tc>
          <w:tcPr>
            <w:tcW w:w="660" w:type="dxa"/>
            <w:vAlign w:val="bottom"/>
          </w:tcPr>
          <w:p>
            <w:pPr>
              <w:jc w:val="center"/>
              <w:spacing w:after="0" w:line="114" w:lineRule="exact"/>
              <w:rPr>
                <w:sz w:val="20"/>
                <w:szCs w:val="20"/>
                <w:color w:val="auto"/>
              </w:rPr>
            </w:pPr>
            <w:r>
              <w:rPr>
                <w:rFonts w:ascii="Calibri" w:cs="Calibri" w:eastAsia="Calibri" w:hAnsi="Calibri"/>
                <w:sz w:val="10"/>
                <w:szCs w:val="10"/>
                <w:color w:val="auto"/>
              </w:rPr>
              <w:t>3.4%</w:t>
            </w:r>
          </w:p>
        </w:tc>
        <w:tc>
          <w:tcPr>
            <w:tcW w:w="70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0"/>
                <w:szCs w:val="10"/>
                <w:color w:val="auto"/>
              </w:rPr>
              <w:t>1.3%</w:t>
            </w:r>
          </w:p>
        </w:tc>
        <w:tc>
          <w:tcPr>
            <w:tcW w:w="820" w:type="dxa"/>
            <w:vAlign w:val="bottom"/>
          </w:tcPr>
          <w:p>
            <w:pPr>
              <w:jc w:val="center"/>
              <w:spacing w:after="0" w:line="114" w:lineRule="exact"/>
              <w:rPr>
                <w:sz w:val="20"/>
                <w:szCs w:val="20"/>
                <w:color w:val="auto"/>
              </w:rPr>
            </w:pPr>
            <w:r>
              <w:rPr>
                <w:rFonts w:ascii="Calibri" w:cs="Calibri" w:eastAsia="Calibri" w:hAnsi="Calibri"/>
                <w:sz w:val="10"/>
                <w:szCs w:val="10"/>
                <w:color w:val="auto"/>
              </w:rPr>
              <w:t>1,025</w:t>
            </w:r>
          </w:p>
        </w:tc>
        <w:tc>
          <w:tcPr>
            <w:tcW w:w="540" w:type="dxa"/>
            <w:vAlign w:val="bottom"/>
            <w:gridSpan w:val="2"/>
          </w:tcPr>
          <w:p>
            <w:pPr>
              <w:jc w:val="center"/>
              <w:ind w:left="208"/>
              <w:spacing w:after="0" w:line="114" w:lineRule="exact"/>
              <w:rPr>
                <w:sz w:val="20"/>
                <w:szCs w:val="20"/>
                <w:color w:val="auto"/>
              </w:rPr>
            </w:pPr>
            <w:r>
              <w:rPr>
                <w:rFonts w:ascii="Calibri" w:cs="Calibri" w:eastAsia="Calibri" w:hAnsi="Calibri"/>
                <w:sz w:val="10"/>
                <w:szCs w:val="10"/>
                <w:color w:val="auto"/>
              </w:rPr>
              <w:t>1,014</w:t>
            </w:r>
          </w:p>
        </w:tc>
        <w:tc>
          <w:tcPr>
            <w:tcW w:w="300" w:type="dxa"/>
            <w:vAlign w:val="bottom"/>
          </w:tcPr>
          <w:p>
            <w:pPr>
              <w:spacing w:after="0"/>
              <w:rPr>
                <w:sz w:val="9"/>
                <w:szCs w:val="9"/>
                <w:color w:val="auto"/>
              </w:rPr>
            </w:pPr>
          </w:p>
        </w:tc>
        <w:tc>
          <w:tcPr>
            <w:tcW w:w="92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0"/>
                <w:szCs w:val="10"/>
                <w:color w:val="auto"/>
              </w:rPr>
              <w:t>1,015</w:t>
            </w:r>
          </w:p>
        </w:tc>
        <w:tc>
          <w:tcPr>
            <w:tcW w:w="660" w:type="dxa"/>
            <w:vAlign w:val="bottom"/>
          </w:tcPr>
          <w:p>
            <w:pPr>
              <w:jc w:val="center"/>
              <w:spacing w:after="0" w:line="114" w:lineRule="exact"/>
              <w:rPr>
                <w:sz w:val="20"/>
                <w:szCs w:val="20"/>
                <w:color w:val="auto"/>
              </w:rPr>
            </w:pPr>
            <w:r>
              <w:rPr>
                <w:rFonts w:ascii="Calibri" w:cs="Calibri" w:eastAsia="Calibri" w:hAnsi="Calibri"/>
                <w:sz w:val="10"/>
                <w:szCs w:val="10"/>
                <w:color w:val="auto"/>
              </w:rPr>
              <w:t>0.1%</w:t>
            </w:r>
          </w:p>
        </w:tc>
        <w:tc>
          <w:tcPr>
            <w:tcW w:w="72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0"/>
                <w:szCs w:val="10"/>
                <w:color w:val="auto"/>
              </w:rPr>
              <w:t>-0.9%</w:t>
            </w:r>
          </w:p>
        </w:tc>
        <w:tc>
          <w:tcPr>
            <w:tcW w:w="660" w:type="dxa"/>
            <w:vAlign w:val="bottom"/>
          </w:tcPr>
          <w:p>
            <w:pPr>
              <w:jc w:val="center"/>
              <w:spacing w:after="0" w:line="114" w:lineRule="exact"/>
              <w:rPr>
                <w:sz w:val="20"/>
                <w:szCs w:val="20"/>
                <w:color w:val="auto"/>
              </w:rPr>
            </w:pPr>
            <w:r>
              <w:rPr>
                <w:rFonts w:ascii="Calibri" w:cs="Calibri" w:eastAsia="Calibri" w:hAnsi="Calibri"/>
                <w:sz w:val="10"/>
                <w:szCs w:val="10"/>
                <w:color w:val="auto"/>
              </w:rPr>
              <w:t>83.4%</w:t>
            </w:r>
          </w:p>
        </w:tc>
        <w:tc>
          <w:tcPr>
            <w:tcW w:w="70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0"/>
                <w:szCs w:val="10"/>
                <w:color w:val="auto"/>
              </w:rPr>
              <w:t>16.6%</w:t>
            </w:r>
          </w:p>
        </w:tc>
        <w:tc>
          <w:tcPr>
            <w:tcW w:w="0" w:type="dxa"/>
            <w:vAlign w:val="bottom"/>
          </w:tcPr>
          <w:p>
            <w:pPr>
              <w:spacing w:after="0"/>
              <w:rPr>
                <w:sz w:val="1"/>
                <w:szCs w:val="1"/>
                <w:color w:val="auto"/>
              </w:rPr>
            </w:pPr>
          </w:p>
        </w:tc>
      </w:tr>
      <w:tr>
        <w:trPr>
          <w:trHeight w:val="139"/>
        </w:trPr>
        <w:tc>
          <w:tcPr>
            <w:tcW w:w="2300" w:type="dxa"/>
            <w:vAlign w:val="bottom"/>
            <w:tcBorders>
              <w:left w:val="single" w:sz="8" w:color="auto"/>
              <w:right w:val="single" w:sz="8" w:color="auto"/>
            </w:tcBorders>
            <w:gridSpan w:val="2"/>
          </w:tcPr>
          <w:p>
            <w:pPr>
              <w:ind w:left="20"/>
              <w:spacing w:after="0" w:line="139" w:lineRule="exact"/>
              <w:rPr>
                <w:sz w:val="20"/>
                <w:szCs w:val="20"/>
                <w:color w:val="auto"/>
              </w:rPr>
            </w:pPr>
            <w:r>
              <w:rPr>
                <w:rFonts w:ascii="Calibri" w:cs="Calibri" w:eastAsia="Calibri" w:hAnsi="Calibri"/>
                <w:sz w:val="9"/>
                <w:szCs w:val="9"/>
                <w:b w:val="1"/>
                <w:bCs w:val="1"/>
                <w:color w:val="auto"/>
              </w:rPr>
              <w:t xml:space="preserve">Others </w:t>
            </w:r>
            <w:r>
              <w:rPr>
                <w:rFonts w:ascii="Calibri" w:cs="Calibri" w:eastAsia="Calibri" w:hAnsi="Calibri"/>
                <w:sz w:val="15"/>
                <w:szCs w:val="15"/>
                <w:b w:val="1"/>
                <w:bCs w:val="1"/>
                <w:color w:val="auto"/>
                <w:vertAlign w:val="superscript"/>
              </w:rPr>
              <w:t>(1)</w:t>
            </w:r>
          </w:p>
        </w:tc>
        <w:tc>
          <w:tcPr>
            <w:tcW w:w="720" w:type="dxa"/>
            <w:vAlign w:val="bottom"/>
          </w:tcPr>
          <w:p>
            <w:pPr>
              <w:jc w:val="center"/>
              <w:spacing w:after="0"/>
              <w:rPr>
                <w:sz w:val="20"/>
                <w:szCs w:val="20"/>
                <w:color w:val="auto"/>
              </w:rPr>
            </w:pPr>
            <w:r>
              <w:rPr>
                <w:rFonts w:ascii="Calibri" w:cs="Calibri" w:eastAsia="Calibri" w:hAnsi="Calibri"/>
                <w:sz w:val="10"/>
                <w:szCs w:val="10"/>
                <w:b w:val="1"/>
                <w:bCs w:val="1"/>
                <w:color w:val="auto"/>
              </w:rPr>
              <w:t>478</w:t>
            </w:r>
          </w:p>
        </w:tc>
        <w:tc>
          <w:tcPr>
            <w:tcW w:w="760" w:type="dxa"/>
            <w:vAlign w:val="bottom"/>
          </w:tcPr>
          <w:p>
            <w:pPr>
              <w:jc w:val="center"/>
              <w:spacing w:after="0"/>
              <w:rPr>
                <w:sz w:val="20"/>
                <w:szCs w:val="20"/>
                <w:color w:val="auto"/>
              </w:rPr>
            </w:pPr>
            <w:r>
              <w:rPr>
                <w:rFonts w:ascii="Calibri" w:cs="Calibri" w:eastAsia="Calibri" w:hAnsi="Calibri"/>
                <w:sz w:val="10"/>
                <w:szCs w:val="10"/>
                <w:b w:val="1"/>
                <w:bCs w:val="1"/>
                <w:color w:val="auto"/>
              </w:rPr>
              <w:t>582</w:t>
            </w:r>
          </w:p>
        </w:tc>
        <w:tc>
          <w:tcPr>
            <w:tcW w:w="780" w:type="dxa"/>
            <w:vAlign w:val="bottom"/>
            <w:tcBorders>
              <w:right w:val="single" w:sz="8" w:color="auto"/>
            </w:tcBorders>
          </w:tcPr>
          <w:p>
            <w:pPr>
              <w:jc w:val="center"/>
              <w:ind w:right="9"/>
              <w:spacing w:after="0"/>
              <w:rPr>
                <w:sz w:val="20"/>
                <w:szCs w:val="20"/>
                <w:color w:val="auto"/>
              </w:rPr>
            </w:pPr>
            <w:r>
              <w:rPr>
                <w:rFonts w:ascii="Calibri" w:cs="Calibri" w:eastAsia="Calibri" w:hAnsi="Calibri"/>
                <w:sz w:val="10"/>
                <w:szCs w:val="10"/>
                <w:b w:val="1"/>
                <w:bCs w:val="1"/>
                <w:color w:val="auto"/>
              </w:rPr>
              <w:t>567</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-2.7%</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18.6%</w:t>
            </w:r>
          </w:p>
        </w:tc>
        <w:tc>
          <w:tcPr>
            <w:tcW w:w="820" w:type="dxa"/>
            <w:vAlign w:val="bottom"/>
          </w:tcPr>
          <w:p>
            <w:pPr>
              <w:jc w:val="center"/>
              <w:spacing w:after="0"/>
              <w:rPr>
                <w:sz w:val="20"/>
                <w:szCs w:val="20"/>
                <w:color w:val="auto"/>
              </w:rPr>
            </w:pPr>
            <w:r>
              <w:rPr>
                <w:rFonts w:ascii="Calibri" w:cs="Calibri" w:eastAsia="Calibri" w:hAnsi="Calibri"/>
                <w:sz w:val="10"/>
                <w:szCs w:val="10"/>
                <w:b w:val="1"/>
                <w:bCs w:val="1"/>
                <w:color w:val="auto"/>
              </w:rPr>
              <w:t>1,411</w:t>
            </w:r>
          </w:p>
        </w:tc>
        <w:tc>
          <w:tcPr>
            <w:tcW w:w="540" w:type="dxa"/>
            <w:vAlign w:val="bottom"/>
            <w:gridSpan w:val="2"/>
          </w:tcPr>
          <w:p>
            <w:pPr>
              <w:jc w:val="center"/>
              <w:ind w:left="208"/>
              <w:spacing w:after="0"/>
              <w:rPr>
                <w:sz w:val="20"/>
                <w:szCs w:val="20"/>
                <w:color w:val="auto"/>
              </w:rPr>
            </w:pPr>
            <w:r>
              <w:rPr>
                <w:rFonts w:ascii="Calibri" w:cs="Calibri" w:eastAsia="Calibri" w:hAnsi="Calibri"/>
                <w:sz w:val="10"/>
                <w:szCs w:val="10"/>
                <w:b w:val="1"/>
                <w:bCs w:val="1"/>
                <w:color w:val="auto"/>
              </w:rPr>
              <w:t>1,359</w:t>
            </w:r>
          </w:p>
        </w:tc>
        <w:tc>
          <w:tcPr>
            <w:tcW w:w="300" w:type="dxa"/>
            <w:vAlign w:val="bottom"/>
          </w:tcPr>
          <w:p>
            <w:pPr>
              <w:spacing w:after="0"/>
              <w:rPr>
                <w:sz w:val="12"/>
                <w:szCs w:val="12"/>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1,278</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-5.9%</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-9.4%</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31.5%</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68.5%</w:t>
            </w:r>
          </w:p>
        </w:tc>
        <w:tc>
          <w:tcPr>
            <w:tcW w:w="0" w:type="dxa"/>
            <w:vAlign w:val="bottom"/>
          </w:tcPr>
          <w:p>
            <w:pPr>
              <w:spacing w:after="0"/>
              <w:rPr>
                <w:sz w:val="1"/>
                <w:szCs w:val="1"/>
                <w:color w:val="auto"/>
              </w:rPr>
            </w:pPr>
          </w:p>
        </w:tc>
      </w:tr>
      <w:tr>
        <w:trPr>
          <w:trHeight w:val="124"/>
        </w:trPr>
        <w:tc>
          <w:tcPr>
            <w:tcW w:w="230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0"/>
                <w:szCs w:val="10"/>
                <w:b w:val="1"/>
                <w:bCs w:val="1"/>
                <w:color w:val="auto"/>
              </w:rPr>
              <w:t>Mibanco</w:t>
            </w:r>
          </w:p>
        </w:tc>
        <w:tc>
          <w:tcPr>
            <w:tcW w:w="720" w:type="dxa"/>
            <w:vAlign w:val="bottom"/>
          </w:tcPr>
          <w:p>
            <w:pPr>
              <w:jc w:val="center"/>
              <w:spacing w:after="0"/>
              <w:rPr>
                <w:sz w:val="20"/>
                <w:szCs w:val="20"/>
                <w:color w:val="auto"/>
              </w:rPr>
            </w:pPr>
            <w:r>
              <w:rPr>
                <w:rFonts w:ascii="Calibri" w:cs="Calibri" w:eastAsia="Calibri" w:hAnsi="Calibri"/>
                <w:sz w:val="10"/>
                <w:szCs w:val="10"/>
                <w:b w:val="1"/>
                <w:bCs w:val="1"/>
                <w:color w:val="auto"/>
              </w:rPr>
              <w:t>12,691</w:t>
            </w:r>
          </w:p>
        </w:tc>
        <w:tc>
          <w:tcPr>
            <w:tcW w:w="760" w:type="dxa"/>
            <w:vAlign w:val="bottom"/>
          </w:tcPr>
          <w:p>
            <w:pPr>
              <w:jc w:val="center"/>
              <w:spacing w:after="0"/>
              <w:rPr>
                <w:sz w:val="20"/>
                <w:szCs w:val="20"/>
                <w:color w:val="auto"/>
              </w:rPr>
            </w:pPr>
            <w:r>
              <w:rPr>
                <w:rFonts w:ascii="Calibri" w:cs="Calibri" w:eastAsia="Calibri" w:hAnsi="Calibri"/>
                <w:sz w:val="10"/>
                <w:szCs w:val="10"/>
                <w:b w:val="1"/>
                <w:bCs w:val="1"/>
                <w:color w:val="auto"/>
              </w:rPr>
              <w:t>12,515</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12,776</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2.1%</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0.7%</w:t>
            </w:r>
          </w:p>
        </w:tc>
        <w:tc>
          <w:tcPr>
            <w:tcW w:w="820" w:type="dxa"/>
            <w:vAlign w:val="bottom"/>
          </w:tcPr>
          <w:p>
            <w:pPr>
              <w:jc w:val="center"/>
              <w:spacing w:after="0"/>
              <w:rPr>
                <w:sz w:val="20"/>
                <w:szCs w:val="20"/>
                <w:color w:val="auto"/>
              </w:rPr>
            </w:pPr>
            <w:r>
              <w:rPr>
                <w:rFonts w:ascii="Calibri" w:cs="Calibri" w:eastAsia="Calibri" w:hAnsi="Calibri"/>
                <w:sz w:val="10"/>
                <w:szCs w:val="10"/>
                <w:b w:val="1"/>
                <w:bCs w:val="1"/>
                <w:color w:val="auto"/>
                <w:w w:val="98"/>
              </w:rPr>
              <w:t>14</w:t>
            </w:r>
          </w:p>
        </w:tc>
        <w:tc>
          <w:tcPr>
            <w:tcW w:w="540" w:type="dxa"/>
            <w:vAlign w:val="bottom"/>
            <w:gridSpan w:val="2"/>
          </w:tcPr>
          <w:p>
            <w:pPr>
              <w:jc w:val="center"/>
              <w:ind w:left="228"/>
              <w:spacing w:after="0"/>
              <w:rPr>
                <w:sz w:val="20"/>
                <w:szCs w:val="20"/>
                <w:color w:val="auto"/>
              </w:rPr>
            </w:pPr>
            <w:r>
              <w:rPr>
                <w:rFonts w:ascii="Calibri" w:cs="Calibri" w:eastAsia="Calibri" w:hAnsi="Calibri"/>
                <w:sz w:val="10"/>
                <w:szCs w:val="10"/>
                <w:b w:val="1"/>
                <w:bCs w:val="1"/>
                <w:color w:val="auto"/>
                <w:w w:val="98"/>
              </w:rPr>
              <w:t>10</w:t>
            </w:r>
          </w:p>
        </w:tc>
        <w:tc>
          <w:tcPr>
            <w:tcW w:w="300" w:type="dxa"/>
            <w:vAlign w:val="bottom"/>
          </w:tcPr>
          <w:p>
            <w:pPr>
              <w:spacing w:after="0"/>
              <w:rPr>
                <w:sz w:val="10"/>
                <w:szCs w:val="10"/>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77"/>
              </w:rPr>
              <w:t>9</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-11.3%</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-35.0%</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99.9%</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0.1%</w:t>
            </w:r>
          </w:p>
        </w:tc>
        <w:tc>
          <w:tcPr>
            <w:tcW w:w="0" w:type="dxa"/>
            <w:vAlign w:val="bottom"/>
          </w:tcPr>
          <w:p>
            <w:pPr>
              <w:spacing w:after="0"/>
              <w:rPr>
                <w:sz w:val="1"/>
                <w:szCs w:val="1"/>
                <w:color w:val="auto"/>
              </w:rPr>
            </w:pPr>
          </w:p>
        </w:tc>
      </w:tr>
      <w:tr>
        <w:trPr>
          <w:trHeight w:val="130"/>
        </w:trPr>
        <w:tc>
          <w:tcPr>
            <w:tcW w:w="230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0"/>
                <w:szCs w:val="10"/>
                <w:b w:val="1"/>
                <w:bCs w:val="1"/>
                <w:color w:val="auto"/>
              </w:rPr>
              <w:t>Mibanco Colombia</w:t>
            </w:r>
          </w:p>
        </w:tc>
        <w:tc>
          <w:tcPr>
            <w:tcW w:w="720" w:type="dxa"/>
            <w:vAlign w:val="bottom"/>
          </w:tcPr>
          <w:p>
            <w:pPr>
              <w:jc w:val="center"/>
              <w:spacing w:after="0"/>
              <w:rPr>
                <w:sz w:val="20"/>
                <w:szCs w:val="20"/>
                <w:color w:val="auto"/>
              </w:rPr>
            </w:pPr>
            <w:r>
              <w:rPr>
                <w:rFonts w:ascii="Calibri" w:cs="Calibri" w:eastAsia="Calibri" w:hAnsi="Calibri"/>
                <w:sz w:val="10"/>
                <w:szCs w:val="10"/>
                <w:b w:val="1"/>
                <w:bCs w:val="1"/>
                <w:color w:val="auto"/>
              </w:rPr>
              <w:t>-</w:t>
            </w:r>
          </w:p>
        </w:tc>
        <w:tc>
          <w:tcPr>
            <w:tcW w:w="760" w:type="dxa"/>
            <w:vAlign w:val="bottom"/>
          </w:tcPr>
          <w:p>
            <w:pPr>
              <w:jc w:val="center"/>
              <w:spacing w:after="0"/>
              <w:rPr>
                <w:sz w:val="20"/>
                <w:szCs w:val="20"/>
                <w:color w:val="auto"/>
              </w:rPr>
            </w:pPr>
            <w:r>
              <w:rPr>
                <w:rFonts w:ascii="Calibri" w:cs="Calibri" w:eastAsia="Calibri" w:hAnsi="Calibri"/>
                <w:sz w:val="9"/>
                <w:szCs w:val="9"/>
                <w:b w:val="1"/>
                <w:bCs w:val="1"/>
                <w:color w:val="auto"/>
                <w:w w:val="70"/>
              </w:rPr>
              <w:t>-</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9"/>
                <w:szCs w:val="9"/>
                <w:b w:val="1"/>
                <w:bCs w:val="1"/>
                <w:color w:val="auto"/>
                <w:w w:val="70"/>
              </w:rPr>
              <w:t>-</w:t>
            </w:r>
          </w:p>
        </w:tc>
        <w:tc>
          <w:tcPr>
            <w:tcW w:w="660" w:type="dxa"/>
            <w:vAlign w:val="bottom"/>
          </w:tcPr>
          <w:p>
            <w:pPr>
              <w:jc w:val="center"/>
              <w:spacing w:after="0"/>
              <w:rPr>
                <w:sz w:val="20"/>
                <w:szCs w:val="20"/>
                <w:color w:val="auto"/>
              </w:rPr>
            </w:pPr>
            <w:r>
              <w:rPr>
                <w:rFonts w:ascii="Calibri" w:cs="Calibri" w:eastAsia="Calibri" w:hAnsi="Calibri"/>
                <w:sz w:val="9"/>
                <w:szCs w:val="9"/>
                <w:b w:val="1"/>
                <w:bCs w:val="1"/>
                <w:color w:val="auto"/>
                <w:w w:val="70"/>
              </w:rPr>
              <w:t>-</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w:t>
            </w:r>
          </w:p>
        </w:tc>
        <w:tc>
          <w:tcPr>
            <w:tcW w:w="820" w:type="dxa"/>
            <w:vAlign w:val="bottom"/>
          </w:tcPr>
          <w:p>
            <w:pPr>
              <w:jc w:val="center"/>
              <w:spacing w:after="0"/>
              <w:rPr>
                <w:sz w:val="20"/>
                <w:szCs w:val="20"/>
                <w:color w:val="auto"/>
              </w:rPr>
            </w:pPr>
            <w:r>
              <w:rPr>
                <w:rFonts w:ascii="Calibri" w:cs="Calibri" w:eastAsia="Calibri" w:hAnsi="Calibri"/>
                <w:sz w:val="10"/>
                <w:szCs w:val="10"/>
                <w:b w:val="1"/>
                <w:bCs w:val="1"/>
                <w:color w:val="auto"/>
              </w:rPr>
              <w:t>1,757</w:t>
            </w:r>
          </w:p>
        </w:tc>
        <w:tc>
          <w:tcPr>
            <w:tcW w:w="540" w:type="dxa"/>
            <w:vAlign w:val="bottom"/>
            <w:gridSpan w:val="2"/>
          </w:tcPr>
          <w:p>
            <w:pPr>
              <w:jc w:val="center"/>
              <w:ind w:left="208"/>
              <w:spacing w:after="0"/>
              <w:rPr>
                <w:sz w:val="20"/>
                <w:szCs w:val="20"/>
                <w:color w:val="auto"/>
              </w:rPr>
            </w:pPr>
            <w:r>
              <w:rPr>
                <w:rFonts w:ascii="Calibri" w:cs="Calibri" w:eastAsia="Calibri" w:hAnsi="Calibri"/>
                <w:sz w:val="10"/>
                <w:szCs w:val="10"/>
                <w:b w:val="1"/>
                <w:bCs w:val="1"/>
                <w:color w:val="auto"/>
              </w:rPr>
              <w:t>1,904</w:t>
            </w:r>
          </w:p>
        </w:tc>
        <w:tc>
          <w:tcPr>
            <w:tcW w:w="300" w:type="dxa"/>
            <w:vAlign w:val="bottom"/>
          </w:tcPr>
          <w:p>
            <w:pPr>
              <w:spacing w:after="0"/>
              <w:rPr>
                <w:sz w:val="11"/>
                <w:szCs w:val="11"/>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1,976</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3.8%</w:t>
            </w:r>
          </w:p>
        </w:tc>
        <w:tc>
          <w:tcPr>
            <w:tcW w:w="7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12.5%</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100%</w:t>
            </w:r>
          </w:p>
        </w:tc>
        <w:tc>
          <w:tcPr>
            <w:tcW w:w="0" w:type="dxa"/>
            <w:vAlign w:val="bottom"/>
          </w:tcPr>
          <w:p>
            <w:pPr>
              <w:spacing w:after="0"/>
              <w:rPr>
                <w:sz w:val="1"/>
                <w:szCs w:val="1"/>
                <w:color w:val="auto"/>
              </w:rPr>
            </w:pPr>
          </w:p>
        </w:tc>
      </w:tr>
      <w:tr>
        <w:trPr>
          <w:trHeight w:val="143"/>
        </w:trPr>
        <w:tc>
          <w:tcPr>
            <w:tcW w:w="230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0"/>
                <w:szCs w:val="10"/>
                <w:b w:val="1"/>
                <w:bCs w:val="1"/>
                <w:color w:val="auto"/>
              </w:rPr>
              <w:t>Bolivia</w:t>
            </w:r>
          </w:p>
        </w:tc>
        <w:tc>
          <w:tcPr>
            <w:tcW w:w="720" w:type="dxa"/>
            <w:vAlign w:val="bottom"/>
          </w:tcPr>
          <w:p>
            <w:pPr>
              <w:jc w:val="center"/>
              <w:spacing w:after="0"/>
              <w:rPr>
                <w:sz w:val="20"/>
                <w:szCs w:val="20"/>
                <w:color w:val="auto"/>
              </w:rPr>
            </w:pPr>
            <w:r>
              <w:rPr>
                <w:rFonts w:ascii="Calibri" w:cs="Calibri" w:eastAsia="Calibri" w:hAnsi="Calibri"/>
                <w:sz w:val="10"/>
                <w:szCs w:val="10"/>
                <w:b w:val="1"/>
                <w:bCs w:val="1"/>
                <w:color w:val="auto"/>
              </w:rPr>
              <w:t>-</w:t>
            </w:r>
          </w:p>
        </w:tc>
        <w:tc>
          <w:tcPr>
            <w:tcW w:w="760" w:type="dxa"/>
            <w:vAlign w:val="bottom"/>
          </w:tcPr>
          <w:p>
            <w:pPr>
              <w:jc w:val="center"/>
              <w:spacing w:after="0"/>
              <w:rPr>
                <w:sz w:val="20"/>
                <w:szCs w:val="20"/>
                <w:color w:val="auto"/>
              </w:rPr>
            </w:pPr>
            <w:r>
              <w:rPr>
                <w:rFonts w:ascii="Calibri" w:cs="Calibri" w:eastAsia="Calibri" w:hAnsi="Calibri"/>
                <w:sz w:val="9"/>
                <w:szCs w:val="9"/>
                <w:b w:val="1"/>
                <w:bCs w:val="1"/>
                <w:color w:val="auto"/>
                <w:w w:val="70"/>
              </w:rPr>
              <w:t>-</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9"/>
                <w:szCs w:val="9"/>
                <w:b w:val="1"/>
                <w:bCs w:val="1"/>
                <w:color w:val="auto"/>
                <w:w w:val="70"/>
              </w:rPr>
              <w:t>-</w:t>
            </w:r>
          </w:p>
        </w:tc>
        <w:tc>
          <w:tcPr>
            <w:tcW w:w="660" w:type="dxa"/>
            <w:vAlign w:val="bottom"/>
          </w:tcPr>
          <w:p>
            <w:pPr>
              <w:jc w:val="center"/>
              <w:spacing w:after="0"/>
              <w:rPr>
                <w:sz w:val="20"/>
                <w:szCs w:val="20"/>
                <w:color w:val="auto"/>
              </w:rPr>
            </w:pPr>
            <w:r>
              <w:rPr>
                <w:rFonts w:ascii="Calibri" w:cs="Calibri" w:eastAsia="Calibri" w:hAnsi="Calibri"/>
                <w:sz w:val="9"/>
                <w:szCs w:val="9"/>
                <w:b w:val="1"/>
                <w:bCs w:val="1"/>
                <w:color w:val="auto"/>
                <w:w w:val="70"/>
              </w:rPr>
              <w:t>-</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w:t>
            </w:r>
          </w:p>
        </w:tc>
        <w:tc>
          <w:tcPr>
            <w:tcW w:w="820" w:type="dxa"/>
            <w:vAlign w:val="bottom"/>
          </w:tcPr>
          <w:p>
            <w:pPr>
              <w:jc w:val="center"/>
              <w:spacing w:after="0"/>
              <w:rPr>
                <w:sz w:val="20"/>
                <w:szCs w:val="20"/>
                <w:color w:val="auto"/>
              </w:rPr>
            </w:pPr>
            <w:r>
              <w:rPr>
                <w:rFonts w:ascii="Calibri" w:cs="Calibri" w:eastAsia="Calibri" w:hAnsi="Calibri"/>
                <w:sz w:val="10"/>
                <w:szCs w:val="10"/>
                <w:b w:val="1"/>
                <w:bCs w:val="1"/>
                <w:color w:val="auto"/>
              </w:rPr>
              <w:t>10,229</w:t>
            </w:r>
          </w:p>
        </w:tc>
        <w:tc>
          <w:tcPr>
            <w:tcW w:w="540" w:type="dxa"/>
            <w:vAlign w:val="bottom"/>
            <w:gridSpan w:val="2"/>
          </w:tcPr>
          <w:p>
            <w:pPr>
              <w:jc w:val="center"/>
              <w:ind w:left="208"/>
              <w:spacing w:after="0"/>
              <w:rPr>
                <w:sz w:val="20"/>
                <w:szCs w:val="20"/>
                <w:color w:val="auto"/>
              </w:rPr>
            </w:pPr>
            <w:r>
              <w:rPr>
                <w:rFonts w:ascii="Calibri" w:cs="Calibri" w:eastAsia="Calibri" w:hAnsi="Calibri"/>
                <w:sz w:val="10"/>
                <w:szCs w:val="10"/>
                <w:b w:val="1"/>
                <w:bCs w:val="1"/>
                <w:color w:val="auto"/>
              </w:rPr>
              <w:t>6,294</w:t>
            </w:r>
          </w:p>
        </w:tc>
        <w:tc>
          <w:tcPr>
            <w:tcW w:w="300" w:type="dxa"/>
            <w:vAlign w:val="bottom"/>
          </w:tcPr>
          <w:p>
            <w:pPr>
              <w:spacing w:after="0"/>
              <w:rPr>
                <w:sz w:val="12"/>
                <w:szCs w:val="12"/>
                <w:color w:val="auto"/>
              </w:rPr>
            </w:pP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4,189</w:t>
            </w:r>
          </w:p>
        </w:tc>
        <w:tc>
          <w:tcPr>
            <w:tcW w:w="660" w:type="dxa"/>
            <w:vAlign w:val="bottom"/>
            <w:shd w:val="clear" w:color="auto" w:fill="E93BAC"/>
          </w:tcPr>
          <w:p>
            <w:pPr>
              <w:jc w:val="center"/>
              <w:spacing w:after="0"/>
              <w:rPr>
                <w:sz w:val="20"/>
                <w:szCs w:val="20"/>
                <w:color w:val="auto"/>
              </w:rPr>
            </w:pPr>
            <w:r>
              <w:rPr>
                <w:rFonts w:ascii="Calibri" w:cs="Calibri" w:eastAsia="Calibri" w:hAnsi="Calibri"/>
                <w:sz w:val="10"/>
                <w:szCs w:val="10"/>
                <w:b w:val="1"/>
                <w:bCs w:val="1"/>
                <w:color w:val="auto"/>
              </w:rPr>
              <w:t>-33.4%</w:t>
            </w:r>
          </w:p>
        </w:tc>
        <w:tc>
          <w:tcPr>
            <w:tcW w:w="720" w:type="dxa"/>
            <w:vAlign w:val="bottom"/>
            <w:tcBorders>
              <w:right w:val="single" w:sz="8" w:color="auto"/>
            </w:tcBorders>
            <w:shd w:val="clear" w:color="auto" w:fill="E93BAC"/>
          </w:tcPr>
          <w:p>
            <w:pPr>
              <w:jc w:val="center"/>
              <w:spacing w:after="0"/>
              <w:rPr>
                <w:sz w:val="20"/>
                <w:szCs w:val="20"/>
                <w:color w:val="auto"/>
              </w:rPr>
            </w:pPr>
            <w:r>
              <w:rPr>
                <w:rFonts w:ascii="Calibri" w:cs="Calibri" w:eastAsia="Calibri" w:hAnsi="Calibri"/>
                <w:sz w:val="10"/>
                <w:szCs w:val="10"/>
                <w:b w:val="1"/>
                <w:bCs w:val="1"/>
                <w:color w:val="auto"/>
              </w:rPr>
              <w:t>-59.0%</w:t>
            </w:r>
          </w:p>
        </w:tc>
        <w:tc>
          <w:tcPr>
            <w:tcW w:w="660" w:type="dxa"/>
            <w:vAlign w:val="bottom"/>
          </w:tcPr>
          <w:p>
            <w:pPr>
              <w:jc w:val="center"/>
              <w:spacing w:after="0"/>
              <w:rPr>
                <w:sz w:val="20"/>
                <w:szCs w:val="20"/>
                <w:color w:val="auto"/>
              </w:rPr>
            </w:pPr>
            <w:r>
              <w:rPr>
                <w:rFonts w:ascii="Calibri" w:cs="Calibri" w:eastAsia="Calibri" w:hAnsi="Calibri"/>
                <w:sz w:val="10"/>
                <w:szCs w:val="10"/>
                <w:b w:val="1"/>
                <w:bCs w:val="1"/>
                <w:color w:val="auto"/>
              </w:rPr>
              <w:t>-</w:t>
            </w:r>
          </w:p>
        </w:tc>
        <w:tc>
          <w:tcPr>
            <w:tcW w:w="7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100%</w:t>
            </w:r>
          </w:p>
        </w:tc>
        <w:tc>
          <w:tcPr>
            <w:tcW w:w="0" w:type="dxa"/>
            <w:vAlign w:val="bottom"/>
          </w:tcPr>
          <w:p>
            <w:pPr>
              <w:spacing w:after="0"/>
              <w:rPr>
                <w:sz w:val="1"/>
                <w:szCs w:val="1"/>
                <w:color w:val="auto"/>
              </w:rPr>
            </w:pPr>
          </w:p>
        </w:tc>
      </w:tr>
      <w:tr>
        <w:trPr>
          <w:trHeight w:val="114"/>
        </w:trPr>
        <w:tc>
          <w:tcPr>
            <w:tcW w:w="2300" w:type="dxa"/>
            <w:vAlign w:val="bottom"/>
            <w:tcBorders>
              <w:left w:val="single" w:sz="8" w:color="auto"/>
              <w:right w:val="single" w:sz="8" w:color="auto"/>
            </w:tcBorders>
            <w:gridSpan w:val="2"/>
          </w:tcPr>
          <w:p>
            <w:pPr>
              <w:ind w:left="20"/>
              <w:spacing w:after="0" w:line="114" w:lineRule="exact"/>
              <w:rPr>
                <w:sz w:val="20"/>
                <w:szCs w:val="20"/>
                <w:color w:val="auto"/>
              </w:rPr>
            </w:pPr>
            <w:r>
              <w:rPr>
                <w:rFonts w:ascii="Calibri" w:cs="Calibri" w:eastAsia="Calibri" w:hAnsi="Calibri"/>
                <w:sz w:val="10"/>
                <w:szCs w:val="10"/>
                <w:b w:val="1"/>
                <w:bCs w:val="1"/>
                <w:color w:val="auto"/>
              </w:rPr>
              <w:t>ASB Bank Corp.</w:t>
            </w:r>
          </w:p>
        </w:tc>
        <w:tc>
          <w:tcPr>
            <w:tcW w:w="720" w:type="dxa"/>
            <w:vAlign w:val="bottom"/>
          </w:tcPr>
          <w:p>
            <w:pPr>
              <w:jc w:val="center"/>
              <w:spacing w:after="0" w:line="114" w:lineRule="exact"/>
              <w:rPr>
                <w:sz w:val="20"/>
                <w:szCs w:val="20"/>
                <w:color w:val="auto"/>
              </w:rPr>
            </w:pPr>
            <w:r>
              <w:rPr>
                <w:rFonts w:ascii="Calibri" w:cs="Calibri" w:eastAsia="Calibri" w:hAnsi="Calibri"/>
                <w:sz w:val="10"/>
                <w:szCs w:val="10"/>
                <w:b w:val="1"/>
                <w:bCs w:val="1"/>
                <w:color w:val="auto"/>
              </w:rPr>
              <w:t>-</w:t>
            </w:r>
          </w:p>
        </w:tc>
        <w:tc>
          <w:tcPr>
            <w:tcW w:w="760" w:type="dxa"/>
            <w:vAlign w:val="bottom"/>
          </w:tcPr>
          <w:p>
            <w:pPr>
              <w:jc w:val="center"/>
              <w:spacing w:after="0"/>
              <w:rPr>
                <w:sz w:val="20"/>
                <w:szCs w:val="20"/>
                <w:color w:val="auto"/>
              </w:rPr>
            </w:pPr>
            <w:r>
              <w:rPr>
                <w:rFonts w:ascii="Calibri" w:cs="Calibri" w:eastAsia="Calibri" w:hAnsi="Calibri"/>
                <w:sz w:val="9"/>
                <w:szCs w:val="9"/>
                <w:b w:val="1"/>
                <w:bCs w:val="1"/>
                <w:color w:val="auto"/>
                <w:w w:val="70"/>
              </w:rPr>
              <w:t>-</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9"/>
                <w:szCs w:val="9"/>
                <w:b w:val="1"/>
                <w:bCs w:val="1"/>
                <w:color w:val="auto"/>
                <w:w w:val="70"/>
              </w:rPr>
              <w:t>-</w:t>
            </w:r>
          </w:p>
        </w:tc>
        <w:tc>
          <w:tcPr>
            <w:tcW w:w="660" w:type="dxa"/>
            <w:vAlign w:val="bottom"/>
          </w:tcPr>
          <w:p>
            <w:pPr>
              <w:jc w:val="center"/>
              <w:spacing w:after="0"/>
              <w:rPr>
                <w:sz w:val="20"/>
                <w:szCs w:val="20"/>
                <w:color w:val="auto"/>
              </w:rPr>
            </w:pPr>
            <w:r>
              <w:rPr>
                <w:rFonts w:ascii="Calibri" w:cs="Calibri" w:eastAsia="Calibri" w:hAnsi="Calibri"/>
                <w:sz w:val="9"/>
                <w:szCs w:val="9"/>
                <w:b w:val="1"/>
                <w:bCs w:val="1"/>
                <w:color w:val="auto"/>
                <w:w w:val="70"/>
              </w:rPr>
              <w:t>-</w:t>
            </w:r>
          </w:p>
        </w:tc>
        <w:tc>
          <w:tcPr>
            <w:tcW w:w="70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0"/>
                <w:szCs w:val="10"/>
                <w:b w:val="1"/>
                <w:bCs w:val="1"/>
                <w:color w:val="auto"/>
              </w:rPr>
              <w:t>-</w:t>
            </w:r>
          </w:p>
        </w:tc>
        <w:tc>
          <w:tcPr>
            <w:tcW w:w="820" w:type="dxa"/>
            <w:vAlign w:val="bottom"/>
          </w:tcPr>
          <w:p>
            <w:pPr>
              <w:jc w:val="center"/>
              <w:spacing w:after="0" w:line="114" w:lineRule="exact"/>
              <w:rPr>
                <w:sz w:val="20"/>
                <w:szCs w:val="20"/>
                <w:color w:val="auto"/>
              </w:rPr>
            </w:pPr>
            <w:r>
              <w:rPr>
                <w:rFonts w:ascii="Calibri" w:cs="Calibri" w:eastAsia="Calibri" w:hAnsi="Calibri"/>
                <w:sz w:val="10"/>
                <w:szCs w:val="10"/>
                <w:b w:val="1"/>
                <w:bCs w:val="1"/>
                <w:color w:val="auto"/>
              </w:rPr>
              <w:t>1,953</w:t>
            </w:r>
          </w:p>
        </w:tc>
        <w:tc>
          <w:tcPr>
            <w:tcW w:w="540" w:type="dxa"/>
            <w:vAlign w:val="bottom"/>
            <w:gridSpan w:val="2"/>
          </w:tcPr>
          <w:p>
            <w:pPr>
              <w:jc w:val="center"/>
              <w:ind w:left="208"/>
              <w:spacing w:after="0" w:line="114" w:lineRule="exact"/>
              <w:rPr>
                <w:sz w:val="20"/>
                <w:szCs w:val="20"/>
                <w:color w:val="auto"/>
              </w:rPr>
            </w:pPr>
            <w:r>
              <w:rPr>
                <w:rFonts w:ascii="Calibri" w:cs="Calibri" w:eastAsia="Calibri" w:hAnsi="Calibri"/>
                <w:sz w:val="10"/>
                <w:szCs w:val="10"/>
                <w:b w:val="1"/>
                <w:bCs w:val="1"/>
                <w:color w:val="auto"/>
              </w:rPr>
              <w:t>1,777</w:t>
            </w:r>
          </w:p>
        </w:tc>
        <w:tc>
          <w:tcPr>
            <w:tcW w:w="300" w:type="dxa"/>
            <w:vAlign w:val="bottom"/>
          </w:tcPr>
          <w:p>
            <w:pPr>
              <w:spacing w:after="0"/>
              <w:rPr>
                <w:sz w:val="9"/>
                <w:szCs w:val="9"/>
                <w:color w:val="auto"/>
              </w:rPr>
            </w:pPr>
          </w:p>
        </w:tc>
        <w:tc>
          <w:tcPr>
            <w:tcW w:w="92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0"/>
                <w:szCs w:val="10"/>
                <w:b w:val="1"/>
                <w:bCs w:val="1"/>
                <w:color w:val="auto"/>
              </w:rPr>
              <w:t>1,559</w:t>
            </w:r>
          </w:p>
        </w:tc>
        <w:tc>
          <w:tcPr>
            <w:tcW w:w="660" w:type="dxa"/>
            <w:vAlign w:val="bottom"/>
          </w:tcPr>
          <w:p>
            <w:pPr>
              <w:jc w:val="center"/>
              <w:spacing w:after="0" w:line="114" w:lineRule="exact"/>
              <w:rPr>
                <w:sz w:val="20"/>
                <w:szCs w:val="20"/>
                <w:color w:val="auto"/>
              </w:rPr>
            </w:pPr>
            <w:r>
              <w:rPr>
                <w:rFonts w:ascii="Calibri" w:cs="Calibri" w:eastAsia="Calibri" w:hAnsi="Calibri"/>
                <w:sz w:val="10"/>
                <w:szCs w:val="10"/>
                <w:b w:val="1"/>
                <w:bCs w:val="1"/>
                <w:color w:val="auto"/>
              </w:rPr>
              <w:t>-12.3%</w:t>
            </w:r>
          </w:p>
        </w:tc>
        <w:tc>
          <w:tcPr>
            <w:tcW w:w="72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0"/>
                <w:szCs w:val="10"/>
                <w:b w:val="1"/>
                <w:bCs w:val="1"/>
                <w:color w:val="auto"/>
              </w:rPr>
              <w:t>-20.2%</w:t>
            </w:r>
          </w:p>
        </w:tc>
        <w:tc>
          <w:tcPr>
            <w:tcW w:w="660" w:type="dxa"/>
            <w:vAlign w:val="bottom"/>
          </w:tcPr>
          <w:p>
            <w:pPr>
              <w:jc w:val="center"/>
              <w:spacing w:after="0" w:line="114" w:lineRule="exact"/>
              <w:rPr>
                <w:sz w:val="20"/>
                <w:szCs w:val="20"/>
                <w:color w:val="auto"/>
              </w:rPr>
            </w:pPr>
            <w:r>
              <w:rPr>
                <w:rFonts w:ascii="Calibri" w:cs="Calibri" w:eastAsia="Calibri" w:hAnsi="Calibri"/>
                <w:sz w:val="10"/>
                <w:szCs w:val="10"/>
                <w:b w:val="1"/>
                <w:bCs w:val="1"/>
                <w:color w:val="auto"/>
              </w:rPr>
              <w:t>-</w:t>
            </w:r>
          </w:p>
        </w:tc>
        <w:tc>
          <w:tcPr>
            <w:tcW w:w="70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0"/>
                <w:szCs w:val="10"/>
                <w:b w:val="1"/>
                <w:bCs w:val="1"/>
                <w:color w:val="auto"/>
              </w:rPr>
              <w:t>100%</w:t>
            </w:r>
          </w:p>
        </w:tc>
        <w:tc>
          <w:tcPr>
            <w:tcW w:w="0" w:type="dxa"/>
            <w:vAlign w:val="bottom"/>
          </w:tcPr>
          <w:p>
            <w:pPr>
              <w:spacing w:after="0"/>
              <w:rPr>
                <w:sz w:val="1"/>
                <w:szCs w:val="1"/>
                <w:color w:val="auto"/>
              </w:rPr>
            </w:pPr>
          </w:p>
        </w:tc>
      </w:tr>
      <w:tr>
        <w:trPr>
          <w:trHeight w:val="146"/>
        </w:trPr>
        <w:tc>
          <w:tcPr>
            <w:tcW w:w="2300" w:type="dxa"/>
            <w:vAlign w:val="bottom"/>
            <w:tcBorders>
              <w:left w:val="single" w:sz="8" w:color="auto"/>
              <w:bottom w:val="single" w:sz="8" w:color="auto"/>
              <w:right w:val="single" w:sz="8" w:color="auto"/>
            </w:tcBorders>
            <w:gridSpan w:val="2"/>
          </w:tcPr>
          <w:p>
            <w:pPr>
              <w:ind w:left="20"/>
              <w:spacing w:after="0" w:line="146" w:lineRule="exact"/>
              <w:rPr>
                <w:sz w:val="20"/>
                <w:szCs w:val="20"/>
                <w:color w:val="auto"/>
              </w:rPr>
            </w:pPr>
            <w:r>
              <w:rPr>
                <w:rFonts w:ascii="Calibri" w:cs="Calibri" w:eastAsia="Calibri" w:hAnsi="Calibri"/>
                <w:sz w:val="9"/>
                <w:szCs w:val="9"/>
                <w:b w:val="1"/>
                <w:bCs w:val="1"/>
                <w:color w:val="auto"/>
              </w:rPr>
              <w:t xml:space="preserve">Others </w:t>
            </w:r>
            <w:r>
              <w:rPr>
                <w:rFonts w:ascii="Calibri" w:cs="Calibri" w:eastAsia="Calibri" w:hAnsi="Calibri"/>
                <w:sz w:val="15"/>
                <w:szCs w:val="15"/>
                <w:b w:val="1"/>
                <w:bCs w:val="1"/>
                <w:color w:val="auto"/>
                <w:vertAlign w:val="superscript"/>
              </w:rPr>
              <w:t>(2)</w:t>
            </w: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-756</w:t>
            </w:r>
          </w:p>
        </w:tc>
        <w:tc>
          <w:tcPr>
            <w:tcW w:w="7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-573</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-883</w:t>
            </w:r>
          </w:p>
        </w:tc>
        <w:tc>
          <w:tcPr>
            <w:tcW w:w="6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54.2%</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16.8%</w:t>
            </w:r>
          </w:p>
        </w:tc>
        <w:tc>
          <w:tcPr>
            <w:tcW w:w="8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w:t>
            </w:r>
          </w:p>
        </w:tc>
        <w:tc>
          <w:tcPr>
            <w:tcW w:w="540" w:type="dxa"/>
            <w:vAlign w:val="bottom"/>
            <w:tcBorders>
              <w:bottom w:val="single" w:sz="8" w:color="auto"/>
            </w:tcBorders>
            <w:gridSpan w:val="2"/>
          </w:tcPr>
          <w:p>
            <w:pPr>
              <w:jc w:val="center"/>
              <w:ind w:left="228"/>
              <w:spacing w:after="0"/>
              <w:rPr>
                <w:sz w:val="20"/>
                <w:szCs w:val="20"/>
                <w:color w:val="auto"/>
              </w:rPr>
            </w:pPr>
            <w:r>
              <w:rPr>
                <w:rFonts w:ascii="Calibri" w:cs="Calibri" w:eastAsia="Calibri" w:hAnsi="Calibri"/>
                <w:sz w:val="10"/>
                <w:szCs w:val="10"/>
                <w:b w:val="1"/>
                <w:bCs w:val="1"/>
                <w:color w:val="auto"/>
                <w:w w:val="98"/>
              </w:rPr>
              <w:t>-109</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336</w:t>
            </w:r>
          </w:p>
        </w:tc>
        <w:tc>
          <w:tcPr>
            <w:tcW w:w="6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-408.1%</w:t>
            </w:r>
          </w:p>
        </w:tc>
        <w:tc>
          <w:tcPr>
            <w:tcW w:w="720" w:type="dxa"/>
            <w:vAlign w:val="bottom"/>
            <w:tcBorders>
              <w:bottom w:val="single" w:sz="8" w:color="auto"/>
              <w:right w:val="single" w:sz="8" w:color="auto"/>
            </w:tcBorders>
          </w:tcPr>
          <w:p>
            <w:pPr>
              <w:ind w:left="260"/>
              <w:spacing w:after="0"/>
              <w:rPr>
                <w:sz w:val="20"/>
                <w:szCs w:val="20"/>
                <w:color w:val="auto"/>
              </w:rPr>
            </w:pPr>
            <w:r>
              <w:rPr>
                <w:rFonts w:ascii="Calibri" w:cs="Calibri" w:eastAsia="Calibri" w:hAnsi="Calibri"/>
                <w:sz w:val="10"/>
                <w:szCs w:val="10"/>
                <w:b w:val="1"/>
                <w:bCs w:val="1"/>
                <w:color w:val="auto"/>
              </w:rPr>
              <w:t>n.a.</w:t>
            </w:r>
          </w:p>
        </w:tc>
        <w:tc>
          <w:tcPr>
            <w:tcW w:w="6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9"/>
                <w:szCs w:val="9"/>
                <w:b w:val="1"/>
                <w:bCs w:val="1"/>
                <w:color w:val="auto"/>
                <w:w w:val="70"/>
              </w:rPr>
              <w:t>-</w:t>
            </w:r>
          </w:p>
        </w:tc>
        <w:tc>
          <w:tcPr>
            <w:tcW w:w="0" w:type="dxa"/>
            <w:vAlign w:val="bottom"/>
          </w:tcPr>
          <w:p>
            <w:pPr>
              <w:spacing w:after="0"/>
              <w:rPr>
                <w:sz w:val="1"/>
                <w:szCs w:val="1"/>
                <w:color w:val="auto"/>
              </w:rPr>
            </w:pPr>
          </w:p>
        </w:tc>
      </w:tr>
      <w:tr>
        <w:trPr>
          <w:trHeight w:val="120"/>
        </w:trPr>
        <w:tc>
          <w:tcPr>
            <w:tcW w:w="2300" w:type="dxa"/>
            <w:vAlign w:val="bottom"/>
            <w:tcBorders>
              <w:left w:val="single" w:sz="8" w:color="auto"/>
              <w:bottom w:val="single" w:sz="8" w:color="auto"/>
              <w:right w:val="single" w:sz="8" w:color="auto"/>
            </w:tcBorders>
            <w:gridSpan w:val="2"/>
          </w:tcPr>
          <w:p>
            <w:pPr>
              <w:ind w:left="20"/>
              <w:spacing w:after="0" w:line="121" w:lineRule="exact"/>
              <w:rPr>
                <w:sz w:val="20"/>
                <w:szCs w:val="20"/>
                <w:color w:val="auto"/>
              </w:rPr>
            </w:pPr>
            <w:r>
              <w:rPr>
                <w:rFonts w:ascii="Calibri" w:cs="Calibri" w:eastAsia="Calibri" w:hAnsi="Calibri"/>
                <w:sz w:val="10"/>
                <w:szCs w:val="10"/>
                <w:b w:val="1"/>
                <w:bCs w:val="1"/>
                <w:color w:val="auto"/>
              </w:rPr>
              <w:t>Total Loans BAP</w:t>
            </w:r>
          </w:p>
        </w:tc>
        <w:tc>
          <w:tcPr>
            <w:tcW w:w="72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92,685</w:t>
            </w:r>
          </w:p>
        </w:tc>
        <w:tc>
          <w:tcPr>
            <w:tcW w:w="76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91,644</w:t>
            </w:r>
          </w:p>
        </w:tc>
        <w:tc>
          <w:tcPr>
            <w:tcW w:w="78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93,110</w:t>
            </w:r>
          </w:p>
        </w:tc>
        <w:tc>
          <w:tcPr>
            <w:tcW w:w="66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1.6%</w:t>
            </w:r>
          </w:p>
        </w:tc>
        <w:tc>
          <w:tcPr>
            <w:tcW w:w="70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w w:val="99"/>
              </w:rPr>
              <w:t>0.5%</w:t>
            </w:r>
          </w:p>
        </w:tc>
        <w:tc>
          <w:tcPr>
            <w:tcW w:w="82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54,261</w:t>
            </w:r>
          </w:p>
        </w:tc>
        <w:tc>
          <w:tcPr>
            <w:tcW w:w="840" w:type="dxa"/>
            <w:vAlign w:val="bottom"/>
            <w:tcBorders>
              <w:bottom w:val="single" w:sz="8" w:color="auto"/>
            </w:tcBorders>
            <w:gridSpan w:val="3"/>
          </w:tcPr>
          <w:p>
            <w:pPr>
              <w:jc w:val="center"/>
              <w:ind w:right="20"/>
              <w:spacing w:after="0" w:line="121" w:lineRule="exact"/>
              <w:rPr>
                <w:sz w:val="20"/>
                <w:szCs w:val="20"/>
                <w:color w:val="auto"/>
              </w:rPr>
            </w:pPr>
            <w:r>
              <w:rPr>
                <w:rFonts w:ascii="Calibri" w:cs="Calibri" w:eastAsia="Calibri" w:hAnsi="Calibri"/>
                <w:sz w:val="10"/>
                <w:szCs w:val="10"/>
                <w:b w:val="1"/>
                <w:bCs w:val="1"/>
                <w:color w:val="auto"/>
              </w:rPr>
              <w:t>49,553</w:t>
            </w:r>
          </w:p>
        </w:tc>
        <w:tc>
          <w:tcPr>
            <w:tcW w:w="92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47,852</w:t>
            </w:r>
          </w:p>
        </w:tc>
        <w:tc>
          <w:tcPr>
            <w:tcW w:w="66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-3.4%</w:t>
            </w:r>
          </w:p>
        </w:tc>
        <w:tc>
          <w:tcPr>
            <w:tcW w:w="72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-11.8%</w:t>
            </w:r>
          </w:p>
        </w:tc>
        <w:tc>
          <w:tcPr>
            <w:tcW w:w="66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66.1%</w:t>
            </w:r>
          </w:p>
        </w:tc>
        <w:tc>
          <w:tcPr>
            <w:tcW w:w="70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33.9%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-1519555</wp:posOffset>
            </wp:positionV>
            <wp:extent cx="39484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48430" cy="8255"/>
                    </a:xfrm>
                    <a:prstGeom prst="rect">
                      <a:avLst/>
                    </a:prstGeom>
                    <a:noFill/>
                  </pic:spPr>
                </pic:pic>
              </a:graphicData>
            </a:graphic>
          </wp:anchor>
        </w:drawing>
        <w:drawing>
          <wp:anchor simplePos="0" relativeHeight="251657728" behindDoc="1" locked="0" layoutInCell="0" allowOverlap="1">
            <wp:simplePos x="0" y="0"/>
            <wp:positionH relativeFrom="column">
              <wp:posOffset>6090920</wp:posOffset>
            </wp:positionH>
            <wp:positionV relativeFrom="paragraph">
              <wp:posOffset>33020</wp:posOffset>
            </wp:positionV>
            <wp:extent cx="1049020" cy="189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49020" cy="18986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Calibri" w:cs="Calibri" w:eastAsia="Calibri" w:hAnsi="Calibri"/>
          <w:sz w:val="11"/>
          <w:szCs w:val="11"/>
          <w:color w:val="auto"/>
        </w:rPr>
        <w:t>For consolidaton purposes. Loans generated in Foreign Currency (FC) are converted into Local Currency (LC).</w:t>
      </w:r>
    </w:p>
    <w:p>
      <w:pPr>
        <w:ind w:left="300" w:hanging="296"/>
        <w:spacing w:after="0" w:line="232" w:lineRule="auto"/>
        <w:tabs>
          <w:tab w:leader="none" w:pos="300" w:val="left"/>
        </w:tabs>
        <w:numPr>
          <w:ilvl w:val="0"/>
          <w:numId w:val="18"/>
        </w:numPr>
        <w:rPr>
          <w:rFonts w:ascii="Calibri" w:cs="Calibri" w:eastAsia="Calibri" w:hAnsi="Calibri"/>
          <w:sz w:val="11"/>
          <w:szCs w:val="11"/>
          <w:color w:val="auto"/>
        </w:rPr>
      </w:pPr>
      <w:r>
        <w:rPr>
          <w:rFonts w:ascii="Calibri" w:cs="Calibri" w:eastAsia="Calibri" w:hAnsi="Calibri"/>
          <w:sz w:val="11"/>
          <w:szCs w:val="11"/>
          <w:color w:val="auto"/>
        </w:rPr>
        <w:t>Includes other assets and accruals.</w:t>
      </w:r>
    </w:p>
    <w:p>
      <w:pPr>
        <w:ind w:left="300" w:hanging="296"/>
        <w:spacing w:after="0" w:line="232" w:lineRule="auto"/>
        <w:tabs>
          <w:tab w:leader="none" w:pos="300" w:val="left"/>
        </w:tabs>
        <w:numPr>
          <w:ilvl w:val="0"/>
          <w:numId w:val="18"/>
        </w:numPr>
        <w:rPr>
          <w:rFonts w:ascii="Calibri" w:cs="Calibri" w:eastAsia="Calibri" w:hAnsi="Calibri"/>
          <w:sz w:val="11"/>
          <w:szCs w:val="11"/>
          <w:color w:val="auto"/>
        </w:rPr>
      </w:pPr>
      <w:r>
        <w:rPr>
          <w:rFonts w:ascii="Calibri" w:cs="Calibri" w:eastAsia="Calibri" w:hAnsi="Calibri"/>
          <w:sz w:val="11"/>
          <w:szCs w:val="11"/>
          <w:color w:val="auto"/>
        </w:rPr>
        <w:t>Includes eliminatons for intercompany transactons</w:t>
      </w:r>
    </w:p>
    <w:p>
      <w:pPr>
        <w:spacing w:after="0" w:line="146" w:lineRule="exact"/>
        <w:rPr>
          <w:sz w:val="20"/>
          <w:szCs w:val="20"/>
          <w:color w:val="auto"/>
        </w:rPr>
      </w:pPr>
    </w:p>
    <w:p>
      <w:pPr>
        <w:ind w:right="240"/>
        <w:spacing w:after="0" w:line="239" w:lineRule="auto"/>
        <w:rPr>
          <w:sz w:val="20"/>
          <w:szCs w:val="20"/>
          <w:color w:val="auto"/>
        </w:rPr>
      </w:pPr>
      <w:r>
        <w:rPr>
          <w:rFonts w:ascii="Calibri" w:cs="Calibri" w:eastAsia="Calibri" w:hAnsi="Calibri"/>
          <w:sz w:val="17"/>
          <w:szCs w:val="17"/>
          <w:color w:val="auto"/>
        </w:rPr>
        <w:t xml:space="preserve">At the end of June 2025, the dollarizaton level of total loans dropped 115 bps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(35.1% in Mar 25). This evoluton was driven mainly by a reducton in FC loan volumes via </w:t>
      </w:r>
      <w:r>
        <w:rPr>
          <w:rFonts w:ascii="Calibri" w:cs="Calibri" w:eastAsia="Calibri" w:hAnsi="Calibri"/>
          <w:sz w:val="17"/>
          <w:szCs w:val="17"/>
          <w:b w:val="1"/>
          <w:bCs w:val="1"/>
          <w:color w:val="auto"/>
        </w:rPr>
        <w:t>BCP Bolivia</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Corporate Banking</w:t>
      </w:r>
      <w:r>
        <w:rPr>
          <w:rFonts w:ascii="Calibri" w:cs="Calibri" w:eastAsia="Calibri" w:hAnsi="Calibri"/>
          <w:sz w:val="17"/>
          <w:szCs w:val="17"/>
          <w:color w:val="auto"/>
        </w:rPr>
        <w:t xml:space="preserve"> in partcular.</w:t>
      </w:r>
    </w:p>
    <w:p>
      <w:pPr>
        <w:spacing w:after="0" w:line="198" w:lineRule="exact"/>
        <w:rPr>
          <w:sz w:val="20"/>
          <w:szCs w:val="20"/>
          <w:color w:val="auto"/>
        </w:rPr>
      </w:pPr>
    </w:p>
    <w:p>
      <w:pPr>
        <w:ind w:right="580"/>
        <w:spacing w:after="0" w:line="239" w:lineRule="auto"/>
        <w:rPr>
          <w:sz w:val="20"/>
          <w:szCs w:val="20"/>
          <w:color w:val="auto"/>
        </w:rPr>
      </w:pPr>
      <w:r>
        <w:rPr>
          <w:rFonts w:ascii="Calibri" w:cs="Calibri" w:eastAsia="Calibri" w:hAnsi="Calibri"/>
          <w:sz w:val="17"/>
          <w:szCs w:val="17"/>
          <w:b w:val="1"/>
          <w:bCs w:val="1"/>
          <w:color w:val="auto"/>
        </w:rPr>
        <w:t>YoY</w:t>
      </w:r>
      <w:r>
        <w:rPr>
          <w:rFonts w:ascii="Calibri" w:cs="Calibri" w:eastAsia="Calibri" w:hAnsi="Calibri"/>
          <w:sz w:val="17"/>
          <w:szCs w:val="17"/>
          <w:color w:val="auto"/>
        </w:rPr>
        <w:t>, the dollarizaton level of total loans fell 298 bps. This evoluton was spurred primarily by a decrease in total loans in FC (-11.8%), led by</w:t>
      </w:r>
      <w:r>
        <w:rPr>
          <w:rFonts w:ascii="Calibri" w:cs="Calibri" w:eastAsia="Calibri" w:hAnsi="Calibri"/>
          <w:sz w:val="17"/>
          <w:szCs w:val="17"/>
          <w:b w:val="1"/>
          <w:bCs w:val="1"/>
          <w:color w:val="auto"/>
        </w:rPr>
        <w:t xml:space="preserve"> BCP Bolivia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Mortgage</w:t>
      </w:r>
      <w:r>
        <w:rPr>
          <w:rFonts w:ascii="Calibri" w:cs="Calibri" w:eastAsia="Calibri" w:hAnsi="Calibri"/>
          <w:sz w:val="17"/>
          <w:szCs w:val="17"/>
          <w:color w:val="auto"/>
        </w:rPr>
        <w:t>, and partally ofset by growth in total loans in LC (+0.5%), mainly through</w:t>
      </w:r>
      <w:r>
        <w:rPr>
          <w:rFonts w:ascii="Calibri" w:cs="Calibri" w:eastAsia="Calibri" w:hAnsi="Calibri"/>
          <w:sz w:val="17"/>
          <w:szCs w:val="17"/>
          <w:b w:val="1"/>
          <w:bCs w:val="1"/>
          <w:color w:val="auto"/>
        </w:rPr>
        <w:t xml:space="preserve"> Mortgage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Consumer</w:t>
      </w:r>
      <w:r>
        <w:rPr>
          <w:rFonts w:ascii="Calibri" w:cs="Calibri" w:eastAsia="Calibri" w:hAnsi="Calibri"/>
          <w:sz w:val="17"/>
          <w:szCs w:val="17"/>
          <w:color w:val="auto"/>
        </w:rPr>
        <w:t>.</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Evoluton of Loans in Average Daily Balances</w:t>
      </w:r>
    </w:p>
    <w:p>
      <w:pPr>
        <w:spacing w:after="0" w:line="223" w:lineRule="exact"/>
        <w:rPr>
          <w:sz w:val="20"/>
          <w:szCs w:val="20"/>
          <w:color w:val="auto"/>
        </w:rPr>
      </w:pPr>
    </w:p>
    <w:p>
      <w:pPr>
        <w:ind w:right="100"/>
        <w:spacing w:after="0" w:line="239" w:lineRule="auto"/>
        <w:rPr>
          <w:sz w:val="20"/>
          <w:szCs w:val="20"/>
          <w:color w:val="auto"/>
        </w:rPr>
      </w:pPr>
      <w:r>
        <w:rPr>
          <w:rFonts w:ascii="Calibri" w:cs="Calibri" w:eastAsia="Calibri" w:hAnsi="Calibri"/>
          <w:sz w:val="17"/>
          <w:szCs w:val="17"/>
          <w:color w:val="auto"/>
        </w:rPr>
        <w:t xml:space="preserve">Total loans in average daily balances (ADB) rose 0.8%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and 1.5% </w:t>
      </w:r>
      <w:r>
        <w:rPr>
          <w:rFonts w:ascii="Calibri" w:cs="Calibri" w:eastAsia="Calibri" w:hAnsi="Calibri"/>
          <w:sz w:val="17"/>
          <w:szCs w:val="17"/>
          <w:b w:val="1"/>
          <w:bCs w:val="1"/>
          <w:color w:val="auto"/>
        </w:rPr>
        <w:t>YoY.</w:t>
      </w:r>
      <w:r>
        <w:rPr>
          <w:rFonts w:ascii="Calibri" w:cs="Calibri" w:eastAsia="Calibri" w:hAnsi="Calibri"/>
          <w:sz w:val="17"/>
          <w:szCs w:val="17"/>
          <w:color w:val="auto"/>
        </w:rPr>
        <w:t xml:space="preserve"> It is important to note that the fgures for ADB loans are taken from internal management fgures and exclude the impact of the revaluaton of </w:t>
      </w:r>
      <w:r>
        <w:rPr>
          <w:rFonts w:ascii="Calibri" w:cs="Calibri" w:eastAsia="Calibri" w:hAnsi="Calibri"/>
          <w:sz w:val="17"/>
          <w:szCs w:val="17"/>
          <w:b w:val="1"/>
          <w:bCs w:val="1"/>
          <w:color w:val="auto"/>
        </w:rPr>
        <w:t>BCP Bolivia’s</w:t>
      </w:r>
      <w:r>
        <w:rPr>
          <w:rFonts w:ascii="Calibri" w:cs="Calibri" w:eastAsia="Calibri" w:hAnsi="Calibri"/>
          <w:sz w:val="17"/>
          <w:szCs w:val="17"/>
          <w:color w:val="auto"/>
        </w:rPr>
        <w:t xml:space="preserve"> asset balance.</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For more details on the evoluton of ADB balances, refer to </w:t>
      </w:r>
      <w:r>
        <w:rPr>
          <w:rFonts w:ascii="Calibri" w:cs="Calibri" w:eastAsia="Calibri" w:hAnsi="Calibri"/>
          <w:sz w:val="17"/>
          <w:szCs w:val="17"/>
          <w:b w:val="1"/>
          <w:bCs w:val="1"/>
          <w:color w:val="auto"/>
        </w:rPr>
        <w:t>Appendix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840740</wp:posOffset>
            </wp:positionV>
            <wp:extent cx="713740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146685</wp:posOffset>
            </wp:positionV>
            <wp:extent cx="6509385" cy="553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09385" cy="55372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0" w:name="page21"/>
    <w:bookmarkEnd w:id="20"/>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02 </w:t>
      </w:r>
      <w:r>
        <w:rPr>
          <w:rFonts w:ascii="Calibri" w:cs="Calibri" w:eastAsia="Calibri" w:hAnsi="Calibri"/>
          <w:sz w:val="31"/>
          <w:szCs w:val="31"/>
          <w:color w:val="E93B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137400" cy="1197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1197610"/>
                    </a:xfrm>
                    <a:prstGeom prst="rect">
                      <a:avLst/>
                    </a:prstGeom>
                    <a:noFill/>
                  </pic:spPr>
                </pic:pic>
              </a:graphicData>
            </a:graphic>
          </wp:anchor>
        </w:drawing>
      </w:r>
    </w:p>
    <w:p>
      <w:pPr>
        <w:spacing w:after="0" w:line="303" w:lineRule="exact"/>
        <w:rPr>
          <w:sz w:val="20"/>
          <w:szCs w:val="20"/>
          <w:color w:val="auto"/>
        </w:rPr>
      </w:pPr>
    </w:p>
    <w:p>
      <w:pPr>
        <w:jc w:val="both"/>
        <w:ind w:left="120" w:right="100"/>
        <w:spacing w:after="0"/>
        <w:rPr>
          <w:sz w:val="20"/>
          <w:szCs w:val="20"/>
          <w:color w:val="auto"/>
        </w:rPr>
      </w:pPr>
      <w:r>
        <w:rPr>
          <w:rFonts w:ascii="Calibri" w:cs="Calibri" w:eastAsia="Calibri" w:hAnsi="Calibri"/>
          <w:sz w:val="17"/>
          <w:szCs w:val="17"/>
          <w:color w:val="FFFFFF"/>
        </w:rPr>
        <w:t>This quarter, total Deposits fell 1.8% QoQ. This contracton was driven by a non-cash accountng adjustment to refect a revaluaton of BCP Bolivia’s balance sheet. If we exclude the impact of this adjustment total deposits fell slightly QoQ (+ 1% FX neutral), driven primarily by a 7.7% drop in the balance for Demand Deposits due a seasonal efect related to income tax payments. This decline was partally ofset by an 8.4% increase in the balance for Time Deposits, which was spurred by an uptck in onboarding of wholesale clients. YoY, deposits rose 6.2% (+10.2% FX neutral), driven by Savings, which rose on the back of growth in transactonal oferings that stmulate deposit captures in a high-liquidity environment, and by Time Deposits, which increased via the same dynamics seen QoQ.</w:t>
      </w:r>
    </w:p>
    <w:p>
      <w:pPr>
        <w:spacing w:after="0" w:line="146" w:lineRule="exact"/>
        <w:rPr>
          <w:sz w:val="20"/>
          <w:szCs w:val="20"/>
          <w:color w:val="auto"/>
        </w:rPr>
      </w:pPr>
    </w:p>
    <w:p>
      <w:pPr>
        <w:ind w:left="120" w:right="340"/>
        <w:spacing w:after="0" w:line="239" w:lineRule="auto"/>
        <w:rPr>
          <w:sz w:val="20"/>
          <w:szCs w:val="20"/>
          <w:color w:val="auto"/>
        </w:rPr>
      </w:pPr>
      <w:r>
        <w:rPr>
          <w:rFonts w:ascii="Calibri" w:cs="Calibri" w:eastAsia="Calibri" w:hAnsi="Calibri"/>
          <w:sz w:val="17"/>
          <w:szCs w:val="17"/>
          <w:color w:val="FFFFFF"/>
        </w:rPr>
        <w:t>At the end of 2Q25, 69.2% of total deposits were low-cost (Demand + Savings). Credicorp contnues to lead the low-cost deposit market with a 40.3% share at the end of June.</w:t>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306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Deposits</w:t>
            </w:r>
          </w:p>
        </w:tc>
        <w:tc>
          <w:tcPr>
            <w:tcW w:w="120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As of</w:t>
            </w:r>
          </w:p>
        </w:tc>
        <w:tc>
          <w:tcPr>
            <w:tcW w:w="1200" w:type="dxa"/>
            <w:vAlign w:val="bottom"/>
            <w:tcBorders>
              <w:top w:val="single" w:sz="8" w:color="auto"/>
            </w:tcBorders>
            <w:shd w:val="clear" w:color="auto" w:fill="33CCCC"/>
          </w:tcPr>
          <w:p>
            <w:pPr>
              <w:spacing w:after="0"/>
              <w:rPr>
                <w:sz w:val="14"/>
                <w:szCs w:val="14"/>
                <w:color w:val="auto"/>
              </w:rPr>
            </w:pPr>
          </w:p>
        </w:tc>
        <w:tc>
          <w:tcPr>
            <w:tcW w:w="1240" w:type="dxa"/>
            <w:vAlign w:val="bottom"/>
            <w:tcBorders>
              <w:top w:val="single" w:sz="8" w:color="auto"/>
              <w:right w:val="single" w:sz="8" w:color="auto"/>
            </w:tcBorders>
            <w:shd w:val="clear" w:color="auto" w:fill="33CCCC"/>
          </w:tcPr>
          <w:p>
            <w:pPr>
              <w:spacing w:after="0"/>
              <w:rPr>
                <w:sz w:val="14"/>
                <w:szCs w:val="14"/>
                <w:color w:val="auto"/>
              </w:rPr>
            </w:pPr>
          </w:p>
        </w:tc>
        <w:tc>
          <w:tcPr>
            <w:tcW w:w="11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 change</w:t>
            </w:r>
          </w:p>
        </w:tc>
        <w:tc>
          <w:tcPr>
            <w:tcW w:w="1140" w:type="dxa"/>
            <w:vAlign w:val="bottom"/>
            <w:tcBorders>
              <w:top w:val="single" w:sz="8" w:color="auto"/>
              <w:right w:val="single" w:sz="8" w:color="auto"/>
            </w:tcBorders>
            <w:shd w:val="clear" w:color="auto" w:fill="33CCCC"/>
          </w:tcPr>
          <w:p>
            <w:pPr>
              <w:spacing w:after="0"/>
              <w:rPr>
                <w:sz w:val="14"/>
                <w:szCs w:val="14"/>
                <w:color w:val="auto"/>
              </w:rPr>
            </w:pPr>
          </w:p>
        </w:tc>
        <w:tc>
          <w:tcPr>
            <w:tcW w:w="116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9"/>
              </w:rPr>
              <w:t>Currency</w:t>
            </w:r>
          </w:p>
        </w:tc>
        <w:tc>
          <w:tcPr>
            <w:tcW w:w="1080" w:type="dxa"/>
            <w:vAlign w:val="bottom"/>
            <w:tcBorders>
              <w:top w:val="single" w:sz="8" w:color="auto"/>
              <w:right w:val="single" w:sz="8" w:color="auto"/>
            </w:tcBorders>
            <w:shd w:val="clear" w:color="auto" w:fill="33CCCC"/>
          </w:tcPr>
          <w:p>
            <w:pPr>
              <w:spacing w:after="0"/>
              <w:rPr>
                <w:sz w:val="14"/>
                <w:szCs w:val="14"/>
                <w:color w:val="auto"/>
              </w:rPr>
            </w:pPr>
          </w:p>
        </w:tc>
      </w:tr>
      <w:tr>
        <w:trPr>
          <w:trHeight w:val="188"/>
        </w:trPr>
        <w:tc>
          <w:tcPr>
            <w:tcW w:w="3060" w:type="dxa"/>
            <w:vAlign w:val="bottom"/>
            <w:tcBorders>
              <w:left w:val="single" w:sz="8" w:color="auto"/>
              <w:bottom w:val="single" w:sz="8" w:color="33CCCC"/>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S/000</w:t>
            </w:r>
          </w:p>
        </w:tc>
        <w:tc>
          <w:tcPr>
            <w:tcW w:w="12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Jun 24</w:t>
            </w:r>
          </w:p>
        </w:tc>
        <w:tc>
          <w:tcPr>
            <w:tcW w:w="1200" w:type="dxa"/>
            <w:vAlign w:val="bottom"/>
            <w:tcBorders>
              <w:bottom w:val="single" w:sz="8" w:color="33CCCC"/>
            </w:tcBorders>
            <w:shd w:val="clear" w:color="auto" w:fill="33CCCC"/>
          </w:tcPr>
          <w:p>
            <w:pPr>
              <w:ind w:left="420"/>
              <w:spacing w:after="0"/>
              <w:rPr>
                <w:sz w:val="20"/>
                <w:szCs w:val="20"/>
                <w:color w:val="auto"/>
              </w:rPr>
            </w:pPr>
            <w:r>
              <w:rPr>
                <w:rFonts w:ascii="Calibri" w:cs="Calibri" w:eastAsia="Calibri" w:hAnsi="Calibri"/>
                <w:sz w:val="13"/>
                <w:szCs w:val="13"/>
                <w:b w:val="1"/>
                <w:bCs w:val="1"/>
                <w:color w:val="FFFFFF"/>
              </w:rPr>
              <w:t>Mar 25</w:t>
            </w:r>
          </w:p>
        </w:tc>
        <w:tc>
          <w:tcPr>
            <w:tcW w:w="1240" w:type="dxa"/>
            <w:vAlign w:val="bottom"/>
            <w:tcBorders>
              <w:bottom w:val="single" w:sz="8" w:color="33CCCC"/>
              <w:right w:val="single" w:sz="8" w:color="auto"/>
            </w:tcBorders>
            <w:shd w:val="clear" w:color="auto" w:fill="33CCCC"/>
          </w:tcPr>
          <w:p>
            <w:pPr>
              <w:ind w:left="440"/>
              <w:spacing w:after="0"/>
              <w:rPr>
                <w:sz w:val="20"/>
                <w:szCs w:val="20"/>
                <w:color w:val="auto"/>
              </w:rPr>
            </w:pPr>
            <w:r>
              <w:rPr>
                <w:rFonts w:ascii="Calibri" w:cs="Calibri" w:eastAsia="Calibri" w:hAnsi="Calibri"/>
                <w:sz w:val="13"/>
                <w:szCs w:val="13"/>
                <w:b w:val="1"/>
                <w:bCs w:val="1"/>
                <w:color w:val="FFFFFF"/>
              </w:rPr>
              <w:t>Jun 25</w:t>
            </w:r>
          </w:p>
        </w:tc>
        <w:tc>
          <w:tcPr>
            <w:tcW w:w="11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6"/>
              </w:rPr>
              <w:t>QoQ</w:t>
            </w:r>
          </w:p>
        </w:tc>
        <w:tc>
          <w:tcPr>
            <w:tcW w:w="1140" w:type="dxa"/>
            <w:vAlign w:val="bottom"/>
            <w:tcBorders>
              <w:bottom w:val="single" w:sz="8" w:color="33CCCC"/>
              <w:right w:val="single" w:sz="8" w:color="auto"/>
            </w:tcBorders>
            <w:shd w:val="clear" w:color="auto" w:fill="33CCCC"/>
          </w:tcPr>
          <w:p>
            <w:pPr>
              <w:ind w:left="440"/>
              <w:spacing w:after="0"/>
              <w:rPr>
                <w:sz w:val="20"/>
                <w:szCs w:val="20"/>
                <w:color w:val="auto"/>
              </w:rPr>
            </w:pPr>
            <w:r>
              <w:rPr>
                <w:rFonts w:ascii="Calibri" w:cs="Calibri" w:eastAsia="Calibri" w:hAnsi="Calibri"/>
                <w:sz w:val="13"/>
                <w:szCs w:val="13"/>
                <w:b w:val="1"/>
                <w:bCs w:val="1"/>
                <w:color w:val="FFFFFF"/>
              </w:rPr>
              <w:t>YoY</w:t>
            </w:r>
          </w:p>
        </w:tc>
        <w:tc>
          <w:tcPr>
            <w:tcW w:w="116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6"/>
              </w:rPr>
              <w:t>LC</w:t>
            </w:r>
          </w:p>
        </w:tc>
        <w:tc>
          <w:tcPr>
            <w:tcW w:w="108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FC</w:t>
            </w:r>
          </w:p>
        </w:tc>
      </w:tr>
      <w:tr>
        <w:trPr>
          <w:trHeight w:val="149"/>
        </w:trPr>
        <w:tc>
          <w:tcPr>
            <w:tcW w:w="3060" w:type="dxa"/>
            <w:vAlign w:val="bottom"/>
            <w:tcBorders>
              <w:top w:val="single" w:sz="8" w:color="auto"/>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Demand deposits</w:t>
            </w:r>
          </w:p>
        </w:tc>
        <w:tc>
          <w:tcPr>
            <w:tcW w:w="1200" w:type="dxa"/>
            <w:vAlign w:val="bottom"/>
            <w:tcBorders>
              <w:top w:val="single" w:sz="8" w:color="auto"/>
            </w:tcBorders>
          </w:tcPr>
          <w:p>
            <w:pPr>
              <w:jc w:val="center"/>
              <w:spacing w:after="0" w:line="149" w:lineRule="exact"/>
              <w:rPr>
                <w:sz w:val="20"/>
                <w:szCs w:val="20"/>
                <w:color w:val="auto"/>
              </w:rPr>
            </w:pPr>
            <w:r>
              <w:rPr>
                <w:rFonts w:ascii="Calibri" w:cs="Calibri" w:eastAsia="Calibri" w:hAnsi="Calibri"/>
                <w:sz w:val="13"/>
                <w:szCs w:val="13"/>
                <w:color w:val="auto"/>
              </w:rPr>
              <w:t>50,657,031</w:t>
            </w:r>
          </w:p>
        </w:tc>
        <w:tc>
          <w:tcPr>
            <w:tcW w:w="1200" w:type="dxa"/>
            <w:vAlign w:val="bottom"/>
            <w:tcBorders>
              <w:top w:val="single" w:sz="8" w:color="auto"/>
            </w:tcBorders>
          </w:tcPr>
          <w:p>
            <w:pPr>
              <w:jc w:val="center"/>
              <w:spacing w:after="0" w:line="149" w:lineRule="exact"/>
              <w:rPr>
                <w:sz w:val="20"/>
                <w:szCs w:val="20"/>
                <w:color w:val="auto"/>
              </w:rPr>
            </w:pPr>
            <w:r>
              <w:rPr>
                <w:rFonts w:ascii="Calibri" w:cs="Calibri" w:eastAsia="Calibri" w:hAnsi="Calibri"/>
                <w:sz w:val="13"/>
                <w:szCs w:val="13"/>
                <w:color w:val="auto"/>
              </w:rPr>
              <w:t>53,992,480</w:t>
            </w:r>
          </w:p>
        </w:tc>
        <w:tc>
          <w:tcPr>
            <w:tcW w:w="1240" w:type="dxa"/>
            <w:vAlign w:val="bottom"/>
            <w:tcBorders>
              <w:top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49,237,039</w:t>
            </w:r>
          </w:p>
        </w:tc>
        <w:tc>
          <w:tcPr>
            <w:tcW w:w="1180" w:type="dxa"/>
            <w:vAlign w:val="bottom"/>
            <w:tcBorders>
              <w:top w:val="single" w:sz="8" w:color="auto"/>
            </w:tcBorders>
          </w:tcPr>
          <w:p>
            <w:pPr>
              <w:jc w:val="center"/>
              <w:spacing w:after="0" w:line="149" w:lineRule="exact"/>
              <w:rPr>
                <w:sz w:val="20"/>
                <w:szCs w:val="20"/>
                <w:color w:val="auto"/>
              </w:rPr>
            </w:pPr>
            <w:r>
              <w:rPr>
                <w:rFonts w:ascii="Calibri" w:cs="Calibri" w:eastAsia="Calibri" w:hAnsi="Calibri"/>
                <w:sz w:val="13"/>
                <w:szCs w:val="13"/>
                <w:color w:val="auto"/>
              </w:rPr>
              <w:t>-8.8%</w:t>
            </w:r>
          </w:p>
        </w:tc>
        <w:tc>
          <w:tcPr>
            <w:tcW w:w="1140" w:type="dxa"/>
            <w:vAlign w:val="bottom"/>
            <w:tcBorders>
              <w:top w:val="single" w:sz="8" w:color="auto"/>
              <w:right w:val="single" w:sz="8" w:color="auto"/>
            </w:tcBorders>
          </w:tcPr>
          <w:p>
            <w:pPr>
              <w:jc w:val="center"/>
              <w:ind w:right="15"/>
              <w:spacing w:after="0" w:line="149" w:lineRule="exact"/>
              <w:rPr>
                <w:sz w:val="20"/>
                <w:szCs w:val="20"/>
                <w:color w:val="auto"/>
              </w:rPr>
            </w:pPr>
            <w:r>
              <w:rPr>
                <w:rFonts w:ascii="Calibri" w:cs="Calibri" w:eastAsia="Calibri" w:hAnsi="Calibri"/>
                <w:sz w:val="13"/>
                <w:szCs w:val="13"/>
                <w:color w:val="auto"/>
              </w:rPr>
              <w:t>-2.8%</w:t>
            </w:r>
          </w:p>
        </w:tc>
        <w:tc>
          <w:tcPr>
            <w:tcW w:w="1160" w:type="dxa"/>
            <w:vAlign w:val="bottom"/>
            <w:tcBorders>
              <w:top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47.2%</w:t>
            </w:r>
          </w:p>
        </w:tc>
        <w:tc>
          <w:tcPr>
            <w:tcW w:w="1080" w:type="dxa"/>
            <w:vAlign w:val="bottom"/>
            <w:tcBorders>
              <w:top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rPr>
              <w:t>52.8%</w:t>
            </w:r>
          </w:p>
        </w:tc>
      </w:tr>
      <w:tr>
        <w:trPr>
          <w:trHeight w:val="163"/>
        </w:trPr>
        <w:tc>
          <w:tcPr>
            <w:tcW w:w="30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Saving deposits</w:t>
            </w:r>
          </w:p>
        </w:tc>
        <w:tc>
          <w:tcPr>
            <w:tcW w:w="1200" w:type="dxa"/>
            <w:vAlign w:val="bottom"/>
          </w:tcPr>
          <w:p>
            <w:pPr>
              <w:jc w:val="center"/>
              <w:spacing w:after="0"/>
              <w:rPr>
                <w:sz w:val="20"/>
                <w:szCs w:val="20"/>
                <w:color w:val="auto"/>
              </w:rPr>
            </w:pPr>
            <w:r>
              <w:rPr>
                <w:rFonts w:ascii="Calibri" w:cs="Calibri" w:eastAsia="Calibri" w:hAnsi="Calibri"/>
                <w:sz w:val="13"/>
                <w:szCs w:val="13"/>
                <w:color w:val="auto"/>
              </w:rPr>
              <w:t>53,015,745</w:t>
            </w:r>
          </w:p>
        </w:tc>
        <w:tc>
          <w:tcPr>
            <w:tcW w:w="1200" w:type="dxa"/>
            <w:vAlign w:val="bottom"/>
          </w:tcPr>
          <w:p>
            <w:pPr>
              <w:jc w:val="center"/>
              <w:spacing w:after="0"/>
              <w:rPr>
                <w:sz w:val="20"/>
                <w:szCs w:val="20"/>
                <w:color w:val="auto"/>
              </w:rPr>
            </w:pPr>
            <w:r>
              <w:rPr>
                <w:rFonts w:ascii="Calibri" w:cs="Calibri" w:eastAsia="Calibri" w:hAnsi="Calibri"/>
                <w:sz w:val="13"/>
                <w:szCs w:val="13"/>
                <w:color w:val="auto"/>
              </w:rPr>
              <w:t>59,969,559</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7"/>
              </w:rPr>
              <w:t>59,086,275</w:t>
            </w:r>
          </w:p>
        </w:tc>
        <w:tc>
          <w:tcPr>
            <w:tcW w:w="1180" w:type="dxa"/>
            <w:vAlign w:val="bottom"/>
          </w:tcPr>
          <w:p>
            <w:pPr>
              <w:jc w:val="center"/>
              <w:spacing w:after="0"/>
              <w:rPr>
                <w:sz w:val="20"/>
                <w:szCs w:val="20"/>
                <w:color w:val="auto"/>
              </w:rPr>
            </w:pPr>
            <w:r>
              <w:rPr>
                <w:rFonts w:ascii="Calibri" w:cs="Calibri" w:eastAsia="Calibri" w:hAnsi="Calibri"/>
                <w:sz w:val="13"/>
                <w:szCs w:val="13"/>
                <w:color w:val="auto"/>
              </w:rPr>
              <w:t>-1.5%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11.5%</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8"/>
              </w:rPr>
              <w:t>61.3%</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38.7%</w:t>
            </w:r>
          </w:p>
        </w:tc>
      </w:tr>
      <w:tr>
        <w:trPr>
          <w:trHeight w:val="169"/>
        </w:trPr>
        <w:tc>
          <w:tcPr>
            <w:tcW w:w="30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Time deposits</w:t>
            </w:r>
          </w:p>
        </w:tc>
        <w:tc>
          <w:tcPr>
            <w:tcW w:w="1200" w:type="dxa"/>
            <w:vAlign w:val="bottom"/>
          </w:tcPr>
          <w:p>
            <w:pPr>
              <w:jc w:val="center"/>
              <w:spacing w:after="0"/>
              <w:rPr>
                <w:sz w:val="20"/>
                <w:szCs w:val="20"/>
                <w:color w:val="auto"/>
              </w:rPr>
            </w:pPr>
            <w:r>
              <w:rPr>
                <w:rFonts w:ascii="Calibri" w:cs="Calibri" w:eastAsia="Calibri" w:hAnsi="Calibri"/>
                <w:sz w:val="13"/>
                <w:szCs w:val="13"/>
                <w:color w:val="auto"/>
              </w:rPr>
              <w:t>43,504,883</w:t>
            </w:r>
          </w:p>
        </w:tc>
        <w:tc>
          <w:tcPr>
            <w:tcW w:w="1200" w:type="dxa"/>
            <w:vAlign w:val="bottom"/>
          </w:tcPr>
          <w:p>
            <w:pPr>
              <w:jc w:val="center"/>
              <w:spacing w:after="0"/>
              <w:rPr>
                <w:sz w:val="20"/>
                <w:szCs w:val="20"/>
                <w:color w:val="auto"/>
              </w:rPr>
            </w:pPr>
            <w:r>
              <w:rPr>
                <w:rFonts w:ascii="Calibri" w:cs="Calibri" w:eastAsia="Calibri" w:hAnsi="Calibri"/>
                <w:sz w:val="13"/>
                <w:szCs w:val="13"/>
                <w:color w:val="auto"/>
              </w:rPr>
              <w:t>39,779,546</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7"/>
              </w:rPr>
              <w:t>42,361,180</w:t>
            </w:r>
          </w:p>
        </w:tc>
        <w:tc>
          <w:tcPr>
            <w:tcW w:w="1180" w:type="dxa"/>
            <w:vAlign w:val="bottom"/>
          </w:tcPr>
          <w:p>
            <w:pPr>
              <w:jc w:val="center"/>
              <w:spacing w:after="0"/>
              <w:rPr>
                <w:sz w:val="20"/>
                <w:szCs w:val="20"/>
                <w:color w:val="auto"/>
              </w:rPr>
            </w:pPr>
            <w:r>
              <w:rPr>
                <w:rFonts w:ascii="Calibri" w:cs="Calibri" w:eastAsia="Calibri" w:hAnsi="Calibri"/>
                <w:sz w:val="13"/>
                <w:szCs w:val="13"/>
                <w:color w:val="auto"/>
              </w:rPr>
              <w:t>6.5%</w:t>
            </w:r>
          </w:p>
        </w:tc>
        <w:tc>
          <w:tcPr>
            <w:tcW w:w="1140" w:type="dxa"/>
            <w:vAlign w:val="bottom"/>
            <w:tcBorders>
              <w:right w:val="single" w:sz="8" w:color="auto"/>
            </w:tcBorders>
          </w:tcPr>
          <w:p>
            <w:pPr>
              <w:jc w:val="center"/>
              <w:ind w:right="15"/>
              <w:spacing w:after="0"/>
              <w:rPr>
                <w:sz w:val="20"/>
                <w:szCs w:val="20"/>
                <w:color w:val="auto"/>
              </w:rPr>
            </w:pPr>
            <w:r>
              <w:rPr>
                <w:rFonts w:ascii="Calibri" w:cs="Calibri" w:eastAsia="Calibri" w:hAnsi="Calibri"/>
                <w:sz w:val="13"/>
                <w:szCs w:val="13"/>
                <w:color w:val="auto"/>
              </w:rPr>
              <w:t>-2.6%</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8"/>
              </w:rPr>
              <w:t>53.3%</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46.7%</w:t>
            </w:r>
          </w:p>
        </w:tc>
      </w:tr>
      <w:tr>
        <w:trPr>
          <w:trHeight w:val="169"/>
        </w:trPr>
        <w:tc>
          <w:tcPr>
            <w:tcW w:w="30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Severance indemnity deposits</w:t>
            </w:r>
          </w:p>
        </w:tc>
        <w:tc>
          <w:tcPr>
            <w:tcW w:w="1200" w:type="dxa"/>
            <w:vAlign w:val="bottom"/>
          </w:tcPr>
          <w:p>
            <w:pPr>
              <w:jc w:val="center"/>
              <w:spacing w:after="0"/>
              <w:rPr>
                <w:sz w:val="20"/>
                <w:szCs w:val="20"/>
                <w:color w:val="auto"/>
              </w:rPr>
            </w:pPr>
            <w:r>
              <w:rPr>
                <w:rFonts w:ascii="Calibri" w:cs="Calibri" w:eastAsia="Calibri" w:hAnsi="Calibri"/>
                <w:sz w:val="13"/>
                <w:szCs w:val="13"/>
                <w:color w:val="auto"/>
                <w:w w:val="98"/>
              </w:rPr>
              <w:t>3,358,408</w:t>
            </w:r>
          </w:p>
        </w:tc>
        <w:tc>
          <w:tcPr>
            <w:tcW w:w="1200" w:type="dxa"/>
            <w:vAlign w:val="bottom"/>
          </w:tcPr>
          <w:p>
            <w:pPr>
              <w:jc w:val="center"/>
              <w:spacing w:after="0"/>
              <w:rPr>
                <w:sz w:val="20"/>
                <w:szCs w:val="20"/>
                <w:color w:val="auto"/>
              </w:rPr>
            </w:pPr>
            <w:r>
              <w:rPr>
                <w:rFonts w:ascii="Calibri" w:cs="Calibri" w:eastAsia="Calibri" w:hAnsi="Calibri"/>
                <w:sz w:val="13"/>
                <w:szCs w:val="13"/>
                <w:color w:val="auto"/>
                <w:w w:val="98"/>
              </w:rPr>
              <w:t>2,921,196</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3,268,583</w:t>
            </w:r>
          </w:p>
        </w:tc>
        <w:tc>
          <w:tcPr>
            <w:tcW w:w="1180" w:type="dxa"/>
            <w:vAlign w:val="bottom"/>
          </w:tcPr>
          <w:p>
            <w:pPr>
              <w:jc w:val="center"/>
              <w:spacing w:after="0"/>
              <w:rPr>
                <w:sz w:val="20"/>
                <w:szCs w:val="20"/>
                <w:color w:val="auto"/>
              </w:rPr>
            </w:pPr>
            <w:r>
              <w:rPr>
                <w:rFonts w:ascii="Calibri" w:cs="Calibri" w:eastAsia="Calibri" w:hAnsi="Calibri"/>
                <w:sz w:val="13"/>
                <w:szCs w:val="13"/>
                <w:color w:val="auto"/>
                <w:w w:val="98"/>
              </w:rPr>
              <w:t>11.9%</w:t>
            </w:r>
          </w:p>
        </w:tc>
        <w:tc>
          <w:tcPr>
            <w:tcW w:w="1140" w:type="dxa"/>
            <w:vAlign w:val="bottom"/>
            <w:tcBorders>
              <w:right w:val="single" w:sz="8" w:color="auto"/>
            </w:tcBorders>
          </w:tcPr>
          <w:p>
            <w:pPr>
              <w:jc w:val="center"/>
              <w:ind w:right="15"/>
              <w:spacing w:after="0"/>
              <w:rPr>
                <w:sz w:val="20"/>
                <w:szCs w:val="20"/>
                <w:color w:val="auto"/>
              </w:rPr>
            </w:pPr>
            <w:r>
              <w:rPr>
                <w:rFonts w:ascii="Calibri" w:cs="Calibri" w:eastAsia="Calibri" w:hAnsi="Calibri"/>
                <w:sz w:val="13"/>
                <w:szCs w:val="13"/>
                <w:color w:val="auto"/>
              </w:rPr>
              <w:t>-2.7%</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8"/>
              </w:rPr>
              <w:t>77.0%</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23.0%</w:t>
            </w:r>
          </w:p>
        </w:tc>
      </w:tr>
      <w:tr>
        <w:trPr>
          <w:trHeight w:val="169"/>
        </w:trPr>
        <w:tc>
          <w:tcPr>
            <w:tcW w:w="30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Interest payable</w:t>
            </w:r>
          </w:p>
        </w:tc>
        <w:tc>
          <w:tcPr>
            <w:tcW w:w="1200" w:type="dxa"/>
            <w:vAlign w:val="bottom"/>
          </w:tcPr>
          <w:p>
            <w:pPr>
              <w:jc w:val="center"/>
              <w:spacing w:after="0"/>
              <w:rPr>
                <w:sz w:val="20"/>
                <w:szCs w:val="20"/>
                <w:color w:val="auto"/>
              </w:rPr>
            </w:pPr>
            <w:r>
              <w:rPr>
                <w:rFonts w:ascii="Calibri" w:cs="Calibri" w:eastAsia="Calibri" w:hAnsi="Calibri"/>
                <w:sz w:val="13"/>
                <w:szCs w:val="13"/>
                <w:color w:val="auto"/>
                <w:w w:val="98"/>
              </w:rPr>
              <w:t>1,435,917</w:t>
            </w:r>
          </w:p>
        </w:tc>
        <w:tc>
          <w:tcPr>
            <w:tcW w:w="1200" w:type="dxa"/>
            <w:vAlign w:val="bottom"/>
          </w:tcPr>
          <w:p>
            <w:pPr>
              <w:jc w:val="center"/>
              <w:spacing w:after="0"/>
              <w:rPr>
                <w:sz w:val="20"/>
                <w:szCs w:val="20"/>
                <w:color w:val="auto"/>
              </w:rPr>
            </w:pPr>
            <w:r>
              <w:rPr>
                <w:rFonts w:ascii="Calibri" w:cs="Calibri" w:eastAsia="Calibri" w:hAnsi="Calibri"/>
                <w:sz w:val="13"/>
                <w:szCs w:val="13"/>
                <w:color w:val="auto"/>
              </w:rPr>
              <w:t>956,301</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770,257</w:t>
            </w:r>
          </w:p>
        </w:tc>
        <w:tc>
          <w:tcPr>
            <w:tcW w:w="1180" w:type="dxa"/>
            <w:vAlign w:val="bottom"/>
          </w:tcPr>
          <w:p>
            <w:pPr>
              <w:jc w:val="center"/>
              <w:spacing w:after="0"/>
              <w:rPr>
                <w:sz w:val="20"/>
                <w:szCs w:val="20"/>
                <w:color w:val="auto"/>
              </w:rPr>
            </w:pPr>
            <w:r>
              <w:rPr>
                <w:rFonts w:ascii="Calibri" w:cs="Calibri" w:eastAsia="Calibri" w:hAnsi="Calibri"/>
                <w:sz w:val="13"/>
                <w:szCs w:val="13"/>
                <w:color w:val="auto"/>
                <w:w w:val="98"/>
              </w:rPr>
              <w:t>-19.5%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-46.4%</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8"/>
              </w:rPr>
              <w:t>36.2%</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63.8%</w:t>
            </w:r>
          </w:p>
        </w:tc>
      </w:tr>
      <w:tr>
        <w:trPr>
          <w:trHeight w:val="20"/>
        </w:trPr>
        <w:tc>
          <w:tcPr>
            <w:tcW w:w="3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162"/>
        </w:trPr>
        <w:tc>
          <w:tcPr>
            <w:tcW w:w="306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1"/>
                <w:szCs w:val="11"/>
                <w:b w:val="1"/>
                <w:bCs w:val="1"/>
                <w:color w:val="auto"/>
              </w:rPr>
              <w:t xml:space="preserve">Low-cost deposits </w:t>
            </w:r>
            <w:r>
              <w:rPr>
                <w:rFonts w:ascii="Calibri" w:cs="Calibri" w:eastAsia="Calibri" w:hAnsi="Calibri"/>
                <w:sz w:val="17"/>
                <w:szCs w:val="17"/>
                <w:b w:val="1"/>
                <w:bCs w:val="1"/>
                <w:color w:val="auto"/>
                <w:vertAlign w:val="superscript"/>
              </w:rPr>
              <w:t>(1)</w:t>
            </w:r>
          </w:p>
        </w:tc>
        <w:tc>
          <w:tcPr>
            <w:tcW w:w="1200" w:type="dxa"/>
            <w:vAlign w:val="bottom"/>
            <w:tcBorders>
              <w:bottom w:val="single" w:sz="8" w:color="auto"/>
            </w:tcBorders>
          </w:tcPr>
          <w:p>
            <w:pPr>
              <w:jc w:val="center"/>
              <w:spacing w:after="0" w:line="156" w:lineRule="exact"/>
              <w:rPr>
                <w:sz w:val="20"/>
                <w:szCs w:val="20"/>
                <w:color w:val="auto"/>
              </w:rPr>
            </w:pPr>
            <w:r>
              <w:rPr>
                <w:rFonts w:ascii="Calibri" w:cs="Calibri" w:eastAsia="Calibri" w:hAnsi="Calibri"/>
                <w:sz w:val="13"/>
                <w:szCs w:val="13"/>
                <w:b w:val="1"/>
                <w:bCs w:val="1"/>
                <w:color w:val="auto"/>
              </w:rPr>
              <w:t>103,672,776</w:t>
            </w:r>
          </w:p>
        </w:tc>
        <w:tc>
          <w:tcPr>
            <w:tcW w:w="1200" w:type="dxa"/>
            <w:vAlign w:val="bottom"/>
            <w:tcBorders>
              <w:bottom w:val="single" w:sz="8" w:color="auto"/>
            </w:tcBorders>
          </w:tcPr>
          <w:p>
            <w:pPr>
              <w:jc w:val="center"/>
              <w:spacing w:after="0" w:line="156" w:lineRule="exact"/>
              <w:rPr>
                <w:sz w:val="20"/>
                <w:szCs w:val="20"/>
                <w:color w:val="auto"/>
              </w:rPr>
            </w:pPr>
            <w:r>
              <w:rPr>
                <w:rFonts w:ascii="Calibri" w:cs="Calibri" w:eastAsia="Calibri" w:hAnsi="Calibri"/>
                <w:sz w:val="13"/>
                <w:szCs w:val="13"/>
                <w:b w:val="1"/>
                <w:bCs w:val="1"/>
                <w:color w:val="auto"/>
                <w:w w:val="99"/>
              </w:rPr>
              <w:t>113,962,039</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Calibri" w:cs="Calibri" w:eastAsia="Calibri" w:hAnsi="Calibri"/>
                <w:sz w:val="13"/>
                <w:szCs w:val="13"/>
                <w:b w:val="1"/>
                <w:bCs w:val="1"/>
                <w:color w:val="auto"/>
                <w:w w:val="99"/>
              </w:rPr>
              <w:t>108,323,314</w:t>
            </w:r>
          </w:p>
        </w:tc>
        <w:tc>
          <w:tcPr>
            <w:tcW w:w="1180" w:type="dxa"/>
            <w:vAlign w:val="bottom"/>
            <w:tcBorders>
              <w:bottom w:val="single" w:sz="8" w:color="auto"/>
            </w:tcBorders>
          </w:tcPr>
          <w:p>
            <w:pPr>
              <w:jc w:val="center"/>
              <w:spacing w:after="0" w:line="156" w:lineRule="exact"/>
              <w:rPr>
                <w:sz w:val="20"/>
                <w:szCs w:val="20"/>
                <w:color w:val="auto"/>
              </w:rPr>
            </w:pPr>
            <w:r>
              <w:rPr>
                <w:rFonts w:ascii="Calibri" w:cs="Calibri" w:eastAsia="Calibri" w:hAnsi="Calibri"/>
                <w:sz w:val="13"/>
                <w:szCs w:val="13"/>
                <w:b w:val="1"/>
                <w:bCs w:val="1"/>
                <w:color w:val="auto"/>
                <w:w w:val="99"/>
              </w:rPr>
              <w:t>-4.9%</w:t>
            </w:r>
          </w:p>
        </w:tc>
        <w:tc>
          <w:tcPr>
            <w:tcW w:w="1140" w:type="dxa"/>
            <w:vAlign w:val="bottom"/>
            <w:tcBorders>
              <w:bottom w:val="single" w:sz="8" w:color="auto"/>
              <w:right w:val="single" w:sz="8" w:color="auto"/>
            </w:tcBorders>
          </w:tcPr>
          <w:p>
            <w:pPr>
              <w:jc w:val="center"/>
              <w:ind w:right="15"/>
              <w:spacing w:after="0" w:line="156" w:lineRule="exact"/>
              <w:rPr>
                <w:sz w:val="20"/>
                <w:szCs w:val="20"/>
                <w:color w:val="auto"/>
              </w:rPr>
            </w:pPr>
            <w:r>
              <w:rPr>
                <w:rFonts w:ascii="Calibri" w:cs="Calibri" w:eastAsia="Calibri" w:hAnsi="Calibri"/>
                <w:sz w:val="13"/>
                <w:szCs w:val="13"/>
                <w:b w:val="1"/>
                <w:bCs w:val="1"/>
                <w:color w:val="auto"/>
                <w:w w:val="99"/>
              </w:rPr>
              <w:t>4.5%</w:t>
            </w:r>
          </w:p>
        </w:tc>
        <w:tc>
          <w:tcPr>
            <w:tcW w:w="1160" w:type="dxa"/>
            <w:vAlign w:val="bottom"/>
            <w:tcBorders>
              <w:bottom w:val="single" w:sz="8" w:color="auto"/>
            </w:tcBorders>
          </w:tcPr>
          <w:p>
            <w:pPr>
              <w:jc w:val="center"/>
              <w:spacing w:after="0" w:line="156" w:lineRule="exact"/>
              <w:rPr>
                <w:sz w:val="20"/>
                <w:szCs w:val="20"/>
                <w:color w:val="auto"/>
              </w:rPr>
            </w:pPr>
            <w:r>
              <w:rPr>
                <w:rFonts w:ascii="Calibri" w:cs="Calibri" w:eastAsia="Calibri" w:hAnsi="Calibri"/>
                <w:sz w:val="13"/>
                <w:szCs w:val="13"/>
                <w:b w:val="1"/>
                <w:bCs w:val="1"/>
                <w:color w:val="auto"/>
                <w:w w:val="97"/>
              </w:rPr>
              <w:t>54.9%</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Calibri" w:cs="Calibri" w:eastAsia="Calibri" w:hAnsi="Calibri"/>
                <w:sz w:val="13"/>
                <w:szCs w:val="13"/>
                <w:b w:val="1"/>
                <w:bCs w:val="1"/>
                <w:color w:val="auto"/>
              </w:rPr>
              <w:t>45.1%</w:t>
            </w:r>
          </w:p>
        </w:tc>
      </w:tr>
      <w:tr>
        <w:trPr>
          <w:trHeight w:val="155"/>
        </w:trPr>
        <w:tc>
          <w:tcPr>
            <w:tcW w:w="306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Calibri" w:cs="Calibri" w:eastAsia="Calibri" w:hAnsi="Calibri"/>
                <w:sz w:val="13"/>
                <w:szCs w:val="13"/>
                <w:b w:val="1"/>
                <w:bCs w:val="1"/>
                <w:color w:val="auto"/>
              </w:rPr>
              <w:t>Total Deposits</w:t>
            </w:r>
          </w:p>
        </w:tc>
        <w:tc>
          <w:tcPr>
            <w:tcW w:w="1200" w:type="dxa"/>
            <w:vAlign w:val="bottom"/>
            <w:tcBorders>
              <w:bottom w:val="single" w:sz="8" w:color="auto"/>
            </w:tcBorders>
          </w:tcPr>
          <w:p>
            <w:pPr>
              <w:jc w:val="center"/>
              <w:spacing w:after="0" w:line="155" w:lineRule="exact"/>
              <w:rPr>
                <w:sz w:val="20"/>
                <w:szCs w:val="20"/>
                <w:color w:val="auto"/>
              </w:rPr>
            </w:pPr>
            <w:r>
              <w:rPr>
                <w:rFonts w:ascii="Calibri" w:cs="Calibri" w:eastAsia="Calibri" w:hAnsi="Calibri"/>
                <w:sz w:val="13"/>
                <w:szCs w:val="13"/>
                <w:b w:val="1"/>
                <w:bCs w:val="1"/>
                <w:color w:val="auto"/>
              </w:rPr>
              <w:t>151,971,984</w:t>
            </w:r>
          </w:p>
        </w:tc>
        <w:tc>
          <w:tcPr>
            <w:tcW w:w="1200" w:type="dxa"/>
            <w:vAlign w:val="bottom"/>
            <w:tcBorders>
              <w:bottom w:val="single" w:sz="8" w:color="auto"/>
            </w:tcBorders>
          </w:tcPr>
          <w:p>
            <w:pPr>
              <w:jc w:val="center"/>
              <w:spacing w:after="0" w:line="155" w:lineRule="exact"/>
              <w:rPr>
                <w:sz w:val="20"/>
                <w:szCs w:val="20"/>
                <w:color w:val="auto"/>
              </w:rPr>
            </w:pPr>
            <w:r>
              <w:rPr>
                <w:rFonts w:ascii="Calibri" w:cs="Calibri" w:eastAsia="Calibri" w:hAnsi="Calibri"/>
                <w:sz w:val="13"/>
                <w:szCs w:val="13"/>
                <w:b w:val="1"/>
                <w:bCs w:val="1"/>
                <w:color w:val="auto"/>
                <w:w w:val="99"/>
              </w:rPr>
              <w:t>157,619,082</w:t>
            </w:r>
          </w:p>
        </w:tc>
        <w:tc>
          <w:tcPr>
            <w:tcW w:w="1240" w:type="dxa"/>
            <w:vAlign w:val="bottom"/>
            <w:tcBorders>
              <w:bottom w:val="single" w:sz="8" w:color="auto"/>
              <w:right w:val="single" w:sz="8" w:color="auto"/>
            </w:tcBorders>
          </w:tcPr>
          <w:p>
            <w:pPr>
              <w:jc w:val="center"/>
              <w:spacing w:after="0" w:line="155" w:lineRule="exact"/>
              <w:rPr>
                <w:sz w:val="20"/>
                <w:szCs w:val="20"/>
                <w:color w:val="auto"/>
              </w:rPr>
            </w:pPr>
            <w:r>
              <w:rPr>
                <w:rFonts w:ascii="Calibri" w:cs="Calibri" w:eastAsia="Calibri" w:hAnsi="Calibri"/>
                <w:sz w:val="13"/>
                <w:szCs w:val="13"/>
                <w:b w:val="1"/>
                <w:bCs w:val="1"/>
                <w:color w:val="auto"/>
                <w:w w:val="99"/>
              </w:rPr>
              <w:t>154,723,334</w:t>
            </w:r>
          </w:p>
        </w:tc>
        <w:tc>
          <w:tcPr>
            <w:tcW w:w="1180" w:type="dxa"/>
            <w:vAlign w:val="bottom"/>
            <w:tcBorders>
              <w:bottom w:val="single" w:sz="8" w:color="auto"/>
            </w:tcBorders>
          </w:tcPr>
          <w:p>
            <w:pPr>
              <w:jc w:val="center"/>
              <w:spacing w:after="0" w:line="155" w:lineRule="exact"/>
              <w:rPr>
                <w:sz w:val="20"/>
                <w:szCs w:val="20"/>
                <w:color w:val="auto"/>
              </w:rPr>
            </w:pPr>
            <w:r>
              <w:rPr>
                <w:rFonts w:ascii="Calibri" w:cs="Calibri" w:eastAsia="Calibri" w:hAnsi="Calibri"/>
                <w:sz w:val="13"/>
                <w:szCs w:val="13"/>
                <w:b w:val="1"/>
                <w:bCs w:val="1"/>
                <w:color w:val="auto"/>
                <w:w w:val="99"/>
              </w:rPr>
              <w:t>-1.8%</w:t>
            </w:r>
          </w:p>
        </w:tc>
        <w:tc>
          <w:tcPr>
            <w:tcW w:w="1140" w:type="dxa"/>
            <w:vAlign w:val="bottom"/>
            <w:tcBorders>
              <w:bottom w:val="single" w:sz="8" w:color="auto"/>
              <w:right w:val="single" w:sz="8" w:color="auto"/>
            </w:tcBorders>
          </w:tcPr>
          <w:p>
            <w:pPr>
              <w:jc w:val="center"/>
              <w:ind w:right="15"/>
              <w:spacing w:after="0" w:line="155" w:lineRule="exact"/>
              <w:rPr>
                <w:sz w:val="20"/>
                <w:szCs w:val="20"/>
                <w:color w:val="auto"/>
              </w:rPr>
            </w:pPr>
            <w:r>
              <w:rPr>
                <w:rFonts w:ascii="Calibri" w:cs="Calibri" w:eastAsia="Calibri" w:hAnsi="Calibri"/>
                <w:sz w:val="13"/>
                <w:szCs w:val="13"/>
                <w:b w:val="1"/>
                <w:bCs w:val="1"/>
                <w:color w:val="auto"/>
                <w:w w:val="99"/>
              </w:rPr>
              <w:t>1.8%</w:t>
            </w:r>
          </w:p>
        </w:tc>
        <w:tc>
          <w:tcPr>
            <w:tcW w:w="1160" w:type="dxa"/>
            <w:vAlign w:val="bottom"/>
            <w:tcBorders>
              <w:bottom w:val="single" w:sz="8" w:color="auto"/>
            </w:tcBorders>
          </w:tcPr>
          <w:p>
            <w:pPr>
              <w:jc w:val="center"/>
              <w:spacing w:after="0" w:line="155" w:lineRule="exact"/>
              <w:rPr>
                <w:sz w:val="20"/>
                <w:szCs w:val="20"/>
                <w:color w:val="auto"/>
              </w:rPr>
            </w:pPr>
            <w:r>
              <w:rPr>
                <w:rFonts w:ascii="Calibri" w:cs="Calibri" w:eastAsia="Calibri" w:hAnsi="Calibri"/>
                <w:sz w:val="13"/>
                <w:szCs w:val="13"/>
                <w:b w:val="1"/>
                <w:bCs w:val="1"/>
                <w:color w:val="auto"/>
                <w:w w:val="97"/>
              </w:rPr>
              <w:t>54.8%</w:t>
            </w:r>
          </w:p>
        </w:tc>
        <w:tc>
          <w:tcPr>
            <w:tcW w:w="1080" w:type="dxa"/>
            <w:vAlign w:val="bottom"/>
            <w:tcBorders>
              <w:bottom w:val="single" w:sz="8" w:color="auto"/>
              <w:right w:val="single" w:sz="8" w:color="auto"/>
            </w:tcBorders>
          </w:tcPr>
          <w:p>
            <w:pPr>
              <w:jc w:val="center"/>
              <w:spacing w:after="0" w:line="155" w:lineRule="exact"/>
              <w:rPr>
                <w:sz w:val="20"/>
                <w:szCs w:val="20"/>
                <w:color w:val="auto"/>
              </w:rPr>
            </w:pPr>
            <w:r>
              <w:rPr>
                <w:rFonts w:ascii="Calibri" w:cs="Calibri" w:eastAsia="Calibri" w:hAnsi="Calibri"/>
                <w:sz w:val="13"/>
                <w:szCs w:val="13"/>
                <w:b w:val="1"/>
                <w:bCs w:val="1"/>
                <w:color w:val="auto"/>
              </w:rPr>
              <w:t>45.2%</w:t>
            </w:r>
          </w:p>
        </w:tc>
      </w:tr>
    </w:tbl>
    <w:p>
      <w:pPr>
        <w:spacing w:after="0" w:line="11" w:lineRule="exact"/>
        <w:rPr>
          <w:sz w:val="20"/>
          <w:szCs w:val="20"/>
          <w:color w:val="auto"/>
        </w:rPr>
      </w:pPr>
    </w:p>
    <w:p>
      <w:pPr>
        <w:spacing w:after="0"/>
        <w:rPr>
          <w:sz w:val="20"/>
          <w:szCs w:val="20"/>
          <w:color w:val="auto"/>
        </w:rPr>
      </w:pPr>
      <w:r>
        <w:rPr>
          <w:rFonts w:ascii="Calibri" w:cs="Calibri" w:eastAsia="Calibri" w:hAnsi="Calibri"/>
          <w:sz w:val="11"/>
          <w:szCs w:val="11"/>
          <w:color w:val="auto"/>
        </w:rPr>
        <w:t>(1) Includes Demand Deposits and Saving Deposits</w:t>
      </w:r>
    </w:p>
    <w:p>
      <w:pPr>
        <w:spacing w:after="0" w:line="250"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As was the case in the frst quarter, our 2Q25 fgures refect the impact of the aforementoned non-cash accountng adjustment. In March and June, Credicorp revalued BCP Bolivia’s Balance Sheet with exchange rates that beter refect the market exchange rate in that country. This led the book value of Credicorp’s total assets to decline 2.0% in March and 2.8% June.</w:t>
      </w:r>
    </w:p>
    <w:p>
      <w:pPr>
        <w:spacing w:after="0" w:line="211" w:lineRule="exact"/>
        <w:rPr>
          <w:sz w:val="20"/>
          <w:szCs w:val="20"/>
          <w:color w:val="auto"/>
        </w:rPr>
      </w:pPr>
    </w:p>
    <w:p>
      <w:pPr>
        <w:spacing w:after="0"/>
        <w:rPr>
          <w:sz w:val="20"/>
          <w:szCs w:val="20"/>
          <w:color w:val="auto"/>
        </w:rPr>
      </w:pPr>
      <w:r>
        <w:rPr>
          <w:rFonts w:ascii="Calibri" w:cs="Calibri" w:eastAsia="Calibri" w:hAnsi="Calibri"/>
          <w:sz w:val="17"/>
          <w:szCs w:val="17"/>
          <w:color w:val="auto"/>
        </w:rPr>
        <w:t>To analyze the evoluton of Deposits, we will isolate the impact of this accountng adjustment to focus on operatng trends.</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color w:val="auto"/>
        </w:rPr>
        <w:t>Total Deposits dropped 1.8% QoQ but rose 1.8% YoY. If we exclude the aformentoned accountng adjustment, the Deposit balance evolved as follows:</w:t>
      </w:r>
    </w:p>
    <w:p>
      <w:pPr>
        <w:spacing w:after="0" w:line="210"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 xml:space="preserve">At the end of 2Q25, the balance for total </w:t>
      </w:r>
      <w:r>
        <w:rPr>
          <w:rFonts w:ascii="Calibri" w:cs="Calibri" w:eastAsia="Calibri" w:hAnsi="Calibri"/>
          <w:sz w:val="17"/>
          <w:szCs w:val="17"/>
          <w:b w:val="1"/>
          <w:bCs w:val="1"/>
          <w:color w:val="auto"/>
        </w:rPr>
        <w:t>Low-cost Deposits</w:t>
      </w:r>
      <w:r>
        <w:rPr>
          <w:rFonts w:ascii="Calibri" w:cs="Calibri" w:eastAsia="Calibri" w:hAnsi="Calibri"/>
          <w:sz w:val="17"/>
          <w:szCs w:val="17"/>
          <w:color w:val="auto"/>
        </w:rPr>
        <w:t xml:space="preserve"> represents 69.2% of the balance for </w:t>
      </w:r>
      <w:r>
        <w:rPr>
          <w:rFonts w:ascii="Calibri" w:cs="Calibri" w:eastAsia="Calibri" w:hAnsi="Calibri"/>
          <w:sz w:val="17"/>
          <w:szCs w:val="17"/>
          <w:b w:val="1"/>
          <w:bCs w:val="1"/>
          <w:color w:val="auto"/>
        </w:rPr>
        <w:t>Total Deposits</w:t>
      </w:r>
      <w:r>
        <w:rPr>
          <w:rFonts w:ascii="Calibri" w:cs="Calibri" w:eastAsia="Calibri" w:hAnsi="Calibri"/>
          <w:sz w:val="17"/>
          <w:szCs w:val="17"/>
          <w:color w:val="auto"/>
        </w:rPr>
        <w:t xml:space="preserve"> (+101 bps YoY). This solid funding base refects the strength of our deposit model, which contnues to lead the market in this type of funding, with a market share of 40.3% as of the end of June. This leadership positon represents a key compettve advantage in an environment characterized by declining interest rates, as it allows us to maintain an efcient and resilient funding structure.</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QoQ, </w:t>
      </w:r>
      <w:r>
        <w:rPr>
          <w:rFonts w:ascii="Calibri" w:cs="Calibri" w:eastAsia="Calibri" w:hAnsi="Calibri"/>
          <w:sz w:val="17"/>
          <w:szCs w:val="17"/>
          <w:color w:val="auto"/>
        </w:rPr>
        <w:t>our</w:t>
      </w:r>
      <w:r>
        <w:rPr>
          <w:rFonts w:ascii="Calibri" w:cs="Calibri" w:eastAsia="Calibri" w:hAnsi="Calibri"/>
          <w:sz w:val="17"/>
          <w:szCs w:val="17"/>
          <w:b w:val="1"/>
          <w:bCs w:val="1"/>
          <w:color w:val="auto"/>
        </w:rPr>
        <w:t xml:space="preserve"> Total Deposit </w:t>
      </w:r>
      <w:r>
        <w:rPr>
          <w:rFonts w:ascii="Calibri" w:cs="Calibri" w:eastAsia="Calibri" w:hAnsi="Calibri"/>
          <w:sz w:val="17"/>
          <w:szCs w:val="17"/>
          <w:color w:val="auto"/>
        </w:rPr>
        <w:t>balance fell slightly by 0.5% (+1.0% neutral FX) due primarily to:</w:t>
      </w:r>
    </w:p>
    <w:p>
      <w:pPr>
        <w:spacing w:after="0" w:line="2" w:lineRule="exact"/>
        <w:rPr>
          <w:sz w:val="20"/>
          <w:szCs w:val="20"/>
          <w:color w:val="auto"/>
        </w:rPr>
      </w:pPr>
    </w:p>
    <w:p>
      <w:pPr>
        <w:jc w:val="both"/>
        <w:ind w:left="620" w:hanging="304"/>
        <w:spacing w:after="0" w:line="239" w:lineRule="auto"/>
        <w:tabs>
          <w:tab w:leader="none" w:pos="620" w:val="left"/>
        </w:tabs>
        <w:numPr>
          <w:ilvl w:val="0"/>
          <w:numId w:val="19"/>
        </w:numPr>
        <w:rPr>
          <w:rFonts w:ascii="Calibri" w:cs="Calibri" w:eastAsia="Calibri" w:hAnsi="Calibri"/>
          <w:sz w:val="17"/>
          <w:szCs w:val="17"/>
          <w:color w:val="auto"/>
          <w:strike w:val="1"/>
        </w:rPr>
      </w:pPr>
      <w:r>
        <w:rPr>
          <w:rFonts w:ascii="Calibri" w:cs="Calibri" w:eastAsia="Calibri" w:hAnsi="Calibri"/>
          <w:sz w:val="17"/>
          <w:szCs w:val="17"/>
          <w:color w:val="auto"/>
        </w:rPr>
        <w:t xml:space="preserve">A 7.7% reducton (-6.0% FX neutral) in the </w:t>
      </w:r>
      <w:r>
        <w:rPr>
          <w:rFonts w:ascii="Calibri" w:cs="Calibri" w:eastAsia="Calibri" w:hAnsi="Calibri"/>
          <w:sz w:val="17"/>
          <w:szCs w:val="17"/>
          <w:b w:val="1"/>
          <w:bCs w:val="1"/>
          <w:color w:val="auto"/>
        </w:rPr>
        <w:t>Demand Deposit</w:t>
      </w:r>
      <w:r>
        <w:rPr>
          <w:rFonts w:ascii="Calibri" w:cs="Calibri" w:eastAsia="Calibri" w:hAnsi="Calibri"/>
          <w:sz w:val="17"/>
          <w:szCs w:val="17"/>
          <w:color w:val="auto"/>
        </w:rPr>
        <w:t xml:space="preserve"> balance; this evoluton was mainly driven by a drop in wholesale deposit volumes in LC, which refects a seasonal impact associated with income tax payments, and secondarily, by a base efect given a temporary large deposit related to a Wholesale</w:t>
      </w:r>
    </w:p>
    <w:p>
      <w:pPr>
        <w:spacing w:after="0" w:line="2" w:lineRule="exact"/>
        <w:rPr>
          <w:sz w:val="20"/>
          <w:szCs w:val="20"/>
          <w:color w:val="auto"/>
        </w:rPr>
      </w:pPr>
    </w:p>
    <w:p>
      <w:pPr>
        <w:ind w:left="620"/>
        <w:spacing w:after="0"/>
        <w:rPr>
          <w:sz w:val="20"/>
          <w:szCs w:val="20"/>
          <w:color w:val="auto"/>
        </w:rPr>
      </w:pPr>
      <w:r>
        <w:rPr>
          <w:rFonts w:ascii="Calibri" w:cs="Calibri" w:eastAsia="Calibri" w:hAnsi="Calibri"/>
          <w:sz w:val="17"/>
          <w:szCs w:val="17"/>
          <w:color w:val="auto"/>
        </w:rPr>
        <w:t>client by last-quarter-end.</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The aforementoned was ofset by:</w:t>
      </w:r>
    </w:p>
    <w:p>
      <w:pPr>
        <w:spacing w:after="0" w:line="2" w:lineRule="exact"/>
        <w:rPr>
          <w:sz w:val="20"/>
          <w:szCs w:val="20"/>
          <w:color w:val="auto"/>
        </w:rPr>
      </w:pPr>
    </w:p>
    <w:p>
      <w:pPr>
        <w:ind w:left="620" w:hanging="304"/>
        <w:spacing w:after="0" w:line="239" w:lineRule="auto"/>
        <w:tabs>
          <w:tab w:leader="none" w:pos="620" w:val="left"/>
        </w:tabs>
        <w:numPr>
          <w:ilvl w:val="0"/>
          <w:numId w:val="20"/>
        </w:numPr>
        <w:rPr>
          <w:rFonts w:ascii="Calibri" w:cs="Calibri" w:eastAsia="Calibri" w:hAnsi="Calibri"/>
          <w:sz w:val="17"/>
          <w:szCs w:val="17"/>
          <w:color w:val="auto"/>
          <w:strike w:val="1"/>
        </w:rPr>
      </w:pPr>
      <w:r>
        <w:rPr>
          <w:rFonts w:ascii="Calibri" w:cs="Calibri" w:eastAsia="Calibri" w:hAnsi="Calibri"/>
          <w:sz w:val="17"/>
          <w:szCs w:val="17"/>
          <w:color w:val="auto"/>
        </w:rPr>
        <w:t xml:space="preserve">A 8.4% growth in (+10.2% FX neutral) in the balance for </w:t>
      </w:r>
      <w:r>
        <w:rPr>
          <w:rFonts w:ascii="Calibri" w:cs="Calibri" w:eastAsia="Calibri" w:hAnsi="Calibri"/>
          <w:sz w:val="17"/>
          <w:szCs w:val="17"/>
          <w:b w:val="1"/>
          <w:bCs w:val="1"/>
          <w:color w:val="auto"/>
        </w:rPr>
        <w:t>Time Deposits,</w:t>
      </w:r>
      <w:r>
        <w:rPr>
          <w:rFonts w:ascii="Calibri" w:cs="Calibri" w:eastAsia="Calibri" w:hAnsi="Calibri"/>
          <w:sz w:val="17"/>
          <w:szCs w:val="17"/>
          <w:color w:val="auto"/>
        </w:rPr>
        <w:t xml:space="preserve"> which rose on the back of strategic growth in deposit captures from wholesale clients at BCP Stand-alone.</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our balance of</w:t>
      </w:r>
      <w:r>
        <w:rPr>
          <w:rFonts w:ascii="Calibri" w:cs="Calibri" w:eastAsia="Calibri" w:hAnsi="Calibri"/>
          <w:sz w:val="17"/>
          <w:szCs w:val="17"/>
          <w:b w:val="1"/>
          <w:bCs w:val="1"/>
          <w:color w:val="auto"/>
        </w:rPr>
        <w:t xml:space="preserve"> Total Deposits </w:t>
      </w:r>
      <w:r>
        <w:rPr>
          <w:rFonts w:ascii="Calibri" w:cs="Calibri" w:eastAsia="Calibri" w:hAnsi="Calibri"/>
          <w:sz w:val="17"/>
          <w:szCs w:val="17"/>
          <w:color w:val="auto"/>
        </w:rPr>
        <w:t>rose 6.2% (+10.2% FX neutral) due mainly to:</w:t>
      </w:r>
    </w:p>
    <w:p>
      <w:pPr>
        <w:spacing w:after="0" w:line="197" w:lineRule="exact"/>
        <w:rPr>
          <w:sz w:val="20"/>
          <w:szCs w:val="20"/>
          <w:color w:val="auto"/>
        </w:rPr>
      </w:pPr>
    </w:p>
    <w:p>
      <w:pPr>
        <w:jc w:val="both"/>
        <w:ind w:left="620" w:hanging="304"/>
        <w:spacing w:after="0"/>
        <w:tabs>
          <w:tab w:leader="none" w:pos="620" w:val="left"/>
        </w:tabs>
        <w:numPr>
          <w:ilvl w:val="0"/>
          <w:numId w:val="21"/>
        </w:numPr>
        <w:rPr>
          <w:rFonts w:ascii="Calibri" w:cs="Calibri" w:eastAsia="Calibri" w:hAnsi="Calibri"/>
          <w:sz w:val="17"/>
          <w:szCs w:val="17"/>
          <w:color w:val="auto"/>
          <w:strike w:val="1"/>
        </w:rPr>
      </w:pPr>
      <w:r>
        <w:rPr>
          <w:rFonts w:ascii="Calibri" w:cs="Calibri" w:eastAsia="Calibri" w:hAnsi="Calibri"/>
          <w:sz w:val="17"/>
          <w:szCs w:val="17"/>
          <w:color w:val="auto"/>
        </w:rPr>
        <w:t xml:space="preserve">A 14.1% increase (+17.7% FX neutral) in the balance for </w:t>
      </w:r>
      <w:r>
        <w:rPr>
          <w:rFonts w:ascii="Calibri" w:cs="Calibri" w:eastAsia="Calibri" w:hAnsi="Calibri"/>
          <w:sz w:val="17"/>
          <w:szCs w:val="17"/>
          <w:b w:val="1"/>
          <w:bCs w:val="1"/>
          <w:color w:val="auto"/>
        </w:rPr>
        <w:t>Savings Accounts</w:t>
      </w:r>
      <w:r>
        <w:rPr>
          <w:rFonts w:ascii="Calibri" w:cs="Calibri" w:eastAsia="Calibri" w:hAnsi="Calibri"/>
          <w:sz w:val="17"/>
          <w:szCs w:val="17"/>
          <w:color w:val="auto"/>
        </w:rPr>
        <w:t xml:space="preserve">, which was fueled mainly by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via Individuals. Growth was driven primarily by an uptck in LC deposits, which have been positvely impacted by a diferentated transactonal ofering that allows us to capture deposits in a high-liquidity environment, and secondarily by growth in the FC deposit balance, which was impacted by a drop in the exchange rate, which led clients to dollarize their funds.</w:t>
      </w:r>
    </w:p>
    <w:p>
      <w:pPr>
        <w:spacing w:after="0" w:line="2" w:lineRule="exact"/>
        <w:rPr>
          <w:rFonts w:ascii="Calibri" w:cs="Calibri" w:eastAsia="Calibri" w:hAnsi="Calibri"/>
          <w:sz w:val="17"/>
          <w:szCs w:val="17"/>
          <w:color w:val="auto"/>
          <w:strike w:val="1"/>
        </w:rPr>
      </w:pPr>
    </w:p>
    <w:p>
      <w:pPr>
        <w:ind w:left="620" w:hanging="304"/>
        <w:spacing w:after="0" w:line="239" w:lineRule="auto"/>
        <w:tabs>
          <w:tab w:leader="none" w:pos="620" w:val="left"/>
        </w:tabs>
        <w:numPr>
          <w:ilvl w:val="0"/>
          <w:numId w:val="21"/>
        </w:numPr>
        <w:rPr>
          <w:rFonts w:ascii="Calibri" w:cs="Calibri" w:eastAsia="Calibri" w:hAnsi="Calibri"/>
          <w:sz w:val="17"/>
          <w:szCs w:val="17"/>
          <w:color w:val="auto"/>
          <w:strike w:val="1"/>
        </w:rPr>
      </w:pPr>
      <w:r>
        <w:rPr>
          <w:rFonts w:ascii="Calibri" w:cs="Calibri" w:eastAsia="Calibri" w:hAnsi="Calibri"/>
          <w:sz w:val="17"/>
          <w:szCs w:val="17"/>
          <w:color w:val="auto"/>
        </w:rPr>
        <w:t xml:space="preserve">Growth of 3.8% (+7.9% FX neutral) in the balance for </w:t>
      </w:r>
      <w:r>
        <w:rPr>
          <w:rFonts w:ascii="Calibri" w:cs="Calibri" w:eastAsia="Calibri" w:hAnsi="Calibri"/>
          <w:sz w:val="17"/>
          <w:szCs w:val="17"/>
          <w:b w:val="1"/>
          <w:bCs w:val="1"/>
          <w:color w:val="auto"/>
        </w:rPr>
        <w:t>Time Deposits</w:t>
      </w:r>
      <w:r>
        <w:rPr>
          <w:rFonts w:ascii="Calibri" w:cs="Calibri" w:eastAsia="Calibri" w:hAnsi="Calibri"/>
          <w:sz w:val="17"/>
          <w:szCs w:val="17"/>
          <w:color w:val="auto"/>
        </w:rPr>
        <w:t xml:space="preserve">, which was fueled by an increase in volume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This growth was primarily spurred by Wholesale Banking via the same dynamics seen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800100</wp:posOffset>
            </wp:positionV>
            <wp:extent cx="713740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139065</wp:posOffset>
            </wp:positionV>
            <wp:extent cx="6525895" cy="52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25895" cy="52070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1" w:name="page22"/>
    <w:bookmarkEnd w:id="21"/>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360" w:hanging="304"/>
        <w:spacing w:after="0"/>
        <w:tabs>
          <w:tab w:leader="none" w:pos="360" w:val="left"/>
        </w:tabs>
        <w:numPr>
          <w:ilvl w:val="0"/>
          <w:numId w:val="22"/>
        </w:numPr>
        <w:rPr>
          <w:rFonts w:ascii="Calibri" w:cs="Calibri" w:eastAsia="Calibri" w:hAnsi="Calibri"/>
          <w:sz w:val="21"/>
          <w:szCs w:val="21"/>
          <w:b w:val="1"/>
          <w:bCs w:val="1"/>
          <w:color w:val="FFFFFF"/>
        </w:rPr>
      </w:pPr>
      <w:r>
        <w:rPr>
          <w:rFonts w:ascii="Calibri" w:cs="Calibri" w:eastAsia="Calibri" w:hAnsi="Calibri"/>
          <w:sz w:val="21"/>
          <w:szCs w:val="21"/>
          <w:b w:val="1"/>
          <w:bCs w:val="1"/>
          <w:color w:val="FFFFFF"/>
        </w:rPr>
        <w:t>Deposits</w:t>
      </w:r>
    </w:p>
    <w:p>
      <w:pPr>
        <w:spacing w:after="0" w:line="252" w:lineRule="exact"/>
        <w:rPr>
          <w:rFonts w:ascii="Calibri" w:cs="Calibri" w:eastAsia="Calibri" w:hAnsi="Calibri"/>
          <w:sz w:val="21"/>
          <w:szCs w:val="21"/>
          <w:b w:val="1"/>
          <w:bCs w:val="1"/>
          <w:color w:val="FFFFFF"/>
        </w:rPr>
      </w:pPr>
    </w:p>
    <w:p>
      <w:pPr>
        <w:ind w:left="620" w:hanging="304"/>
        <w:spacing w:after="0" w:line="239" w:lineRule="auto"/>
        <w:tabs>
          <w:tab w:leader="none" w:pos="620" w:val="left"/>
        </w:tabs>
        <w:numPr>
          <w:ilvl w:val="1"/>
          <w:numId w:val="22"/>
        </w:numPr>
        <w:rPr>
          <w:rFonts w:ascii="Calibri" w:cs="Calibri" w:eastAsia="Calibri" w:hAnsi="Calibri"/>
          <w:sz w:val="17"/>
          <w:szCs w:val="17"/>
          <w:color w:val="auto"/>
          <w:strike w:val="1"/>
        </w:rPr>
      </w:pPr>
      <w:r>
        <w:rPr>
          <w:rFonts w:ascii="Calibri" w:cs="Calibri" w:eastAsia="Calibri" w:hAnsi="Calibri"/>
          <w:sz w:val="17"/>
          <w:szCs w:val="17"/>
          <w:color w:val="auto"/>
        </w:rPr>
        <w:t xml:space="preserve">An increase of 1.2% (+5.5% neutral exchange rate) in the balance for </w:t>
      </w:r>
      <w:r>
        <w:rPr>
          <w:rFonts w:ascii="Calibri" w:cs="Calibri" w:eastAsia="Calibri" w:hAnsi="Calibri"/>
          <w:sz w:val="17"/>
          <w:szCs w:val="17"/>
          <w:b w:val="1"/>
          <w:bCs w:val="1"/>
          <w:color w:val="auto"/>
        </w:rPr>
        <w:t>Demand Deposits,</w:t>
      </w:r>
      <w:r>
        <w:rPr>
          <w:rFonts w:ascii="Calibri" w:cs="Calibri" w:eastAsia="Calibri" w:hAnsi="Calibri"/>
          <w:sz w:val="17"/>
          <w:szCs w:val="17"/>
          <w:color w:val="auto"/>
        </w:rPr>
        <w:t xml:space="preserve"> which was mainly driven by an uptck in the FC balance at </w:t>
      </w:r>
      <w:r>
        <w:rPr>
          <w:rFonts w:ascii="Calibri" w:cs="Calibri" w:eastAsia="Calibri" w:hAnsi="Calibri"/>
          <w:sz w:val="17"/>
          <w:szCs w:val="17"/>
          <w:b w:val="1"/>
          <w:bCs w:val="1"/>
          <w:color w:val="auto"/>
        </w:rPr>
        <w:t>BCP</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Stand-alone </w:t>
      </w:r>
      <w:r>
        <w:rPr>
          <w:rFonts w:ascii="Calibri" w:cs="Calibri" w:eastAsia="Calibri" w:hAnsi="Calibri"/>
          <w:sz w:val="17"/>
          <w:szCs w:val="17"/>
          <w:color w:val="auto"/>
        </w:rPr>
        <w:t>via wholesale deposits. This efect was partally ofset by a decrease in the LC balance, which was driven by the same dynamics in play QoQ.</w:t>
      </w:r>
    </w:p>
    <w:p>
      <w:pPr>
        <w:sectPr>
          <w:pgSz w:w="11900" w:h="16838" w:orient="portrait"/>
          <w:cols w:equalWidth="0" w:num="1">
            <w:col w:w="11240"/>
          </w:cols>
          <w:pgMar w:left="320" w:top="444" w:right="339" w:bottom="1440" w:gutter="0" w:footer="0" w:header="0"/>
        </w:sectPr>
      </w:pPr>
    </w:p>
    <w:p>
      <w:pPr>
        <w:spacing w:after="0" w:line="18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Dollarizaton Level of Deposits</w:t>
      </w:r>
    </w:p>
    <w:p>
      <w:pPr>
        <w:spacing w:after="0" w:line="296" w:lineRule="exact"/>
        <w:rPr>
          <w:sz w:val="20"/>
          <w:szCs w:val="20"/>
          <w:color w:val="auto"/>
        </w:rPr>
      </w:pPr>
    </w:p>
    <w:p>
      <w:pPr>
        <w:jc w:val="center"/>
        <w:ind w:left="300"/>
        <w:spacing w:after="0"/>
        <w:rPr>
          <w:sz w:val="20"/>
          <w:szCs w:val="20"/>
          <w:color w:val="auto"/>
        </w:rPr>
      </w:pPr>
      <w:r>
        <w:rPr>
          <w:rFonts w:ascii="Calibri" w:cs="Calibri" w:eastAsia="Calibri" w:hAnsi="Calibri"/>
          <w:sz w:val="17"/>
          <w:szCs w:val="17"/>
          <w:b w:val="1"/>
          <w:bCs w:val="1"/>
          <w:color w:val="auto"/>
        </w:rPr>
        <w:t>Deposits by Currency</w:t>
      </w:r>
    </w:p>
    <w:p>
      <w:pPr>
        <w:spacing w:after="0" w:line="3" w:lineRule="exact"/>
        <w:rPr>
          <w:sz w:val="20"/>
          <w:szCs w:val="20"/>
          <w:color w:val="auto"/>
        </w:rPr>
      </w:pPr>
    </w:p>
    <w:p>
      <w:pPr>
        <w:jc w:val="right"/>
        <w:ind w:right="1400"/>
        <w:spacing w:after="0"/>
        <w:rPr>
          <w:sz w:val="20"/>
          <w:szCs w:val="20"/>
          <w:color w:val="auto"/>
        </w:rPr>
      </w:pPr>
      <w:r>
        <w:rPr>
          <w:rFonts w:ascii="Calibri" w:cs="Calibri" w:eastAsia="Calibri" w:hAnsi="Calibri"/>
          <w:sz w:val="14"/>
          <w:szCs w:val="14"/>
          <w:color w:val="auto"/>
        </w:rPr>
        <w:t>(measured at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11430</wp:posOffset>
            </wp:positionV>
            <wp:extent cx="2139315" cy="1495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39315" cy="1495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 xml:space="preserve">At the end of June 2025, the dollarizaton level of </w:t>
      </w:r>
      <w:r>
        <w:rPr>
          <w:rFonts w:ascii="Calibri" w:cs="Calibri" w:eastAsia="Calibri" w:hAnsi="Calibri"/>
          <w:sz w:val="17"/>
          <w:szCs w:val="17"/>
          <w:b w:val="1"/>
          <w:bCs w:val="1"/>
          <w:color w:val="auto"/>
        </w:rPr>
        <w:t>Total Deposits</w:t>
      </w:r>
      <w:r>
        <w:rPr>
          <w:rFonts w:ascii="Calibri" w:cs="Calibri" w:eastAsia="Calibri" w:hAnsi="Calibri"/>
          <w:sz w:val="17"/>
          <w:szCs w:val="17"/>
          <w:color w:val="auto"/>
        </w:rPr>
        <w:t xml:space="preserve"> rose 65 bps QoQ to stand at 45.2%, which is below the average for the last three years (48.7%). This result was driven by a drop in </w:t>
      </w:r>
      <w:r>
        <w:rPr>
          <w:rFonts w:ascii="Calibri" w:cs="Calibri" w:eastAsia="Calibri" w:hAnsi="Calibri"/>
          <w:sz w:val="17"/>
          <w:szCs w:val="17"/>
          <w:b w:val="1"/>
          <w:bCs w:val="1"/>
          <w:color w:val="auto"/>
        </w:rPr>
        <w:t>Demand Deposits,</w:t>
      </w:r>
      <w:r>
        <w:rPr>
          <w:rFonts w:ascii="Calibri" w:cs="Calibri" w:eastAsia="Calibri" w:hAnsi="Calibri"/>
          <w:sz w:val="17"/>
          <w:szCs w:val="17"/>
          <w:color w:val="auto"/>
        </w:rPr>
        <w:t xml:space="preserve"> which was driven by income tax payments and an increase in </w:t>
      </w:r>
      <w:r>
        <w:rPr>
          <w:rFonts w:ascii="Calibri" w:cs="Calibri" w:eastAsia="Calibri" w:hAnsi="Calibri"/>
          <w:sz w:val="17"/>
          <w:szCs w:val="17"/>
          <w:b w:val="1"/>
          <w:bCs w:val="1"/>
          <w:color w:val="auto"/>
        </w:rPr>
        <w:t>Time Deposits</w:t>
      </w:r>
      <w:r>
        <w:rPr>
          <w:rFonts w:ascii="Calibri" w:cs="Calibri" w:eastAsia="Calibri" w:hAnsi="Calibri"/>
          <w:sz w:val="17"/>
          <w:szCs w:val="17"/>
          <w:color w:val="auto"/>
        </w:rPr>
        <w:t xml:space="preserve"> in FC following eforts to bolster captures that optmize the funding structure.</w:t>
      </w:r>
    </w:p>
    <w:p>
      <w:pPr>
        <w:spacing w:after="0" w:line="198"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 xml:space="preserve">YoY, the dollarizaton level dropped 288 bps. This evoluton was spurred mainly by growth in LC balances for </w:t>
      </w:r>
      <w:r>
        <w:rPr>
          <w:rFonts w:ascii="Calibri" w:cs="Calibri" w:eastAsia="Calibri" w:hAnsi="Calibri"/>
          <w:sz w:val="17"/>
          <w:szCs w:val="17"/>
          <w:b w:val="1"/>
          <w:bCs w:val="1"/>
          <w:color w:val="auto"/>
        </w:rPr>
        <w:t>Low-cost Deposits</w:t>
      </w:r>
      <w:r>
        <w:rPr>
          <w:rFonts w:ascii="Calibri" w:cs="Calibri" w:eastAsia="Calibri" w:hAnsi="Calibri"/>
          <w:sz w:val="17"/>
          <w:szCs w:val="17"/>
          <w:color w:val="auto"/>
        </w:rPr>
        <w:t xml:space="preserve">, which refected an uptck in deposit captures, and was partally ofset by an uptck in </w:t>
      </w:r>
      <w:r>
        <w:rPr>
          <w:rFonts w:ascii="Calibri" w:cs="Calibri" w:eastAsia="Calibri" w:hAnsi="Calibri"/>
          <w:sz w:val="17"/>
          <w:szCs w:val="17"/>
          <w:b w:val="1"/>
          <w:bCs w:val="1"/>
          <w:color w:val="auto"/>
        </w:rPr>
        <w:t>Time Desposits</w:t>
      </w:r>
      <w:r>
        <w:rPr>
          <w:rFonts w:ascii="Calibri" w:cs="Calibri" w:eastAsia="Calibri" w:hAnsi="Calibri"/>
          <w:sz w:val="17"/>
          <w:szCs w:val="17"/>
          <w:color w:val="auto"/>
        </w:rPr>
        <w:t xml:space="preserve"> in FC, driven by the same dynamics seen QoQ.</w:t>
      </w:r>
    </w:p>
    <w:p>
      <w:pPr>
        <w:spacing w:after="0" w:line="200" w:lineRule="exact"/>
        <w:rPr>
          <w:sz w:val="20"/>
          <w:szCs w:val="20"/>
          <w:color w:val="auto"/>
        </w:rPr>
      </w:pPr>
    </w:p>
    <w:p>
      <w:pPr>
        <w:sectPr>
          <w:pgSz w:w="11900" w:h="16838" w:orient="portrait"/>
          <w:cols w:equalWidth="0" w:num="2">
            <w:col w:w="5120" w:space="720"/>
            <w:col w:w="5400"/>
          </w:cols>
          <w:pgMar w:left="320" w:top="444"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Deposits by Currency and Type</w:t>
      </w:r>
    </w:p>
    <w:p>
      <w:pPr>
        <w:sectPr>
          <w:pgSz w:w="11900" w:h="16838" w:orient="portrait"/>
          <w:cols w:equalWidth="0" w:num="1">
            <w:col w:w="11240"/>
          </w:cols>
          <w:pgMar w:left="320" w:top="4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Loan / Deposit Rato (L/D 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138430</wp:posOffset>
            </wp:positionV>
            <wp:extent cx="2701290" cy="1677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01290" cy="1677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Calibri" w:cs="Calibri" w:eastAsia="Calibri" w:hAnsi="Calibri"/>
          <w:sz w:val="12"/>
          <w:szCs w:val="12"/>
          <w:color w:val="auto"/>
        </w:rPr>
        <w:t>(measured at quarter-end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5715</wp:posOffset>
            </wp:positionV>
            <wp:extent cx="5956300" cy="14624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56300" cy="146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080"/>
        <w:spacing w:after="0"/>
        <w:rPr>
          <w:sz w:val="20"/>
          <w:szCs w:val="20"/>
          <w:color w:val="auto"/>
        </w:rPr>
      </w:pPr>
      <w:r>
        <w:rPr>
          <w:rFonts w:ascii="Calibri" w:cs="Calibri" w:eastAsia="Calibri" w:hAnsi="Calibri"/>
          <w:sz w:val="17"/>
          <w:szCs w:val="17"/>
          <w:b w:val="1"/>
          <w:bCs w:val="1"/>
          <w:color w:val="auto"/>
        </w:rPr>
        <w:t xml:space="preserve">QoQ, </w:t>
      </w:r>
      <w:r>
        <w:rPr>
          <w:rFonts w:ascii="Calibri" w:cs="Calibri" w:eastAsia="Calibri" w:hAnsi="Calibri"/>
          <w:sz w:val="17"/>
          <w:szCs w:val="17"/>
          <w:color w:val="auto"/>
        </w:rPr>
        <w:t>the L/D rato increased 79 bps at</w:t>
      </w:r>
      <w:r>
        <w:rPr>
          <w:rFonts w:ascii="Calibri" w:cs="Calibri" w:eastAsia="Calibri" w:hAnsi="Calibri"/>
          <w:sz w:val="17"/>
          <w:szCs w:val="17"/>
          <w:b w:val="1"/>
          <w:bCs w:val="1"/>
          <w:color w:val="auto"/>
        </w:rPr>
        <w:t xml:space="preserve"> BCP Stand-alone</w:t>
      </w:r>
      <w:r>
        <w:rPr>
          <w:rFonts w:ascii="Calibri" w:cs="Calibri" w:eastAsia="Calibri" w:hAnsi="Calibri"/>
          <w:sz w:val="17"/>
          <w:szCs w:val="17"/>
          <w:color w:val="auto"/>
        </w:rPr>
        <w:t>, driven by growth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the loan balance via wholesale loans and partally ofset by a slight increase in tme deposits.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the rato rose 743 bps, fueled mainly by an uptck in loans following improvements to models; eforts to broaden oferings to new clients; and a decrease in tme deposits.</w:t>
      </w:r>
    </w:p>
    <w:p>
      <w:pPr>
        <w:spacing w:after="0" w:line="211" w:lineRule="exact"/>
        <w:rPr>
          <w:sz w:val="20"/>
          <w:szCs w:val="20"/>
          <w:color w:val="auto"/>
        </w:rPr>
      </w:pPr>
    </w:p>
    <w:p>
      <w:pPr>
        <w:jc w:val="both"/>
        <w:ind w:left="1080"/>
        <w:spacing w:after="0"/>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the L/D rato dropped 624 bps and 266 bps at</w:t>
      </w:r>
      <w:r>
        <w:rPr>
          <w:rFonts w:ascii="Calibri" w:cs="Calibri" w:eastAsia="Calibri" w:hAnsi="Calibri"/>
          <w:sz w:val="17"/>
          <w:szCs w:val="17"/>
          <w:b w:val="1"/>
          <w:bCs w:val="1"/>
          <w:color w:val="auto"/>
        </w:rPr>
        <w:t xml:space="preserve"> BCP and Mibanco </w:t>
      </w:r>
      <w:r>
        <w:rPr>
          <w:rFonts w:ascii="Calibri" w:cs="Calibri" w:eastAsia="Calibri" w:hAnsi="Calibri"/>
          <w:sz w:val="17"/>
          <w:szCs w:val="17"/>
          <w:color w:val="auto"/>
        </w:rPr>
        <w:t xml:space="preserve">respectvely. At </w:t>
      </w:r>
      <w:r>
        <w:rPr>
          <w:rFonts w:ascii="Calibri" w:cs="Calibri" w:eastAsia="Calibri" w:hAnsi="Calibri"/>
          <w:sz w:val="17"/>
          <w:szCs w:val="17"/>
          <w:b w:val="1"/>
          <w:bCs w:val="1"/>
          <w:color w:val="auto"/>
        </w:rPr>
        <w:t>BCP</w:t>
      </w:r>
      <w:r>
        <w:rPr>
          <w:rFonts w:ascii="Calibri" w:cs="Calibri" w:eastAsia="Calibri" w:hAnsi="Calibri"/>
          <w:sz w:val="17"/>
          <w:szCs w:val="17"/>
          <w:color w:val="auto"/>
        </w:rPr>
        <w:t xml:space="preserve">, the decline was atributable to growth in </w:t>
      </w:r>
      <w:r>
        <w:rPr>
          <w:rFonts w:ascii="Calibri" w:cs="Calibri" w:eastAsia="Calibri" w:hAnsi="Calibri"/>
          <w:sz w:val="17"/>
          <w:szCs w:val="17"/>
          <w:b w:val="1"/>
          <w:bCs w:val="1"/>
          <w:color w:val="auto"/>
        </w:rPr>
        <w:t>Low- Cost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Deposits </w:t>
      </w:r>
      <w:r>
        <w:rPr>
          <w:rFonts w:ascii="Calibri" w:cs="Calibri" w:eastAsia="Calibri" w:hAnsi="Calibri"/>
          <w:sz w:val="17"/>
          <w:szCs w:val="17"/>
          <w:color w:val="auto"/>
        </w:rPr>
        <w:t>in a context of higher liquidity and to a decrease in the loan balance.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the decrease was driven by growth in </w:t>
      </w:r>
      <w:r>
        <w:rPr>
          <w:rFonts w:ascii="Calibri" w:cs="Calibri" w:eastAsia="Calibri" w:hAnsi="Calibri"/>
          <w:sz w:val="17"/>
          <w:szCs w:val="17"/>
          <w:b w:val="1"/>
          <w:bCs w:val="1"/>
          <w:color w:val="auto"/>
        </w:rPr>
        <w:t>Savings Deposits</w:t>
      </w:r>
      <w:r>
        <w:rPr>
          <w:rFonts w:ascii="Calibri" w:cs="Calibri" w:eastAsia="Calibri" w:hAnsi="Calibri"/>
          <w:sz w:val="17"/>
          <w:szCs w:val="17"/>
          <w:color w:val="auto"/>
        </w:rPr>
        <w:t>, which was ofset by loan growth.</w:t>
      </w:r>
    </w:p>
    <w:p>
      <w:pPr>
        <w:spacing w:after="0" w:line="200" w:lineRule="exact"/>
        <w:rPr>
          <w:sz w:val="20"/>
          <w:szCs w:val="20"/>
          <w:color w:val="auto"/>
        </w:rPr>
      </w:pPr>
    </w:p>
    <w:p>
      <w:pPr>
        <w:sectPr>
          <w:pgSz w:w="11900" w:h="16838" w:orient="portrait"/>
          <w:cols w:equalWidth="0" w:num="2">
            <w:col w:w="4040" w:space="720"/>
            <w:col w:w="6480"/>
          </w:cols>
          <w:pgMar w:left="320" w:top="4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16"/>
          <w:szCs w:val="16"/>
          <w:color w:val="auto"/>
        </w:rPr>
        <w:t>In this context, the L/D rato at Credicorp stood at 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963295</wp:posOffset>
            </wp:positionV>
            <wp:extent cx="713740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393065</wp:posOffset>
            </wp:positionV>
            <wp:extent cx="6509385" cy="4711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09385" cy="47117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type w:val="continuous"/>
        </w:sectPr>
      </w:pPr>
    </w:p>
    <w:bookmarkStart w:id="22" w:name="page23"/>
    <w:bookmarkEnd w:id="22"/>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02. Deposits</w:t>
      </w:r>
    </w:p>
    <w:p>
      <w:pPr>
        <w:spacing w:after="0" w:line="251" w:lineRule="exact"/>
        <w:rPr>
          <w:sz w:val="20"/>
          <w:szCs w:val="20"/>
          <w:color w:val="auto"/>
        </w:rPr>
      </w:pPr>
    </w:p>
    <w:p>
      <w:pPr>
        <w:ind w:left="1840"/>
        <w:spacing w:after="0"/>
        <w:tabs>
          <w:tab w:leader="none" w:pos="7580" w:val="left"/>
        </w:tabs>
        <w:rPr>
          <w:sz w:val="20"/>
          <w:szCs w:val="20"/>
          <w:color w:val="auto"/>
        </w:rPr>
      </w:pPr>
      <w:r>
        <w:rPr>
          <w:rFonts w:ascii="Calibri" w:cs="Calibri" w:eastAsia="Calibri" w:hAnsi="Calibri"/>
          <w:sz w:val="17"/>
          <w:szCs w:val="17"/>
          <w:b w:val="1"/>
          <w:bCs w:val="1"/>
          <w:color w:val="auto"/>
        </w:rPr>
        <w:t>L/D Rato Local Currency</w:t>
      </w:r>
      <w:r>
        <w:rPr>
          <w:sz w:val="20"/>
          <w:szCs w:val="20"/>
          <w:color w:val="auto"/>
        </w:rPr>
        <w:tab/>
      </w:r>
      <w:r>
        <w:rPr>
          <w:rFonts w:ascii="Calibri" w:cs="Calibri" w:eastAsia="Calibri" w:hAnsi="Calibri"/>
          <w:sz w:val="17"/>
          <w:szCs w:val="17"/>
          <w:b w:val="1"/>
          <w:bCs w:val="1"/>
          <w:color w:val="auto"/>
        </w:rPr>
        <w:t>L/D Rato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14605</wp:posOffset>
            </wp:positionV>
            <wp:extent cx="5956300" cy="1371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563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Market Share (MS) of Deposits in the Peruvian Financial System</w:t>
      </w:r>
    </w:p>
    <w:p>
      <w:pPr>
        <w:spacing w:after="0" w:line="200" w:lineRule="exact"/>
        <w:rPr>
          <w:sz w:val="20"/>
          <w:szCs w:val="20"/>
          <w:color w:val="auto"/>
        </w:rPr>
      </w:pPr>
    </w:p>
    <w:p>
      <w:pPr>
        <w:spacing w:after="0" w:line="229" w:lineRule="exact"/>
        <w:rPr>
          <w:sz w:val="20"/>
          <w:szCs w:val="20"/>
          <w:color w:val="auto"/>
        </w:rPr>
      </w:pPr>
    </w:p>
    <w:p>
      <w:pPr>
        <w:jc w:val="center"/>
        <w:ind w:right="240"/>
        <w:spacing w:after="0"/>
        <w:rPr>
          <w:sz w:val="20"/>
          <w:szCs w:val="20"/>
          <w:color w:val="auto"/>
        </w:rPr>
      </w:pPr>
      <w:r>
        <w:rPr>
          <w:rFonts w:ascii="Calibri" w:cs="Calibri" w:eastAsia="Calibri" w:hAnsi="Calibri"/>
          <w:sz w:val="18"/>
          <w:szCs w:val="18"/>
          <w:b w:val="1"/>
          <w:bCs w:val="1"/>
          <w:color w:val="auto"/>
        </w:rPr>
        <w:t>Share of the Deposit Market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21590</wp:posOffset>
            </wp:positionV>
            <wp:extent cx="5691505" cy="21475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91505" cy="214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640"/>
        <w:spacing w:after="0" w:line="239" w:lineRule="auto"/>
        <w:rPr>
          <w:sz w:val="20"/>
          <w:szCs w:val="20"/>
          <w:color w:val="auto"/>
        </w:rPr>
      </w:pPr>
      <w:r>
        <w:rPr>
          <w:rFonts w:ascii="Calibri" w:cs="Calibri" w:eastAsia="Calibri" w:hAnsi="Calibri"/>
          <w:sz w:val="17"/>
          <w:szCs w:val="17"/>
          <w:color w:val="auto"/>
        </w:rPr>
        <w:t xml:space="preserve">At the end of June 2025, the MS of </w:t>
      </w:r>
      <w:r>
        <w:rPr>
          <w:rFonts w:ascii="Calibri" w:cs="Calibri" w:eastAsia="Calibri" w:hAnsi="Calibri"/>
          <w:sz w:val="17"/>
          <w:szCs w:val="17"/>
          <w:b w:val="1"/>
          <w:bCs w:val="1"/>
          <w:color w:val="auto"/>
        </w:rPr>
        <w:t>Total Deposits</w:t>
      </w:r>
      <w:r>
        <w:rPr>
          <w:rFonts w:ascii="Calibri" w:cs="Calibri" w:eastAsia="Calibri" w:hAnsi="Calibri"/>
          <w:sz w:val="17"/>
          <w:szCs w:val="17"/>
          <w:color w:val="auto"/>
        </w:rPr>
        <w:t xml:space="preserve"> held by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in Peru stood at 32.1% and 2.6% (51 bps and -4 bps vs June 2024, respectvely). BCP contnued to lead the market for total deposits.</w:t>
      </w:r>
    </w:p>
    <w:p>
      <w:pPr>
        <w:spacing w:after="0" w:line="3" w:lineRule="exact"/>
        <w:rPr>
          <w:sz w:val="20"/>
          <w:szCs w:val="20"/>
          <w:color w:val="auto"/>
        </w:rPr>
      </w:pPr>
    </w:p>
    <w:p>
      <w:pPr>
        <w:ind w:right="60"/>
        <w:spacing w:after="0"/>
        <w:rPr>
          <w:sz w:val="20"/>
          <w:szCs w:val="20"/>
          <w:color w:val="auto"/>
        </w:rPr>
      </w:pPr>
      <w:r>
        <w:rPr>
          <w:rFonts w:ascii="Calibri" w:cs="Calibri" w:eastAsia="Calibri" w:hAnsi="Calibri"/>
          <w:sz w:val="17"/>
          <w:szCs w:val="17"/>
          <w:b w:val="1"/>
          <w:bCs w:val="1"/>
          <w:color w:val="auto"/>
        </w:rPr>
        <w:t xml:space="preserve">BCP Stand-alone </w:t>
      </w:r>
      <w:r>
        <w:rPr>
          <w:rFonts w:ascii="Calibri" w:cs="Calibri" w:eastAsia="Calibri" w:hAnsi="Calibri"/>
          <w:sz w:val="17"/>
          <w:szCs w:val="17"/>
          <w:color w:val="auto"/>
        </w:rPr>
        <w:t>reported</w:t>
      </w:r>
      <w:r>
        <w:rPr>
          <w:rFonts w:ascii="Calibri" w:cs="Calibri" w:eastAsia="Calibri" w:hAnsi="Calibri"/>
          <w:sz w:val="17"/>
          <w:szCs w:val="17"/>
          <w:b w:val="1"/>
          <w:bCs w:val="1"/>
          <w:color w:val="auto"/>
        </w:rPr>
        <w:t xml:space="preserve"> YoY </w:t>
      </w:r>
      <w:r>
        <w:rPr>
          <w:rFonts w:ascii="Calibri" w:cs="Calibri" w:eastAsia="Calibri" w:hAnsi="Calibri"/>
          <w:sz w:val="17"/>
          <w:szCs w:val="17"/>
          <w:color w:val="auto"/>
        </w:rPr>
        <w:t>growth in</w:t>
      </w:r>
      <w:r>
        <w:rPr>
          <w:rFonts w:ascii="Calibri" w:cs="Calibri" w:eastAsia="Calibri" w:hAnsi="Calibri"/>
          <w:sz w:val="17"/>
          <w:szCs w:val="17"/>
          <w:b w:val="1"/>
          <w:bCs w:val="1"/>
          <w:color w:val="auto"/>
        </w:rPr>
        <w:t xml:space="preserve"> Low-Cost Deposits </w:t>
      </w:r>
      <w:r>
        <w:rPr>
          <w:rFonts w:ascii="Calibri" w:cs="Calibri" w:eastAsia="Calibri" w:hAnsi="Calibri"/>
          <w:sz w:val="17"/>
          <w:szCs w:val="17"/>
          <w:color w:val="auto"/>
        </w:rPr>
        <w:t>(+6.5%); this fgure fell below the fgure registered for the fnancial system (+9.2%).</w:t>
      </w:r>
      <w:r>
        <w:rPr>
          <w:rFonts w:ascii="Calibri" w:cs="Calibri" w:eastAsia="Calibri" w:hAnsi="Calibri"/>
          <w:sz w:val="17"/>
          <w:szCs w:val="17"/>
          <w:b w:val="1"/>
          <w:bCs w:val="1"/>
          <w:color w:val="auto"/>
        </w:rPr>
        <w:t xml:space="preserve"> BCP </w:t>
      </w:r>
      <w:r>
        <w:rPr>
          <w:rFonts w:ascii="Calibri" w:cs="Calibri" w:eastAsia="Calibri" w:hAnsi="Calibri"/>
          <w:sz w:val="17"/>
          <w:szCs w:val="17"/>
          <w:color w:val="auto"/>
        </w:rPr>
        <w:t>contnues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lead the market for </w:t>
      </w:r>
      <w:r>
        <w:rPr>
          <w:rFonts w:ascii="Calibri" w:cs="Calibri" w:eastAsia="Calibri" w:hAnsi="Calibri"/>
          <w:sz w:val="17"/>
          <w:szCs w:val="17"/>
          <w:b w:val="1"/>
          <w:bCs w:val="1"/>
          <w:color w:val="auto"/>
        </w:rPr>
        <w:t>Low-cost Deposits</w:t>
      </w:r>
      <w:r>
        <w:rPr>
          <w:rFonts w:ascii="Calibri" w:cs="Calibri" w:eastAsia="Calibri" w:hAnsi="Calibri"/>
          <w:sz w:val="17"/>
          <w:szCs w:val="17"/>
          <w:color w:val="auto"/>
        </w:rPr>
        <w:t xml:space="preserve"> with an MS of 39.6% at the end of June 2025 (-101 pbs vs June 2024). </w:t>
      </w:r>
      <w:r>
        <w:rPr>
          <w:rFonts w:ascii="Calibri" w:cs="Calibri" w:eastAsia="Calibri" w:hAnsi="Calibri"/>
          <w:sz w:val="17"/>
          <w:szCs w:val="17"/>
          <w:b w:val="1"/>
          <w:bCs w:val="1"/>
          <w:color w:val="auto"/>
        </w:rPr>
        <w:t>Time Deposits</w:t>
      </w:r>
      <w:r>
        <w:rPr>
          <w:rFonts w:ascii="Calibri" w:cs="Calibri" w:eastAsia="Calibri" w:hAnsi="Calibri"/>
          <w:sz w:val="17"/>
          <w:szCs w:val="17"/>
          <w:color w:val="auto"/>
        </w:rPr>
        <w:t xml:space="preserve"> grew across the fnancial system (-0.4% vs June 2024) and at </w:t>
      </w:r>
      <w:r>
        <w:rPr>
          <w:rFonts w:ascii="Calibri" w:cs="Calibri" w:eastAsia="Calibri" w:hAnsi="Calibri"/>
          <w:sz w:val="17"/>
          <w:szCs w:val="17"/>
          <w:b w:val="1"/>
          <w:bCs w:val="1"/>
          <w:color w:val="auto"/>
        </w:rPr>
        <w:t>BCP</w:t>
      </w:r>
      <w:r>
        <w:rPr>
          <w:rFonts w:ascii="Calibri" w:cs="Calibri" w:eastAsia="Calibri" w:hAnsi="Calibri"/>
          <w:sz w:val="17"/>
          <w:szCs w:val="17"/>
          <w:color w:val="auto"/>
        </w:rPr>
        <w:t xml:space="preserve">, which registered growth of 10.0% versus 2024. In this context, </w:t>
      </w:r>
      <w:r>
        <w:rPr>
          <w:rFonts w:ascii="Calibri" w:cs="Calibri" w:eastAsia="Calibri" w:hAnsi="Calibri"/>
          <w:sz w:val="17"/>
          <w:szCs w:val="17"/>
          <w:b w:val="1"/>
          <w:bCs w:val="1"/>
          <w:color w:val="auto"/>
        </w:rPr>
        <w:t>BCP</w:t>
      </w:r>
      <w:r>
        <w:rPr>
          <w:rFonts w:ascii="Calibri" w:cs="Calibri" w:eastAsia="Calibri" w:hAnsi="Calibri"/>
          <w:sz w:val="17"/>
          <w:szCs w:val="17"/>
          <w:color w:val="auto"/>
        </w:rPr>
        <w:t>’s MS rose (184 bps vs June 2024) to stand at 19.4% at the end of June 2025.</w:t>
      </w:r>
    </w:p>
    <w:p>
      <w:pPr>
        <w:spacing w:after="0" w:line="198" w:lineRule="exact"/>
        <w:rPr>
          <w:sz w:val="20"/>
          <w:szCs w:val="20"/>
          <w:color w:val="auto"/>
        </w:rPr>
      </w:pPr>
    </w:p>
    <w:p>
      <w:pPr>
        <w:spacing w:after="0" w:line="239" w:lineRule="auto"/>
        <w:rPr>
          <w:sz w:val="20"/>
          <w:szCs w:val="20"/>
          <w:color w:val="auto"/>
        </w:rPr>
      </w:pPr>
      <w:r>
        <w:rPr>
          <w:rFonts w:ascii="Calibri" w:cs="Calibri" w:eastAsia="Calibri" w:hAnsi="Calibri"/>
          <w:sz w:val="17"/>
          <w:szCs w:val="17"/>
          <w:b w:val="1"/>
          <w:bCs w:val="1"/>
          <w:color w:val="auto"/>
        </w:rPr>
        <w:t xml:space="preserve">Credicorp’s </w:t>
      </w:r>
      <w:r>
        <w:rPr>
          <w:rFonts w:ascii="Calibri" w:cs="Calibri" w:eastAsia="Calibri" w:hAnsi="Calibri"/>
          <w:sz w:val="17"/>
          <w:szCs w:val="17"/>
          <w:color w:val="auto"/>
        </w:rPr>
        <w:t>share (</w:t>
      </w:r>
      <w:r>
        <w:rPr>
          <w:rFonts w:ascii="Calibri" w:cs="Calibri" w:eastAsia="Calibri" w:hAnsi="Calibri"/>
          <w:sz w:val="17"/>
          <w:szCs w:val="17"/>
          <w:b w:val="1"/>
          <w:bCs w:val="1"/>
          <w:color w:val="auto"/>
        </w:rPr>
        <w:t>BCP + Mibanco</w:t>
      </w:r>
      <w:r>
        <w:rPr>
          <w:rFonts w:ascii="Calibri" w:cs="Calibri" w:eastAsia="Calibri" w:hAnsi="Calibri"/>
          <w:sz w:val="17"/>
          <w:szCs w:val="17"/>
          <w:color w:val="auto"/>
        </w:rPr>
        <w:t>) of the market for</w:t>
      </w:r>
      <w:r>
        <w:rPr>
          <w:rFonts w:ascii="Calibri" w:cs="Calibri" w:eastAsia="Calibri" w:hAnsi="Calibri"/>
          <w:sz w:val="17"/>
          <w:szCs w:val="17"/>
          <w:b w:val="1"/>
          <w:bCs w:val="1"/>
          <w:color w:val="auto"/>
        </w:rPr>
        <w:t xml:space="preserve"> Low-cost Deposits </w:t>
      </w:r>
      <w:r>
        <w:rPr>
          <w:rFonts w:ascii="Calibri" w:cs="Calibri" w:eastAsia="Calibri" w:hAnsi="Calibri"/>
          <w:sz w:val="17"/>
          <w:szCs w:val="17"/>
          <w:color w:val="auto"/>
        </w:rPr>
        <w:t>dropped 82 bps versus June 2024 and stood at 40.3% at the end of June 2025.</w:t>
      </w:r>
      <w:r>
        <w:rPr>
          <w:rFonts w:ascii="Calibri" w:cs="Calibri" w:eastAsia="Calibri" w:hAnsi="Calibri"/>
          <w:sz w:val="17"/>
          <w:szCs w:val="17"/>
          <w:b w:val="1"/>
          <w:bCs w:val="1"/>
          <w:color w:val="auto"/>
        </w:rPr>
        <w:t xml:space="preserve"> Credicorp’s </w:t>
      </w:r>
      <w:r>
        <w:rPr>
          <w:rFonts w:ascii="Calibri" w:cs="Calibri" w:eastAsia="Calibri" w:hAnsi="Calibri"/>
          <w:sz w:val="17"/>
          <w:szCs w:val="17"/>
          <w:color w:val="auto"/>
        </w:rPr>
        <w:t xml:space="preserve">market share of </w:t>
      </w:r>
      <w:r>
        <w:rPr>
          <w:rFonts w:ascii="Calibri" w:cs="Calibri" w:eastAsia="Calibri" w:hAnsi="Calibri"/>
          <w:sz w:val="17"/>
          <w:szCs w:val="17"/>
          <w:b w:val="1"/>
          <w:bCs w:val="1"/>
          <w:color w:val="auto"/>
        </w:rPr>
        <w:t>Time Deposits</w:t>
      </w:r>
      <w:r>
        <w:rPr>
          <w:rFonts w:ascii="Calibri" w:cs="Calibri" w:eastAsia="Calibri" w:hAnsi="Calibri"/>
          <w:sz w:val="17"/>
          <w:szCs w:val="17"/>
          <w:color w:val="auto"/>
        </w:rPr>
        <w:t xml:space="preserve"> rose 170bps at the end of June 2024 to stand at 25.1% at the end of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783590</wp:posOffset>
            </wp:positionV>
            <wp:extent cx="713740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147320</wp:posOffset>
            </wp:positionV>
            <wp:extent cx="6534150" cy="4959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34150" cy="49593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3" w:name="page24"/>
    <w:bookmarkEnd w:id="23"/>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366"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03 </w:t>
      </w:r>
      <w:r>
        <w:rPr>
          <w:rFonts w:ascii="Calibri" w:cs="Calibri" w:eastAsia="Calibri" w:hAnsi="Calibri"/>
          <w:sz w:val="31"/>
          <w:szCs w:val="31"/>
          <w:color w:val="E93BAC"/>
        </w:rPr>
        <w:t>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137400" cy="15036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7400" cy="1503680"/>
                    </a:xfrm>
                    <a:prstGeom prst="rect">
                      <a:avLst/>
                    </a:prstGeom>
                    <a:noFill/>
                  </pic:spPr>
                </pic:pic>
              </a:graphicData>
            </a:graphic>
          </wp:anchor>
        </w:drawing>
      </w:r>
    </w:p>
    <w:p>
      <w:pPr>
        <w:spacing w:after="0" w:line="303"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Excluding the impact on Credicorp’s balance sheet resultng from an accountng adjustment at BCP Bolivia, intended to refect the currency devaluaton, the evoluton of IEA and Funding presented the following dynamics:</w:t>
      </w:r>
    </w:p>
    <w:p>
      <w:pPr>
        <w:spacing w:after="0" w:line="211"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QoQ, IEA dropped 1.1% following a contracton in the investment balance, which was driven mainly by a reducton in the portolio of BCRP certfcates of deposits. Cash and due from banks also declined, following payment of an expired bond at BCP. Funding, in turn, dropped 0.8%, primarily on the back of a reducton in the balance for Bonds and, secondarily, due to a drop in BCRP instruments afer less liquidity was taken via this mechanism.</w:t>
      </w:r>
    </w:p>
    <w:p>
      <w:pPr>
        <w:spacing w:after="0" w:line="213"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YoY, IEA grew 4.1%, fueled by growth in the balance of Cash and due from banks, which peaked in 4Q24 due to high liquidity last year. Finally, funding increased 3.2%, fueled by growth in Deposits, which was led by low-cost deposits. Growth in the later was spurred by economic recovery and a consequent increase in transactonal actvity.</w:t>
      </w:r>
    </w:p>
    <w:p>
      <w:pPr>
        <w:spacing w:after="0" w:line="200" w:lineRule="exact"/>
        <w:rPr>
          <w:sz w:val="20"/>
          <w:szCs w:val="20"/>
          <w:color w:val="auto"/>
        </w:rPr>
      </w:pPr>
    </w:p>
    <w:p>
      <w:pPr>
        <w:spacing w:after="0" w:line="208"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As was the case in the frst quarter, our 2Q25 fgures refect the impact of a non-cash accountng adjustment. In March and June, Credicorp revalued BCP Bolivia’s Balance Sheet with exchange rates that beter refect the market exchange rate in that country. This led the book value of Credicorp’s total assets to decline 2.8% in June.</w:t>
      </w:r>
    </w:p>
    <w:p>
      <w:pPr>
        <w:spacing w:after="0" w:line="198" w:lineRule="exact"/>
        <w:rPr>
          <w:sz w:val="20"/>
          <w:szCs w:val="20"/>
          <w:color w:val="auto"/>
        </w:rPr>
      </w:pPr>
    </w:p>
    <w:p>
      <w:pPr>
        <w:spacing w:after="0"/>
        <w:rPr>
          <w:sz w:val="20"/>
          <w:szCs w:val="20"/>
          <w:color w:val="auto"/>
        </w:rPr>
      </w:pPr>
      <w:r>
        <w:rPr>
          <w:rFonts w:ascii="Calibri" w:cs="Calibri" w:eastAsia="Calibri" w:hAnsi="Calibri"/>
          <w:sz w:val="17"/>
          <w:szCs w:val="17"/>
          <w:color w:val="auto"/>
        </w:rPr>
        <w:t>The analysis of the evoluton of IEA and Funding will focus on the operatng dynamics, excluding the impact of the accountng adjustment.</w:t>
      </w:r>
    </w:p>
    <w:p>
      <w:pPr>
        <w:spacing w:after="0" w:line="196" w:lineRule="exact"/>
        <w:rPr>
          <w:sz w:val="20"/>
          <w:szCs w:val="20"/>
          <w:color w:val="auto"/>
        </w:rPr>
      </w:pPr>
    </w:p>
    <w:p>
      <w:pPr>
        <w:spacing w:after="0"/>
        <w:tabs>
          <w:tab w:leader="none" w:pos="420" w:val="left"/>
        </w:tabs>
        <w:rPr>
          <w:sz w:val="20"/>
          <w:szCs w:val="20"/>
          <w:color w:val="auto"/>
        </w:rPr>
      </w:pPr>
      <w:r>
        <w:rPr>
          <w:rFonts w:ascii="Calibri" w:cs="Calibri" w:eastAsia="Calibri" w:hAnsi="Calibri"/>
          <w:sz w:val="17"/>
          <w:szCs w:val="17"/>
          <w:b w:val="1"/>
          <w:bCs w:val="1"/>
          <w:color w:val="auto"/>
        </w:rPr>
        <w:t>3.1.</w:t>
        <w:tab/>
        <w:t>IEA</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8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6"/>
                <w:szCs w:val="16"/>
                <w:b w:val="1"/>
                <w:bCs w:val="1"/>
                <w:color w:val="FFFFFF"/>
              </w:rPr>
              <w:t>Interest earning assets</w:t>
            </w:r>
          </w:p>
        </w:tc>
        <w:tc>
          <w:tcPr>
            <w:tcW w:w="1120" w:type="dxa"/>
            <w:vAlign w:val="bottom"/>
            <w:tcBorders>
              <w:top w:val="single" w:sz="8" w:color="auto"/>
            </w:tcBorders>
            <w:shd w:val="clear" w:color="auto" w:fill="33CCCC"/>
          </w:tcPr>
          <w:p>
            <w:pPr>
              <w:spacing w:after="0"/>
              <w:rPr>
                <w:sz w:val="17"/>
                <w:szCs w:val="17"/>
                <w:color w:val="auto"/>
              </w:rPr>
            </w:pPr>
          </w:p>
        </w:tc>
        <w:tc>
          <w:tcPr>
            <w:tcW w:w="11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rPr>
              <w:t>As of</w:t>
            </w:r>
          </w:p>
        </w:tc>
        <w:tc>
          <w:tcPr>
            <w:tcW w:w="1160" w:type="dxa"/>
            <w:vAlign w:val="bottom"/>
            <w:tcBorders>
              <w:top w:val="single" w:sz="8" w:color="auto"/>
              <w:right w:val="single" w:sz="8" w:color="auto"/>
            </w:tcBorders>
            <w:shd w:val="clear" w:color="auto" w:fill="33CCCC"/>
          </w:tcPr>
          <w:p>
            <w:pPr>
              <w:spacing w:after="0"/>
              <w:rPr>
                <w:sz w:val="17"/>
                <w:szCs w:val="17"/>
                <w:color w:val="auto"/>
              </w:rPr>
            </w:pPr>
          </w:p>
        </w:tc>
        <w:tc>
          <w:tcPr>
            <w:tcW w:w="2020" w:type="dxa"/>
            <w:vAlign w:val="bottom"/>
            <w:tcBorders>
              <w:top w:val="single" w:sz="8" w:color="auto"/>
              <w:right w:val="single" w:sz="8" w:color="auto"/>
            </w:tcBorders>
            <w:gridSpan w:val="2"/>
            <w:shd w:val="clear" w:color="auto" w:fill="33CCCC"/>
          </w:tcPr>
          <w:p>
            <w:pPr>
              <w:ind w:left="700"/>
              <w:spacing w:after="0"/>
              <w:rPr>
                <w:sz w:val="20"/>
                <w:szCs w:val="20"/>
                <w:color w:val="auto"/>
              </w:rPr>
            </w:pPr>
            <w:r>
              <w:rPr>
                <w:rFonts w:ascii="Calibri" w:cs="Calibri" w:eastAsia="Calibri" w:hAnsi="Calibri"/>
                <w:sz w:val="16"/>
                <w:szCs w:val="16"/>
                <w:b w:val="1"/>
                <w:bCs w:val="1"/>
                <w:color w:val="FFFFFF"/>
              </w:rPr>
              <w:t>% change</w:t>
            </w:r>
          </w:p>
        </w:tc>
      </w:tr>
      <w:tr>
        <w:trPr>
          <w:trHeight w:val="210"/>
        </w:trPr>
        <w:tc>
          <w:tcPr>
            <w:tcW w:w="5820" w:type="dxa"/>
            <w:vAlign w:val="bottom"/>
            <w:tcBorders>
              <w:left w:val="single" w:sz="8" w:color="auto"/>
              <w:bottom w:val="single" w:sz="8" w:color="33CCCC"/>
              <w:right w:val="single" w:sz="8" w:color="auto"/>
            </w:tcBorders>
            <w:shd w:val="clear" w:color="auto" w:fill="33CCCC"/>
          </w:tcPr>
          <w:p>
            <w:pPr>
              <w:ind w:left="20"/>
              <w:spacing w:after="0" w:line="185" w:lineRule="exact"/>
              <w:rPr>
                <w:sz w:val="20"/>
                <w:szCs w:val="20"/>
                <w:color w:val="auto"/>
              </w:rPr>
            </w:pPr>
            <w:r>
              <w:rPr>
                <w:rFonts w:ascii="Calibri" w:cs="Calibri" w:eastAsia="Calibri" w:hAnsi="Calibri"/>
                <w:sz w:val="16"/>
                <w:szCs w:val="16"/>
                <w:b w:val="1"/>
                <w:bCs w:val="1"/>
                <w:color w:val="FFFFFF"/>
              </w:rPr>
              <w:t>S/000</w:t>
            </w:r>
          </w:p>
        </w:tc>
        <w:tc>
          <w:tcPr>
            <w:tcW w:w="1120" w:type="dxa"/>
            <w:vAlign w:val="bottom"/>
            <w:tcBorders>
              <w:bottom w:val="single" w:sz="8" w:color="33CCCC"/>
            </w:tcBorders>
            <w:shd w:val="clear" w:color="auto" w:fill="33CCCC"/>
          </w:tcPr>
          <w:p>
            <w:pPr>
              <w:ind w:left="340"/>
              <w:spacing w:after="0" w:line="185" w:lineRule="exact"/>
              <w:rPr>
                <w:sz w:val="20"/>
                <w:szCs w:val="20"/>
                <w:color w:val="auto"/>
              </w:rPr>
            </w:pPr>
            <w:r>
              <w:rPr>
                <w:rFonts w:ascii="Calibri" w:cs="Calibri" w:eastAsia="Calibri" w:hAnsi="Calibri"/>
                <w:sz w:val="16"/>
                <w:szCs w:val="16"/>
                <w:b w:val="1"/>
                <w:bCs w:val="1"/>
                <w:color w:val="FFFFFF"/>
              </w:rPr>
              <w:t>Jun 24</w:t>
            </w:r>
          </w:p>
        </w:tc>
        <w:tc>
          <w:tcPr>
            <w:tcW w:w="1140" w:type="dxa"/>
            <w:vAlign w:val="bottom"/>
            <w:tcBorders>
              <w:bottom w:val="single" w:sz="8" w:color="33CCCC"/>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6"/>
              </w:rPr>
              <w:t>Mar 25</w:t>
            </w:r>
          </w:p>
        </w:tc>
        <w:tc>
          <w:tcPr>
            <w:tcW w:w="1160" w:type="dxa"/>
            <w:vAlign w:val="bottom"/>
            <w:tcBorders>
              <w:bottom w:val="single" w:sz="8" w:color="33CCCC"/>
              <w:right w:val="single" w:sz="8" w:color="auto"/>
            </w:tcBorders>
            <w:shd w:val="clear" w:color="auto" w:fill="33CCCC"/>
          </w:tcPr>
          <w:p>
            <w:pPr>
              <w:ind w:left="360"/>
              <w:spacing w:after="0" w:line="185" w:lineRule="exact"/>
              <w:rPr>
                <w:sz w:val="20"/>
                <w:szCs w:val="20"/>
                <w:color w:val="auto"/>
              </w:rPr>
            </w:pPr>
            <w:r>
              <w:rPr>
                <w:rFonts w:ascii="Calibri" w:cs="Calibri" w:eastAsia="Calibri" w:hAnsi="Calibri"/>
                <w:sz w:val="16"/>
                <w:szCs w:val="16"/>
                <w:b w:val="1"/>
                <w:bCs w:val="1"/>
                <w:color w:val="FFFFFF"/>
              </w:rPr>
              <w:t>Jun 25</w:t>
            </w:r>
          </w:p>
        </w:tc>
        <w:tc>
          <w:tcPr>
            <w:tcW w:w="1000" w:type="dxa"/>
            <w:vAlign w:val="bottom"/>
            <w:tcBorders>
              <w:bottom w:val="single" w:sz="8" w:color="33CCCC"/>
            </w:tcBorders>
            <w:shd w:val="clear" w:color="auto" w:fill="33CCCC"/>
          </w:tcPr>
          <w:p>
            <w:pPr>
              <w:ind w:left="340"/>
              <w:spacing w:after="0" w:line="185" w:lineRule="exact"/>
              <w:rPr>
                <w:sz w:val="20"/>
                <w:szCs w:val="20"/>
                <w:color w:val="auto"/>
              </w:rPr>
            </w:pPr>
            <w:r>
              <w:rPr>
                <w:rFonts w:ascii="Calibri" w:cs="Calibri" w:eastAsia="Calibri" w:hAnsi="Calibri"/>
                <w:sz w:val="16"/>
                <w:szCs w:val="16"/>
                <w:b w:val="1"/>
                <w:bCs w:val="1"/>
                <w:color w:val="FFFFFF"/>
              </w:rPr>
              <w:t>QoQ</w:t>
            </w:r>
          </w:p>
        </w:tc>
        <w:tc>
          <w:tcPr>
            <w:tcW w:w="1020" w:type="dxa"/>
            <w:vAlign w:val="bottom"/>
            <w:tcBorders>
              <w:bottom w:val="single" w:sz="8" w:color="33CCCC"/>
              <w:right w:val="single" w:sz="8" w:color="auto"/>
            </w:tcBorders>
            <w:shd w:val="clear" w:color="auto" w:fill="33CCCC"/>
          </w:tcPr>
          <w:p>
            <w:pPr>
              <w:ind w:left="380"/>
              <w:spacing w:after="0" w:line="185" w:lineRule="exact"/>
              <w:rPr>
                <w:sz w:val="20"/>
                <w:szCs w:val="20"/>
                <w:color w:val="auto"/>
              </w:rPr>
            </w:pPr>
            <w:r>
              <w:rPr>
                <w:rFonts w:ascii="Calibri" w:cs="Calibri" w:eastAsia="Calibri" w:hAnsi="Calibri"/>
                <w:sz w:val="16"/>
                <w:szCs w:val="16"/>
                <w:b w:val="1"/>
                <w:bCs w:val="1"/>
                <w:color w:val="FFFFFF"/>
              </w:rPr>
              <w:t>YoY</w:t>
            </w:r>
          </w:p>
        </w:tc>
      </w:tr>
      <w:tr>
        <w:trPr>
          <w:trHeight w:val="171"/>
        </w:trPr>
        <w:tc>
          <w:tcPr>
            <w:tcW w:w="5820" w:type="dxa"/>
            <w:vAlign w:val="bottom"/>
            <w:tcBorders>
              <w:top w:val="single" w:sz="8" w:color="auto"/>
              <w:left w:val="single" w:sz="8" w:color="auto"/>
              <w:right w:val="single" w:sz="8" w:color="auto"/>
            </w:tcBorders>
          </w:tcPr>
          <w:p>
            <w:pPr>
              <w:ind w:left="20"/>
              <w:spacing w:after="0" w:line="171" w:lineRule="exact"/>
              <w:rPr>
                <w:sz w:val="20"/>
                <w:szCs w:val="20"/>
                <w:color w:val="auto"/>
              </w:rPr>
            </w:pPr>
            <w:r>
              <w:rPr>
                <w:rFonts w:ascii="Calibri" w:cs="Calibri" w:eastAsia="Calibri" w:hAnsi="Calibri"/>
                <w:sz w:val="16"/>
                <w:szCs w:val="16"/>
                <w:color w:val="auto"/>
              </w:rPr>
              <w:t>Cash and due from banks</w:t>
            </w:r>
          </w:p>
        </w:tc>
        <w:tc>
          <w:tcPr>
            <w:tcW w:w="112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5"/>
              </w:rPr>
              <w:t>27,157,901</w:t>
            </w:r>
          </w:p>
        </w:tc>
        <w:tc>
          <w:tcPr>
            <w:tcW w:w="114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5"/>
              </w:rPr>
              <w:t>37,521,839</w:t>
            </w:r>
          </w:p>
        </w:tc>
        <w:tc>
          <w:tcPr>
            <w:tcW w:w="116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8"/>
              </w:rPr>
              <w:t>34,206,000</w:t>
            </w:r>
          </w:p>
        </w:tc>
        <w:tc>
          <w:tcPr>
            <w:tcW w:w="100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8"/>
              </w:rPr>
              <w:t>-8.8%</w:t>
            </w:r>
          </w:p>
        </w:tc>
        <w:tc>
          <w:tcPr>
            <w:tcW w:w="102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5"/>
              </w:rPr>
              <w:t>26.0%</w:t>
            </w:r>
          </w:p>
        </w:tc>
      </w:tr>
      <w:tr>
        <w:trPr>
          <w:trHeight w:val="185"/>
        </w:trPr>
        <w:tc>
          <w:tcPr>
            <w:tcW w:w="5820" w:type="dxa"/>
            <w:vAlign w:val="bottom"/>
            <w:tcBorders>
              <w:left w:val="single" w:sz="8" w:color="auto"/>
              <w:right w:val="single" w:sz="8" w:color="auto"/>
            </w:tcBorders>
          </w:tcPr>
          <w:p>
            <w:pPr>
              <w:ind w:left="20"/>
              <w:spacing w:after="0" w:line="185" w:lineRule="exact"/>
              <w:rPr>
                <w:sz w:val="20"/>
                <w:szCs w:val="20"/>
                <w:color w:val="auto"/>
              </w:rPr>
            </w:pPr>
            <w:r>
              <w:rPr>
                <w:rFonts w:ascii="Calibri" w:cs="Calibri" w:eastAsia="Calibri" w:hAnsi="Calibri"/>
                <w:sz w:val="16"/>
                <w:szCs w:val="16"/>
                <w:color w:val="auto"/>
              </w:rPr>
              <w:t>Total investments</w:t>
            </w:r>
          </w:p>
        </w:tc>
        <w:tc>
          <w:tcPr>
            <w:tcW w:w="1120" w:type="dxa"/>
            <w:vAlign w:val="bottom"/>
          </w:tcPr>
          <w:p>
            <w:pPr>
              <w:jc w:val="center"/>
              <w:spacing w:after="0" w:line="185" w:lineRule="exact"/>
              <w:rPr>
                <w:sz w:val="20"/>
                <w:szCs w:val="20"/>
                <w:color w:val="auto"/>
              </w:rPr>
            </w:pPr>
            <w:r>
              <w:rPr>
                <w:rFonts w:ascii="Calibri" w:cs="Calibri" w:eastAsia="Calibri" w:hAnsi="Calibri"/>
                <w:sz w:val="16"/>
                <w:szCs w:val="16"/>
                <w:color w:val="auto"/>
                <w:w w:val="95"/>
              </w:rPr>
              <w:t>52,426,146</w:t>
            </w:r>
          </w:p>
        </w:tc>
        <w:tc>
          <w:tcPr>
            <w:tcW w:w="1140" w:type="dxa"/>
            <w:vAlign w:val="bottom"/>
          </w:tcPr>
          <w:p>
            <w:pPr>
              <w:jc w:val="center"/>
              <w:spacing w:after="0" w:line="185" w:lineRule="exact"/>
              <w:rPr>
                <w:sz w:val="20"/>
                <w:szCs w:val="20"/>
                <w:color w:val="auto"/>
              </w:rPr>
            </w:pPr>
            <w:r>
              <w:rPr>
                <w:rFonts w:ascii="Calibri" w:cs="Calibri" w:eastAsia="Calibri" w:hAnsi="Calibri"/>
                <w:sz w:val="16"/>
                <w:szCs w:val="16"/>
                <w:color w:val="auto"/>
                <w:w w:val="95"/>
              </w:rPr>
              <w:t>55,604,610</w:t>
            </w:r>
          </w:p>
        </w:tc>
        <w:tc>
          <w:tcPr>
            <w:tcW w:w="11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8"/>
              </w:rPr>
              <w:t>51,603,447</w:t>
            </w:r>
          </w:p>
        </w:tc>
        <w:tc>
          <w:tcPr>
            <w:tcW w:w="100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-7.2%</w:t>
            </w:r>
          </w:p>
        </w:tc>
        <w:tc>
          <w:tcPr>
            <w:tcW w:w="10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2"/>
              </w:rPr>
              <w:t>-1.6%</w:t>
            </w:r>
          </w:p>
        </w:tc>
      </w:tr>
      <w:tr>
        <w:trPr>
          <w:trHeight w:val="195"/>
        </w:trPr>
        <w:tc>
          <w:tcPr>
            <w:tcW w:w="58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Cash collateral, reverse repurchase agreements and securites borrowing</w:t>
            </w:r>
          </w:p>
        </w:tc>
        <w:tc>
          <w:tcPr>
            <w:tcW w:w="1120" w:type="dxa"/>
            <w:vAlign w:val="bottom"/>
          </w:tcPr>
          <w:p>
            <w:pPr>
              <w:jc w:val="center"/>
              <w:spacing w:after="0"/>
              <w:rPr>
                <w:sz w:val="20"/>
                <w:szCs w:val="20"/>
                <w:color w:val="auto"/>
              </w:rPr>
            </w:pPr>
            <w:r>
              <w:rPr>
                <w:rFonts w:ascii="Calibri" w:cs="Calibri" w:eastAsia="Calibri" w:hAnsi="Calibri"/>
                <w:sz w:val="16"/>
                <w:szCs w:val="16"/>
                <w:color w:val="auto"/>
                <w:w w:val="95"/>
              </w:rPr>
              <w:t>1,777,491</w:t>
            </w:r>
          </w:p>
        </w:tc>
        <w:tc>
          <w:tcPr>
            <w:tcW w:w="1140" w:type="dxa"/>
            <w:vAlign w:val="bottom"/>
          </w:tcPr>
          <w:p>
            <w:pPr>
              <w:jc w:val="center"/>
              <w:spacing w:after="0"/>
              <w:rPr>
                <w:sz w:val="20"/>
                <w:szCs w:val="20"/>
                <w:color w:val="auto"/>
              </w:rPr>
            </w:pPr>
            <w:r>
              <w:rPr>
                <w:rFonts w:ascii="Calibri" w:cs="Calibri" w:eastAsia="Calibri" w:hAnsi="Calibri"/>
                <w:sz w:val="16"/>
                <w:szCs w:val="16"/>
                <w:color w:val="auto"/>
                <w:w w:val="95"/>
              </w:rPr>
              <w:t>1,835,893</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4,593,501</w:t>
            </w:r>
          </w:p>
        </w:tc>
        <w:tc>
          <w:tcPr>
            <w:tcW w:w="1000" w:type="dxa"/>
            <w:vAlign w:val="bottom"/>
          </w:tcPr>
          <w:p>
            <w:pPr>
              <w:jc w:val="center"/>
              <w:spacing w:after="0"/>
              <w:rPr>
                <w:sz w:val="20"/>
                <w:szCs w:val="20"/>
                <w:color w:val="auto"/>
              </w:rPr>
            </w:pPr>
            <w:r>
              <w:rPr>
                <w:rFonts w:ascii="Calibri" w:cs="Calibri" w:eastAsia="Calibri" w:hAnsi="Calibri"/>
                <w:sz w:val="16"/>
                <w:szCs w:val="16"/>
                <w:color w:val="auto"/>
                <w:w w:val="95"/>
              </w:rPr>
              <w:t>150.2%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5"/>
              </w:rPr>
              <w:t>158.4%</w:t>
            </w:r>
          </w:p>
        </w:tc>
      </w:tr>
      <w:tr>
        <w:trPr>
          <w:trHeight w:val="195"/>
        </w:trPr>
        <w:tc>
          <w:tcPr>
            <w:tcW w:w="58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Loans</w:t>
            </w:r>
          </w:p>
        </w:tc>
        <w:tc>
          <w:tcPr>
            <w:tcW w:w="1120" w:type="dxa"/>
            <w:vAlign w:val="bottom"/>
          </w:tcPr>
          <w:p>
            <w:pPr>
              <w:jc w:val="center"/>
              <w:spacing w:after="0"/>
              <w:rPr>
                <w:sz w:val="20"/>
                <w:szCs w:val="20"/>
                <w:color w:val="auto"/>
              </w:rPr>
            </w:pPr>
            <w:r>
              <w:rPr>
                <w:rFonts w:ascii="Calibri" w:cs="Calibri" w:eastAsia="Calibri" w:hAnsi="Calibri"/>
                <w:sz w:val="16"/>
                <w:szCs w:val="16"/>
                <w:color w:val="auto"/>
                <w:w w:val="96"/>
              </w:rPr>
              <w:t>146,946,546</w:t>
            </w:r>
          </w:p>
        </w:tc>
        <w:tc>
          <w:tcPr>
            <w:tcW w:w="1140" w:type="dxa"/>
            <w:vAlign w:val="bottom"/>
          </w:tcPr>
          <w:p>
            <w:pPr>
              <w:jc w:val="center"/>
              <w:spacing w:after="0"/>
              <w:rPr>
                <w:sz w:val="20"/>
                <w:szCs w:val="20"/>
                <w:color w:val="auto"/>
              </w:rPr>
            </w:pPr>
            <w:r>
              <w:rPr>
                <w:rFonts w:ascii="Calibri" w:cs="Calibri" w:eastAsia="Calibri" w:hAnsi="Calibri"/>
                <w:sz w:val="16"/>
                <w:szCs w:val="16"/>
                <w:color w:val="auto"/>
                <w:w w:val="96"/>
              </w:rPr>
              <w:t>141,196,646</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140,961,978</w:t>
            </w:r>
          </w:p>
        </w:tc>
        <w:tc>
          <w:tcPr>
            <w:tcW w:w="1000" w:type="dxa"/>
            <w:vAlign w:val="bottom"/>
          </w:tcPr>
          <w:p>
            <w:pPr>
              <w:jc w:val="center"/>
              <w:spacing w:after="0"/>
              <w:rPr>
                <w:sz w:val="20"/>
                <w:szCs w:val="20"/>
                <w:color w:val="auto"/>
              </w:rPr>
            </w:pPr>
            <w:r>
              <w:rPr>
                <w:rFonts w:ascii="Calibri" w:cs="Calibri" w:eastAsia="Calibri" w:hAnsi="Calibri"/>
                <w:sz w:val="16"/>
                <w:szCs w:val="16"/>
                <w:color w:val="auto"/>
                <w:w w:val="98"/>
              </w:rPr>
              <w:t>-0.2%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2"/>
              </w:rPr>
              <w:t>-4.1%</w:t>
            </w:r>
          </w:p>
        </w:tc>
      </w:tr>
      <w:tr>
        <w:trPr>
          <w:trHeight w:val="27"/>
        </w:trPr>
        <w:tc>
          <w:tcPr>
            <w:tcW w:w="582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83"/>
        </w:trPr>
        <w:tc>
          <w:tcPr>
            <w:tcW w:w="5820" w:type="dxa"/>
            <w:vAlign w:val="bottom"/>
            <w:tcBorders>
              <w:left w:val="single" w:sz="8" w:color="auto"/>
              <w:bottom w:val="single" w:sz="8" w:color="auto"/>
              <w:right w:val="single" w:sz="8" w:color="auto"/>
            </w:tcBorders>
          </w:tcPr>
          <w:p>
            <w:pPr>
              <w:ind w:left="20"/>
              <w:spacing w:after="0" w:line="184" w:lineRule="exact"/>
              <w:rPr>
                <w:sz w:val="20"/>
                <w:szCs w:val="20"/>
                <w:color w:val="auto"/>
              </w:rPr>
            </w:pPr>
            <w:r>
              <w:rPr>
                <w:rFonts w:ascii="Calibri" w:cs="Calibri" w:eastAsia="Calibri" w:hAnsi="Calibri"/>
                <w:sz w:val="16"/>
                <w:szCs w:val="16"/>
                <w:b w:val="1"/>
                <w:bCs w:val="1"/>
                <w:color w:val="auto"/>
              </w:rPr>
              <w:t>Total interest earning assets</w:t>
            </w:r>
          </w:p>
        </w:tc>
        <w:tc>
          <w:tcPr>
            <w:tcW w:w="112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5"/>
              </w:rPr>
              <w:t>228,308,084</w:t>
            </w:r>
          </w:p>
        </w:tc>
        <w:tc>
          <w:tcPr>
            <w:tcW w:w="114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5"/>
              </w:rPr>
              <w:t>236,158,988</w:t>
            </w:r>
          </w:p>
        </w:tc>
        <w:tc>
          <w:tcPr>
            <w:tcW w:w="116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8"/>
              </w:rPr>
              <w:t>231,364,926</w:t>
            </w:r>
          </w:p>
        </w:tc>
        <w:tc>
          <w:tcPr>
            <w:tcW w:w="100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7"/>
              </w:rPr>
              <w:t>-2.0%</w:t>
            </w:r>
          </w:p>
        </w:tc>
        <w:tc>
          <w:tcPr>
            <w:tcW w:w="102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3"/>
              </w:rPr>
              <w:t>1.3%</w:t>
            </w:r>
          </w:p>
        </w:tc>
      </w:tr>
    </w:tbl>
    <w:p>
      <w:pPr>
        <w:spacing w:after="0" w:line="173" w:lineRule="exact"/>
        <w:rPr>
          <w:sz w:val="20"/>
          <w:szCs w:val="20"/>
          <w:color w:val="auto"/>
        </w:rPr>
      </w:pPr>
    </w:p>
    <w:p>
      <w:pPr>
        <w:spacing w:after="0"/>
        <w:rPr>
          <w:sz w:val="20"/>
          <w:szCs w:val="20"/>
          <w:color w:val="auto"/>
        </w:rPr>
      </w:pPr>
      <w:r>
        <w:rPr>
          <w:rFonts w:ascii="Calibri" w:cs="Calibri" w:eastAsia="Calibri" w:hAnsi="Calibri"/>
          <w:sz w:val="17"/>
          <w:szCs w:val="17"/>
          <w:color w:val="auto"/>
        </w:rPr>
        <w:t>IEA dropped 2.0% QoQ and rose 1.3% YoY. If we exclude the efect of the accountng adjustment for BCP Bolivia, IEA followed the following dynamics:</w:t>
      </w:r>
    </w:p>
    <w:p>
      <w:pPr>
        <w:spacing w:after="0" w:line="210"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QoQ, IEA dropped 1.1%. This evoluton was driven primarily by a reducton in the Investment balance, which was impacted by the expiraton and non-renewal of BCRP certfcates of deposits (BCRP CD), and secondarily by a decrease in Cash and due from banks afer funds from this account were used to pay the expiraton of a subordinated bond at BCP. These dynamics were partally ofset by an increase in Cash collateral, reverse repurchase agreements and securites borrowing, which rose on the back of an investment strategy at Credicorp Capital Colombia.</w:t>
      </w:r>
    </w:p>
    <w:p>
      <w:pPr>
        <w:spacing w:after="0" w:line="222" w:lineRule="exact"/>
        <w:rPr>
          <w:sz w:val="20"/>
          <w:szCs w:val="20"/>
          <w:color w:val="auto"/>
        </w:rPr>
      </w:pPr>
    </w:p>
    <w:p>
      <w:pPr>
        <w:spacing w:after="0"/>
        <w:rPr>
          <w:sz w:val="20"/>
          <w:szCs w:val="20"/>
          <w:color w:val="auto"/>
        </w:rPr>
      </w:pPr>
      <w:r>
        <w:rPr>
          <w:rFonts w:ascii="Calibri" w:cs="Calibri" w:eastAsia="Calibri" w:hAnsi="Calibri"/>
          <w:sz w:val="17"/>
          <w:szCs w:val="17"/>
          <w:color w:val="auto"/>
        </w:rPr>
        <w:t>YoY, IEA increased 4.1%, fueled mainly by a higher balance of Cash and due from banks due to: i) growth in transactonal actvity and</w:t>
      </w:r>
    </w:p>
    <w:p>
      <w:pPr>
        <w:spacing w:after="0" w:line="2" w:lineRule="exact"/>
        <w:rPr>
          <w:sz w:val="20"/>
          <w:szCs w:val="20"/>
          <w:color w:val="auto"/>
        </w:rPr>
      </w:pPr>
    </w:p>
    <w:p>
      <w:pPr>
        <w:jc w:val="both"/>
        <w:ind w:firstLine="4"/>
        <w:spacing w:after="0" w:line="239" w:lineRule="auto"/>
        <w:tabs>
          <w:tab w:leader="none" w:pos="178"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high levels of market liquidity partally due to the positve shock of withdrawals from AFP funds in 2024. To a lesser extent, Cash collateral, reverse repurchase agreements and securites borrowing contributed to IEA growth due to the same strategy described in the QoQ analysis. Loans, in turn, negatvely impacted IEA growth due to the contracton in BCP Bolivia’s balances (excluding the exchange rate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842010</wp:posOffset>
            </wp:positionV>
            <wp:extent cx="713740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140335</wp:posOffset>
            </wp:positionV>
            <wp:extent cx="6517640" cy="5619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17640" cy="56197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4" w:name="page25"/>
    <w:bookmarkEnd w:id="24"/>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03. Interest-earning Assets (IEA) and Funding</w:t>
      </w:r>
    </w:p>
    <w:p>
      <w:pPr>
        <w:spacing w:after="0" w:line="251" w:lineRule="exact"/>
        <w:rPr>
          <w:sz w:val="20"/>
          <w:szCs w:val="20"/>
          <w:color w:val="auto"/>
        </w:rPr>
      </w:pPr>
    </w:p>
    <w:p>
      <w:pPr>
        <w:spacing w:after="0"/>
        <w:tabs>
          <w:tab w:leader="none" w:pos="420" w:val="left"/>
        </w:tabs>
        <w:rPr>
          <w:sz w:val="20"/>
          <w:szCs w:val="20"/>
          <w:color w:val="auto"/>
        </w:rPr>
      </w:pPr>
      <w:r>
        <w:rPr>
          <w:rFonts w:ascii="Calibri" w:cs="Calibri" w:eastAsia="Calibri" w:hAnsi="Calibri"/>
          <w:sz w:val="17"/>
          <w:szCs w:val="17"/>
          <w:b w:val="1"/>
          <w:bCs w:val="1"/>
          <w:color w:val="auto"/>
        </w:rPr>
        <w:t>3.2.</w:t>
        <w:tab/>
        <w:t>Funding</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64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6"/>
                <w:szCs w:val="16"/>
                <w:b w:val="1"/>
                <w:bCs w:val="1"/>
                <w:color w:val="FFFFFF"/>
              </w:rPr>
              <w:t>Funding</w:t>
            </w:r>
          </w:p>
        </w:tc>
        <w:tc>
          <w:tcPr>
            <w:tcW w:w="1300" w:type="dxa"/>
            <w:vAlign w:val="bottom"/>
            <w:tcBorders>
              <w:top w:val="single" w:sz="8" w:color="auto"/>
            </w:tcBorders>
            <w:shd w:val="clear" w:color="auto" w:fill="33CCCC"/>
          </w:tcPr>
          <w:p>
            <w:pPr>
              <w:spacing w:after="0"/>
              <w:rPr>
                <w:sz w:val="17"/>
                <w:szCs w:val="17"/>
                <w:color w:val="auto"/>
              </w:rPr>
            </w:pPr>
          </w:p>
        </w:tc>
        <w:tc>
          <w:tcPr>
            <w:tcW w:w="132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w w:val="95"/>
              </w:rPr>
              <w:t>As of</w:t>
            </w:r>
          </w:p>
        </w:tc>
        <w:tc>
          <w:tcPr>
            <w:tcW w:w="1360" w:type="dxa"/>
            <w:vAlign w:val="bottom"/>
            <w:tcBorders>
              <w:top w:val="single" w:sz="8" w:color="auto"/>
              <w:right w:val="single" w:sz="8" w:color="auto"/>
            </w:tcBorders>
            <w:shd w:val="clear" w:color="auto" w:fill="33CCCC"/>
          </w:tcPr>
          <w:p>
            <w:pPr>
              <w:spacing w:after="0"/>
              <w:rPr>
                <w:sz w:val="17"/>
                <w:szCs w:val="17"/>
                <w:color w:val="auto"/>
              </w:rPr>
            </w:pPr>
          </w:p>
        </w:tc>
        <w:tc>
          <w:tcPr>
            <w:tcW w:w="920" w:type="dxa"/>
            <w:vAlign w:val="bottom"/>
            <w:tcBorders>
              <w:top w:val="single" w:sz="8" w:color="auto"/>
            </w:tcBorders>
            <w:shd w:val="clear" w:color="auto" w:fill="33CCCC"/>
          </w:tcPr>
          <w:p>
            <w:pPr>
              <w:spacing w:after="0"/>
              <w:rPr>
                <w:sz w:val="17"/>
                <w:szCs w:val="17"/>
                <w:color w:val="auto"/>
              </w:rPr>
            </w:pPr>
          </w:p>
        </w:tc>
        <w:tc>
          <w:tcPr>
            <w:tcW w:w="172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6"/>
                <w:szCs w:val="16"/>
                <w:b w:val="1"/>
                <w:bCs w:val="1"/>
                <w:color w:val="FFFFFF"/>
              </w:rPr>
              <w:t>% change</w:t>
            </w:r>
          </w:p>
        </w:tc>
      </w:tr>
      <w:tr>
        <w:trPr>
          <w:trHeight w:val="210"/>
        </w:trPr>
        <w:tc>
          <w:tcPr>
            <w:tcW w:w="4640" w:type="dxa"/>
            <w:vAlign w:val="bottom"/>
            <w:tcBorders>
              <w:left w:val="single" w:sz="8" w:color="auto"/>
              <w:bottom w:val="single" w:sz="8" w:color="33CCCC"/>
              <w:right w:val="single" w:sz="8" w:color="auto"/>
            </w:tcBorders>
            <w:shd w:val="clear" w:color="auto" w:fill="33CCCC"/>
          </w:tcPr>
          <w:p>
            <w:pPr>
              <w:ind w:left="20"/>
              <w:spacing w:after="0" w:line="185" w:lineRule="exact"/>
              <w:rPr>
                <w:sz w:val="20"/>
                <w:szCs w:val="20"/>
                <w:color w:val="auto"/>
              </w:rPr>
            </w:pPr>
            <w:r>
              <w:rPr>
                <w:rFonts w:ascii="Calibri" w:cs="Calibri" w:eastAsia="Calibri" w:hAnsi="Calibri"/>
                <w:sz w:val="16"/>
                <w:szCs w:val="16"/>
                <w:b w:val="1"/>
                <w:bCs w:val="1"/>
                <w:color w:val="FFFFFF"/>
              </w:rPr>
              <w:t>S/ 000</w:t>
            </w:r>
          </w:p>
        </w:tc>
        <w:tc>
          <w:tcPr>
            <w:tcW w:w="1300" w:type="dxa"/>
            <w:vAlign w:val="bottom"/>
            <w:tcBorders>
              <w:bottom w:val="single" w:sz="8" w:color="33CCCC"/>
            </w:tcBorders>
            <w:shd w:val="clear" w:color="auto" w:fill="33CCCC"/>
          </w:tcPr>
          <w:p>
            <w:pPr>
              <w:ind w:left="440"/>
              <w:spacing w:after="0" w:line="185" w:lineRule="exact"/>
              <w:rPr>
                <w:sz w:val="20"/>
                <w:szCs w:val="20"/>
                <w:color w:val="auto"/>
              </w:rPr>
            </w:pPr>
            <w:r>
              <w:rPr>
                <w:rFonts w:ascii="Calibri" w:cs="Calibri" w:eastAsia="Calibri" w:hAnsi="Calibri"/>
                <w:sz w:val="16"/>
                <w:szCs w:val="16"/>
                <w:b w:val="1"/>
                <w:bCs w:val="1"/>
                <w:color w:val="FFFFFF"/>
              </w:rPr>
              <w:t>Jun 24</w:t>
            </w:r>
          </w:p>
        </w:tc>
        <w:tc>
          <w:tcPr>
            <w:tcW w:w="1320" w:type="dxa"/>
            <w:vAlign w:val="bottom"/>
            <w:tcBorders>
              <w:bottom w:val="single" w:sz="8" w:color="33CCCC"/>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rPr>
              <w:t>Mar 25</w:t>
            </w:r>
          </w:p>
        </w:tc>
        <w:tc>
          <w:tcPr>
            <w:tcW w:w="1360" w:type="dxa"/>
            <w:vAlign w:val="bottom"/>
            <w:tcBorders>
              <w:bottom w:val="single" w:sz="8" w:color="33CCCC"/>
              <w:right w:val="single" w:sz="8" w:color="auto"/>
            </w:tcBorders>
            <w:shd w:val="clear" w:color="auto" w:fill="33CCCC"/>
          </w:tcPr>
          <w:p>
            <w:pPr>
              <w:ind w:left="460"/>
              <w:spacing w:after="0" w:line="185" w:lineRule="exact"/>
              <w:rPr>
                <w:sz w:val="20"/>
                <w:szCs w:val="20"/>
                <w:color w:val="auto"/>
              </w:rPr>
            </w:pPr>
            <w:r>
              <w:rPr>
                <w:rFonts w:ascii="Calibri" w:cs="Calibri" w:eastAsia="Calibri" w:hAnsi="Calibri"/>
                <w:sz w:val="16"/>
                <w:szCs w:val="16"/>
                <w:b w:val="1"/>
                <w:bCs w:val="1"/>
                <w:color w:val="FFFFFF"/>
              </w:rPr>
              <w:t>Jun 25</w:t>
            </w:r>
          </w:p>
        </w:tc>
        <w:tc>
          <w:tcPr>
            <w:tcW w:w="920" w:type="dxa"/>
            <w:vAlign w:val="bottom"/>
            <w:tcBorders>
              <w:bottom w:val="single" w:sz="8" w:color="33CCCC"/>
            </w:tcBorders>
            <w:shd w:val="clear" w:color="auto" w:fill="33CCCC"/>
          </w:tcPr>
          <w:p>
            <w:pPr>
              <w:ind w:left="480"/>
              <w:spacing w:after="0" w:line="185" w:lineRule="exact"/>
              <w:rPr>
                <w:sz w:val="20"/>
                <w:szCs w:val="20"/>
                <w:color w:val="auto"/>
              </w:rPr>
            </w:pPr>
            <w:r>
              <w:rPr>
                <w:rFonts w:ascii="Calibri" w:cs="Calibri" w:eastAsia="Calibri" w:hAnsi="Calibri"/>
                <w:sz w:val="16"/>
                <w:szCs w:val="16"/>
                <w:b w:val="1"/>
                <w:bCs w:val="1"/>
                <w:color w:val="FFFFFF"/>
              </w:rPr>
              <w:t>QoQ</w:t>
            </w:r>
          </w:p>
        </w:tc>
        <w:tc>
          <w:tcPr>
            <w:tcW w:w="1720" w:type="dxa"/>
            <w:vAlign w:val="bottom"/>
            <w:tcBorders>
              <w:bottom w:val="single" w:sz="8" w:color="33CCCC"/>
              <w:right w:val="single" w:sz="8" w:color="auto"/>
            </w:tcBorders>
            <w:shd w:val="clear" w:color="auto" w:fill="33CCCC"/>
          </w:tcPr>
          <w:p>
            <w:pPr>
              <w:ind w:left="920"/>
              <w:spacing w:after="0" w:line="185" w:lineRule="exact"/>
              <w:rPr>
                <w:sz w:val="20"/>
                <w:szCs w:val="20"/>
                <w:color w:val="auto"/>
              </w:rPr>
            </w:pPr>
            <w:r>
              <w:rPr>
                <w:rFonts w:ascii="Calibri" w:cs="Calibri" w:eastAsia="Calibri" w:hAnsi="Calibri"/>
                <w:sz w:val="16"/>
                <w:szCs w:val="16"/>
                <w:b w:val="1"/>
                <w:bCs w:val="1"/>
                <w:color w:val="FFFFFF"/>
              </w:rPr>
              <w:t>YoY</w:t>
            </w:r>
          </w:p>
        </w:tc>
      </w:tr>
      <w:tr>
        <w:trPr>
          <w:trHeight w:val="171"/>
        </w:trPr>
        <w:tc>
          <w:tcPr>
            <w:tcW w:w="4640" w:type="dxa"/>
            <w:vAlign w:val="bottom"/>
            <w:tcBorders>
              <w:top w:val="single" w:sz="8" w:color="auto"/>
              <w:left w:val="single" w:sz="8" w:color="auto"/>
              <w:right w:val="single" w:sz="8" w:color="auto"/>
            </w:tcBorders>
          </w:tcPr>
          <w:p>
            <w:pPr>
              <w:ind w:left="20"/>
              <w:spacing w:after="0" w:line="171" w:lineRule="exact"/>
              <w:rPr>
                <w:sz w:val="20"/>
                <w:szCs w:val="20"/>
                <w:color w:val="auto"/>
              </w:rPr>
            </w:pPr>
            <w:r>
              <w:rPr>
                <w:rFonts w:ascii="Calibri" w:cs="Calibri" w:eastAsia="Calibri" w:hAnsi="Calibri"/>
                <w:sz w:val="16"/>
                <w:szCs w:val="16"/>
                <w:color w:val="auto"/>
              </w:rPr>
              <w:t>Deposits and obligatons</w:t>
            </w:r>
          </w:p>
        </w:tc>
        <w:tc>
          <w:tcPr>
            <w:tcW w:w="130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6"/>
              </w:rPr>
              <w:t>151,971,984</w:t>
            </w:r>
          </w:p>
        </w:tc>
        <w:tc>
          <w:tcPr>
            <w:tcW w:w="132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8"/>
              </w:rPr>
              <w:t>157,619,082</w:t>
            </w:r>
          </w:p>
        </w:tc>
        <w:tc>
          <w:tcPr>
            <w:tcW w:w="136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6"/>
              </w:rPr>
              <w:t>154,723,334</w:t>
            </w:r>
          </w:p>
        </w:tc>
        <w:tc>
          <w:tcPr>
            <w:tcW w:w="920" w:type="dxa"/>
            <w:vAlign w:val="bottom"/>
            <w:tcBorders>
              <w:top w:val="single" w:sz="8" w:color="auto"/>
            </w:tcBorders>
          </w:tcPr>
          <w:p>
            <w:pPr>
              <w:jc w:val="center"/>
              <w:ind w:left="282"/>
              <w:spacing w:after="0" w:line="171" w:lineRule="exact"/>
              <w:rPr>
                <w:sz w:val="20"/>
                <w:szCs w:val="20"/>
                <w:color w:val="auto"/>
              </w:rPr>
            </w:pPr>
            <w:r>
              <w:rPr>
                <w:rFonts w:ascii="Calibri" w:cs="Calibri" w:eastAsia="Calibri" w:hAnsi="Calibri"/>
                <w:sz w:val="16"/>
                <w:szCs w:val="16"/>
                <w:color w:val="auto"/>
                <w:w w:val="98"/>
              </w:rPr>
              <w:t>-1.8%</w:t>
            </w:r>
          </w:p>
        </w:tc>
        <w:tc>
          <w:tcPr>
            <w:tcW w:w="1720" w:type="dxa"/>
            <w:vAlign w:val="bottom"/>
            <w:tcBorders>
              <w:top w:val="single" w:sz="8" w:color="auto"/>
              <w:right w:val="single" w:sz="8" w:color="auto"/>
            </w:tcBorders>
          </w:tcPr>
          <w:p>
            <w:pPr>
              <w:jc w:val="center"/>
              <w:ind w:left="262"/>
              <w:spacing w:after="0" w:line="171" w:lineRule="exact"/>
              <w:rPr>
                <w:sz w:val="20"/>
                <w:szCs w:val="20"/>
                <w:color w:val="auto"/>
              </w:rPr>
            </w:pPr>
            <w:r>
              <w:rPr>
                <w:rFonts w:ascii="Calibri" w:cs="Calibri" w:eastAsia="Calibri" w:hAnsi="Calibri"/>
                <w:sz w:val="16"/>
                <w:szCs w:val="16"/>
                <w:color w:val="auto"/>
                <w:w w:val="94"/>
              </w:rPr>
              <w:t>1.8%</w:t>
            </w:r>
          </w:p>
        </w:tc>
      </w:tr>
      <w:tr>
        <w:trPr>
          <w:trHeight w:val="185"/>
        </w:trPr>
        <w:tc>
          <w:tcPr>
            <w:tcW w:w="4640" w:type="dxa"/>
            <w:vAlign w:val="bottom"/>
            <w:tcBorders>
              <w:left w:val="single" w:sz="8" w:color="auto"/>
              <w:right w:val="single" w:sz="8" w:color="auto"/>
            </w:tcBorders>
          </w:tcPr>
          <w:p>
            <w:pPr>
              <w:ind w:left="20"/>
              <w:spacing w:after="0" w:line="185" w:lineRule="exact"/>
              <w:rPr>
                <w:sz w:val="20"/>
                <w:szCs w:val="20"/>
                <w:color w:val="auto"/>
              </w:rPr>
            </w:pPr>
            <w:r>
              <w:rPr>
                <w:rFonts w:ascii="Calibri" w:cs="Calibri" w:eastAsia="Calibri" w:hAnsi="Calibri"/>
                <w:sz w:val="16"/>
                <w:szCs w:val="16"/>
                <w:color w:val="auto"/>
              </w:rPr>
              <w:t>Due to banks and correspondents</w:t>
            </w:r>
          </w:p>
        </w:tc>
        <w:tc>
          <w:tcPr>
            <w:tcW w:w="1300" w:type="dxa"/>
            <w:vAlign w:val="bottom"/>
          </w:tcPr>
          <w:p>
            <w:pPr>
              <w:jc w:val="center"/>
              <w:spacing w:after="0" w:line="185" w:lineRule="exact"/>
              <w:rPr>
                <w:sz w:val="20"/>
                <w:szCs w:val="20"/>
                <w:color w:val="auto"/>
              </w:rPr>
            </w:pPr>
            <w:r>
              <w:rPr>
                <w:rFonts w:ascii="Calibri" w:cs="Calibri" w:eastAsia="Calibri" w:hAnsi="Calibri"/>
                <w:sz w:val="16"/>
                <w:szCs w:val="16"/>
                <w:color w:val="auto"/>
                <w:w w:val="95"/>
              </w:rPr>
              <w:t>12,620,346</w:t>
            </w:r>
          </w:p>
        </w:tc>
        <w:tc>
          <w:tcPr>
            <w:tcW w:w="132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10,899,579</w:t>
            </w:r>
          </w:p>
        </w:tc>
        <w:tc>
          <w:tcPr>
            <w:tcW w:w="13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5"/>
              </w:rPr>
              <w:t>11,152,813</w:t>
            </w:r>
          </w:p>
        </w:tc>
        <w:tc>
          <w:tcPr>
            <w:tcW w:w="920" w:type="dxa"/>
            <w:vAlign w:val="bottom"/>
          </w:tcPr>
          <w:p>
            <w:pPr>
              <w:jc w:val="center"/>
              <w:ind w:left="262"/>
              <w:spacing w:after="0" w:line="185" w:lineRule="exact"/>
              <w:rPr>
                <w:sz w:val="20"/>
                <w:szCs w:val="20"/>
                <w:color w:val="auto"/>
              </w:rPr>
            </w:pPr>
            <w:r>
              <w:rPr>
                <w:rFonts w:ascii="Calibri" w:cs="Calibri" w:eastAsia="Calibri" w:hAnsi="Calibri"/>
                <w:sz w:val="16"/>
                <w:szCs w:val="16"/>
                <w:color w:val="auto"/>
                <w:w w:val="94"/>
              </w:rPr>
              <w:t>2.3%</w:t>
            </w:r>
          </w:p>
        </w:tc>
        <w:tc>
          <w:tcPr>
            <w:tcW w:w="1720" w:type="dxa"/>
            <w:vAlign w:val="bottom"/>
            <w:tcBorders>
              <w:right w:val="single" w:sz="8" w:color="auto"/>
            </w:tcBorders>
          </w:tcPr>
          <w:p>
            <w:pPr>
              <w:jc w:val="center"/>
              <w:ind w:left="242"/>
              <w:spacing w:after="0" w:line="185" w:lineRule="exact"/>
              <w:rPr>
                <w:sz w:val="20"/>
                <w:szCs w:val="20"/>
                <w:color w:val="auto"/>
              </w:rPr>
            </w:pPr>
            <w:r>
              <w:rPr>
                <w:rFonts w:ascii="Calibri" w:cs="Calibri" w:eastAsia="Calibri" w:hAnsi="Calibri"/>
                <w:sz w:val="16"/>
                <w:szCs w:val="16"/>
                <w:color w:val="auto"/>
                <w:w w:val="98"/>
              </w:rPr>
              <w:t>-11.6%</w:t>
            </w:r>
          </w:p>
        </w:tc>
      </w:tr>
      <w:tr>
        <w:trPr>
          <w:trHeight w:val="195"/>
        </w:trPr>
        <w:tc>
          <w:tcPr>
            <w:tcW w:w="4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BCRP instruments</w:t>
            </w:r>
          </w:p>
        </w:tc>
        <w:tc>
          <w:tcPr>
            <w:tcW w:w="1300" w:type="dxa"/>
            <w:vAlign w:val="bottom"/>
          </w:tcPr>
          <w:p>
            <w:pPr>
              <w:jc w:val="center"/>
              <w:spacing w:after="0"/>
              <w:rPr>
                <w:sz w:val="20"/>
                <w:szCs w:val="20"/>
                <w:color w:val="auto"/>
              </w:rPr>
            </w:pPr>
            <w:r>
              <w:rPr>
                <w:rFonts w:ascii="Calibri" w:cs="Calibri" w:eastAsia="Calibri" w:hAnsi="Calibri"/>
                <w:sz w:val="16"/>
                <w:szCs w:val="16"/>
                <w:color w:val="auto"/>
                <w:w w:val="98"/>
              </w:rPr>
              <w:t>5,542,892</w:t>
            </w:r>
          </w:p>
        </w:tc>
        <w:tc>
          <w:tcPr>
            <w:tcW w:w="1320" w:type="dxa"/>
            <w:vAlign w:val="bottom"/>
          </w:tcPr>
          <w:p>
            <w:pPr>
              <w:jc w:val="center"/>
              <w:spacing w:after="0"/>
              <w:rPr>
                <w:sz w:val="20"/>
                <w:szCs w:val="20"/>
                <w:color w:val="auto"/>
              </w:rPr>
            </w:pPr>
            <w:r>
              <w:rPr>
                <w:rFonts w:ascii="Calibri" w:cs="Calibri" w:eastAsia="Calibri" w:hAnsi="Calibri"/>
                <w:sz w:val="16"/>
                <w:szCs w:val="16"/>
                <w:color w:val="auto"/>
                <w:w w:val="98"/>
              </w:rPr>
              <w:t>7,064,476</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5"/>
              </w:rPr>
              <w:t>5,096,459</w:t>
            </w:r>
          </w:p>
        </w:tc>
        <w:tc>
          <w:tcPr>
            <w:tcW w:w="920" w:type="dxa"/>
            <w:vAlign w:val="bottom"/>
          </w:tcPr>
          <w:p>
            <w:pPr>
              <w:jc w:val="center"/>
              <w:ind w:left="282"/>
              <w:spacing w:after="0"/>
              <w:rPr>
                <w:sz w:val="20"/>
                <w:szCs w:val="20"/>
                <w:color w:val="auto"/>
              </w:rPr>
            </w:pPr>
            <w:r>
              <w:rPr>
                <w:rFonts w:ascii="Calibri" w:cs="Calibri" w:eastAsia="Calibri" w:hAnsi="Calibri"/>
                <w:sz w:val="16"/>
                <w:szCs w:val="16"/>
                <w:color w:val="auto"/>
                <w:w w:val="98"/>
              </w:rPr>
              <w:t>-27.9%</w:t>
            </w:r>
          </w:p>
        </w:tc>
        <w:tc>
          <w:tcPr>
            <w:tcW w:w="1720" w:type="dxa"/>
            <w:vAlign w:val="bottom"/>
            <w:tcBorders>
              <w:right w:val="single" w:sz="8" w:color="auto"/>
            </w:tcBorders>
          </w:tcPr>
          <w:p>
            <w:pPr>
              <w:jc w:val="center"/>
              <w:ind w:left="242"/>
              <w:spacing w:after="0"/>
              <w:rPr>
                <w:sz w:val="20"/>
                <w:szCs w:val="20"/>
                <w:color w:val="auto"/>
              </w:rPr>
            </w:pPr>
            <w:r>
              <w:rPr>
                <w:rFonts w:ascii="Calibri" w:cs="Calibri" w:eastAsia="Calibri" w:hAnsi="Calibri"/>
                <w:sz w:val="16"/>
                <w:szCs w:val="16"/>
                <w:color w:val="auto"/>
                <w:w w:val="98"/>
              </w:rPr>
              <w:t>-8.1%</w:t>
            </w:r>
          </w:p>
        </w:tc>
      </w:tr>
      <w:tr>
        <w:trPr>
          <w:trHeight w:val="195"/>
        </w:trPr>
        <w:tc>
          <w:tcPr>
            <w:tcW w:w="4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Repurchase agreements with clients and third partes</w:t>
            </w:r>
          </w:p>
        </w:tc>
        <w:tc>
          <w:tcPr>
            <w:tcW w:w="1300" w:type="dxa"/>
            <w:vAlign w:val="bottom"/>
          </w:tcPr>
          <w:p>
            <w:pPr>
              <w:jc w:val="center"/>
              <w:spacing w:after="0"/>
              <w:rPr>
                <w:sz w:val="20"/>
                <w:szCs w:val="20"/>
                <w:color w:val="auto"/>
              </w:rPr>
            </w:pPr>
            <w:r>
              <w:rPr>
                <w:rFonts w:ascii="Calibri" w:cs="Calibri" w:eastAsia="Calibri" w:hAnsi="Calibri"/>
                <w:sz w:val="16"/>
                <w:szCs w:val="16"/>
                <w:color w:val="auto"/>
                <w:w w:val="98"/>
              </w:rPr>
              <w:t>2,146,797</w:t>
            </w:r>
          </w:p>
        </w:tc>
        <w:tc>
          <w:tcPr>
            <w:tcW w:w="1320" w:type="dxa"/>
            <w:vAlign w:val="bottom"/>
          </w:tcPr>
          <w:p>
            <w:pPr>
              <w:jc w:val="center"/>
              <w:spacing w:after="0"/>
              <w:rPr>
                <w:sz w:val="20"/>
                <w:szCs w:val="20"/>
                <w:color w:val="auto"/>
              </w:rPr>
            </w:pPr>
            <w:r>
              <w:rPr>
                <w:rFonts w:ascii="Calibri" w:cs="Calibri" w:eastAsia="Calibri" w:hAnsi="Calibri"/>
                <w:sz w:val="16"/>
                <w:szCs w:val="16"/>
                <w:color w:val="auto"/>
                <w:w w:val="98"/>
              </w:rPr>
              <w:t>3,094,138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5"/>
              </w:rPr>
              <w:t>6,168,934</w:t>
            </w:r>
          </w:p>
        </w:tc>
        <w:tc>
          <w:tcPr>
            <w:tcW w:w="920" w:type="dxa"/>
            <w:vAlign w:val="bottom"/>
          </w:tcPr>
          <w:p>
            <w:pPr>
              <w:jc w:val="center"/>
              <w:ind w:left="262"/>
              <w:spacing w:after="0"/>
              <w:rPr>
                <w:sz w:val="20"/>
                <w:szCs w:val="20"/>
                <w:color w:val="auto"/>
              </w:rPr>
            </w:pPr>
            <w:r>
              <w:rPr>
                <w:rFonts w:ascii="Calibri" w:cs="Calibri" w:eastAsia="Calibri" w:hAnsi="Calibri"/>
                <w:sz w:val="16"/>
                <w:szCs w:val="16"/>
                <w:color w:val="auto"/>
                <w:w w:val="95"/>
              </w:rPr>
              <w:t>99.4%</w:t>
            </w:r>
          </w:p>
        </w:tc>
        <w:tc>
          <w:tcPr>
            <w:tcW w:w="1720" w:type="dxa"/>
            <w:vAlign w:val="bottom"/>
            <w:tcBorders>
              <w:right w:val="single" w:sz="8" w:color="auto"/>
            </w:tcBorders>
          </w:tcPr>
          <w:p>
            <w:pPr>
              <w:jc w:val="center"/>
              <w:ind w:left="262"/>
              <w:spacing w:after="0"/>
              <w:rPr>
                <w:sz w:val="20"/>
                <w:szCs w:val="20"/>
                <w:color w:val="auto"/>
              </w:rPr>
            </w:pPr>
            <w:r>
              <w:rPr>
                <w:rFonts w:ascii="Calibri" w:cs="Calibri" w:eastAsia="Calibri" w:hAnsi="Calibri"/>
                <w:sz w:val="16"/>
                <w:szCs w:val="16"/>
                <w:color w:val="auto"/>
                <w:w w:val="95"/>
              </w:rPr>
              <w:t>187.4%</w:t>
            </w:r>
          </w:p>
        </w:tc>
      </w:tr>
      <w:tr>
        <w:trPr>
          <w:trHeight w:val="195"/>
        </w:trPr>
        <w:tc>
          <w:tcPr>
            <w:tcW w:w="4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Bonds and notes issued</w:t>
            </w:r>
          </w:p>
        </w:tc>
        <w:tc>
          <w:tcPr>
            <w:tcW w:w="1300" w:type="dxa"/>
            <w:vAlign w:val="bottom"/>
          </w:tcPr>
          <w:p>
            <w:pPr>
              <w:jc w:val="center"/>
              <w:spacing w:after="0"/>
              <w:rPr>
                <w:sz w:val="20"/>
                <w:szCs w:val="20"/>
                <w:color w:val="auto"/>
              </w:rPr>
            </w:pPr>
            <w:r>
              <w:rPr>
                <w:rFonts w:ascii="Calibri" w:cs="Calibri" w:eastAsia="Calibri" w:hAnsi="Calibri"/>
                <w:sz w:val="16"/>
                <w:szCs w:val="16"/>
                <w:color w:val="auto"/>
                <w:w w:val="95"/>
              </w:rPr>
              <w:t>17,953,508</w:t>
            </w:r>
          </w:p>
        </w:tc>
        <w:tc>
          <w:tcPr>
            <w:tcW w:w="1320" w:type="dxa"/>
            <w:vAlign w:val="bottom"/>
          </w:tcPr>
          <w:p>
            <w:pPr>
              <w:jc w:val="center"/>
              <w:spacing w:after="0"/>
              <w:rPr>
                <w:sz w:val="20"/>
                <w:szCs w:val="20"/>
                <w:color w:val="auto"/>
              </w:rPr>
            </w:pPr>
            <w:r>
              <w:rPr>
                <w:rFonts w:ascii="Calibri" w:cs="Calibri" w:eastAsia="Calibri" w:hAnsi="Calibri"/>
                <w:sz w:val="16"/>
                <w:szCs w:val="16"/>
                <w:color w:val="auto"/>
                <w:w w:val="98"/>
              </w:rPr>
              <w:t>14,391,733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5"/>
              </w:rPr>
              <w:t>12,112,403</w:t>
            </w:r>
          </w:p>
        </w:tc>
        <w:tc>
          <w:tcPr>
            <w:tcW w:w="920" w:type="dxa"/>
            <w:vAlign w:val="bottom"/>
          </w:tcPr>
          <w:p>
            <w:pPr>
              <w:jc w:val="center"/>
              <w:ind w:left="282"/>
              <w:spacing w:after="0"/>
              <w:rPr>
                <w:sz w:val="20"/>
                <w:szCs w:val="20"/>
                <w:color w:val="auto"/>
              </w:rPr>
            </w:pPr>
            <w:r>
              <w:rPr>
                <w:rFonts w:ascii="Calibri" w:cs="Calibri" w:eastAsia="Calibri" w:hAnsi="Calibri"/>
                <w:sz w:val="16"/>
                <w:szCs w:val="16"/>
                <w:color w:val="auto"/>
                <w:w w:val="98"/>
              </w:rPr>
              <w:t>-15.8%</w:t>
            </w:r>
          </w:p>
        </w:tc>
        <w:tc>
          <w:tcPr>
            <w:tcW w:w="1720" w:type="dxa"/>
            <w:vAlign w:val="bottom"/>
            <w:tcBorders>
              <w:right w:val="single" w:sz="8" w:color="auto"/>
            </w:tcBorders>
          </w:tcPr>
          <w:p>
            <w:pPr>
              <w:jc w:val="center"/>
              <w:ind w:left="242"/>
              <w:spacing w:after="0"/>
              <w:rPr>
                <w:sz w:val="20"/>
                <w:szCs w:val="20"/>
                <w:color w:val="auto"/>
              </w:rPr>
            </w:pPr>
            <w:r>
              <w:rPr>
                <w:rFonts w:ascii="Calibri" w:cs="Calibri" w:eastAsia="Calibri" w:hAnsi="Calibri"/>
                <w:sz w:val="16"/>
                <w:szCs w:val="16"/>
                <w:color w:val="auto"/>
                <w:w w:val="98"/>
              </w:rPr>
              <w:t>-32.5%</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183"/>
        </w:trPr>
        <w:tc>
          <w:tcPr>
            <w:tcW w:w="4640" w:type="dxa"/>
            <w:vAlign w:val="bottom"/>
            <w:tcBorders>
              <w:left w:val="single" w:sz="8" w:color="auto"/>
              <w:bottom w:val="single" w:sz="8" w:color="auto"/>
              <w:right w:val="single" w:sz="8" w:color="auto"/>
            </w:tcBorders>
          </w:tcPr>
          <w:p>
            <w:pPr>
              <w:ind w:left="20"/>
              <w:spacing w:after="0" w:line="184" w:lineRule="exact"/>
              <w:rPr>
                <w:sz w:val="20"/>
                <w:szCs w:val="20"/>
                <w:color w:val="auto"/>
              </w:rPr>
            </w:pPr>
            <w:r>
              <w:rPr>
                <w:rFonts w:ascii="Calibri" w:cs="Calibri" w:eastAsia="Calibri" w:hAnsi="Calibri"/>
                <w:sz w:val="16"/>
                <w:szCs w:val="16"/>
                <w:b w:val="1"/>
                <w:bCs w:val="1"/>
                <w:color w:val="auto"/>
              </w:rPr>
              <w:t>Total funding</w:t>
            </w:r>
          </w:p>
        </w:tc>
        <w:tc>
          <w:tcPr>
            <w:tcW w:w="130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8"/>
              </w:rPr>
              <w:t>190,235,527</w:t>
            </w:r>
          </w:p>
        </w:tc>
        <w:tc>
          <w:tcPr>
            <w:tcW w:w="132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8"/>
              </w:rPr>
              <w:t>193,069,008</w:t>
            </w:r>
          </w:p>
        </w:tc>
        <w:tc>
          <w:tcPr>
            <w:tcW w:w="136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5"/>
              </w:rPr>
              <w:t>189,253,943</w:t>
            </w:r>
          </w:p>
        </w:tc>
        <w:tc>
          <w:tcPr>
            <w:tcW w:w="920" w:type="dxa"/>
            <w:vAlign w:val="bottom"/>
            <w:tcBorders>
              <w:bottom w:val="single" w:sz="8" w:color="auto"/>
            </w:tcBorders>
          </w:tcPr>
          <w:p>
            <w:pPr>
              <w:jc w:val="center"/>
              <w:ind w:left="282"/>
              <w:spacing w:after="0" w:line="184" w:lineRule="exact"/>
              <w:rPr>
                <w:sz w:val="20"/>
                <w:szCs w:val="20"/>
                <w:color w:val="auto"/>
              </w:rPr>
            </w:pPr>
            <w:r>
              <w:rPr>
                <w:rFonts w:ascii="Calibri" w:cs="Calibri" w:eastAsia="Calibri" w:hAnsi="Calibri"/>
                <w:sz w:val="16"/>
                <w:szCs w:val="16"/>
                <w:b w:val="1"/>
                <w:bCs w:val="1"/>
                <w:color w:val="auto"/>
                <w:w w:val="97"/>
              </w:rPr>
              <w:t>-2.0%</w:t>
            </w:r>
          </w:p>
        </w:tc>
        <w:tc>
          <w:tcPr>
            <w:tcW w:w="1720" w:type="dxa"/>
            <w:vAlign w:val="bottom"/>
            <w:tcBorders>
              <w:bottom w:val="single" w:sz="8" w:color="auto"/>
              <w:right w:val="single" w:sz="8" w:color="auto"/>
            </w:tcBorders>
          </w:tcPr>
          <w:p>
            <w:pPr>
              <w:jc w:val="center"/>
              <w:ind w:left="242"/>
              <w:spacing w:after="0" w:line="184" w:lineRule="exact"/>
              <w:rPr>
                <w:sz w:val="20"/>
                <w:szCs w:val="20"/>
                <w:color w:val="auto"/>
              </w:rPr>
            </w:pPr>
            <w:r>
              <w:rPr>
                <w:rFonts w:ascii="Calibri" w:cs="Calibri" w:eastAsia="Calibri" w:hAnsi="Calibri"/>
                <w:sz w:val="16"/>
                <w:szCs w:val="16"/>
                <w:b w:val="1"/>
                <w:bCs w:val="1"/>
                <w:color w:val="auto"/>
                <w:w w:val="97"/>
              </w:rPr>
              <w:t>-0.5%</w:t>
            </w:r>
          </w:p>
        </w:tc>
      </w:tr>
    </w:tbl>
    <w:p>
      <w:pPr>
        <w:spacing w:after="0" w:line="173" w:lineRule="exact"/>
        <w:rPr>
          <w:sz w:val="20"/>
          <w:szCs w:val="20"/>
          <w:color w:val="auto"/>
        </w:rPr>
      </w:pPr>
    </w:p>
    <w:p>
      <w:pPr>
        <w:spacing w:after="0"/>
        <w:rPr>
          <w:sz w:val="20"/>
          <w:szCs w:val="20"/>
          <w:color w:val="auto"/>
        </w:rPr>
      </w:pPr>
      <w:r>
        <w:rPr>
          <w:rFonts w:ascii="Calibri" w:cs="Calibri" w:eastAsia="Calibri" w:hAnsi="Calibri"/>
          <w:sz w:val="17"/>
          <w:szCs w:val="17"/>
          <w:color w:val="auto"/>
        </w:rPr>
        <w:t>Funding dropped by 2.0% QoQ and 0.5% YoY. If we exclude the impact of BCP Bolivia’s accountng adjustment, funding presented the following dynamics:</w:t>
      </w:r>
    </w:p>
    <w:p>
      <w:pPr>
        <w:spacing w:after="0" w:line="197"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QoQ, funding dropped 0.8%. This evoluton was atributable to a reducton in the balance for Bonds and notes issued, which was impacted by the expiraton of a BCP subordinated bond for US$ 850 million. The bond payment was setled on July 1, but an accountng adjustment was registered on June 30. An additonal factor that led funding to drop, albeit to a lesser extent, was the reducton in the balance of BCRP instruments, which refected the reconfguraton of the funding mix to favor other, more efcient sources of funding. The decrease in funding this quarter was partally ofset by an increase in Repurchase agreements with clients and third partes to fnance an investment strategy at Credicorp Capital Colombia (mentoned in the IEA secton).</w:t>
      </w:r>
    </w:p>
    <w:p>
      <w:pPr>
        <w:spacing w:after="0" w:line="198"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YoY, funding rose 3.2%, driven primarily by an uptck in Deposits and obligatons. It is important to note that growth was concentrated in low-cost deposits, which rose in a context marked by economic recovery and growth in the transactons volume. These dynamics were partally ofset by expiratons of BCP bonds in the frst half of the year and, to a lesser extent, by a drop in the balance for Due to banks and correspondents, which was impacted by the expiraton of a club deal in 4Q24.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767715</wp:posOffset>
            </wp:positionV>
            <wp:extent cx="713740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140335</wp:posOffset>
            </wp:positionV>
            <wp:extent cx="6509385" cy="4876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09385" cy="48768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5" w:name="page26"/>
    <w:bookmarkEnd w:id="25"/>
    <w:p>
      <w:pPr>
        <w:ind w:left="2560"/>
        <w:spacing w:after="0"/>
        <w:tabs>
          <w:tab w:leader="none" w:pos="3000" w:val="left"/>
          <w:tab w:leader="none" w:pos="766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4876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7400" cy="4876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88"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04 </w:t>
      </w:r>
      <w:r>
        <w:rPr>
          <w:rFonts w:ascii="Calibri" w:cs="Calibri" w:eastAsia="Calibri" w:hAnsi="Calibri"/>
          <w:sz w:val="31"/>
          <w:szCs w:val="31"/>
          <w:color w:val="E93BAC"/>
        </w:rPr>
        <w:t>Net Interest income (NII)</w:t>
      </w:r>
    </w:p>
    <w:p>
      <w:pPr>
        <w:spacing w:after="0" w:line="244" w:lineRule="exact"/>
        <w:rPr>
          <w:sz w:val="20"/>
          <w:szCs w:val="20"/>
          <w:color w:val="auto"/>
        </w:rPr>
      </w:pPr>
    </w:p>
    <w:p>
      <w:pPr>
        <w:ind w:left="160"/>
        <w:spacing w:after="0"/>
        <w:rPr>
          <w:sz w:val="20"/>
          <w:szCs w:val="20"/>
          <w:color w:val="auto"/>
        </w:rPr>
      </w:pPr>
      <w:r>
        <w:rPr>
          <w:rFonts w:ascii="Calibri" w:cs="Calibri" w:eastAsia="Calibri" w:hAnsi="Calibri"/>
          <w:sz w:val="17"/>
          <w:szCs w:val="17"/>
          <w:color w:val="FFFFFF"/>
        </w:rPr>
        <w:t>In 2Q25, Net Interest Income (NII) rose 1.2% QoQ mainly due to a drop in interest on deposits, amid a downward trend in market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7137400" cy="925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0" cy="925195"/>
                    </a:xfrm>
                    <a:prstGeom prst="rect">
                      <a:avLst/>
                    </a:prstGeom>
                    <a:noFill/>
                  </pic:spPr>
                </pic:pic>
              </a:graphicData>
            </a:graphic>
          </wp:anchor>
        </w:drawing>
      </w:r>
    </w:p>
    <w:p>
      <w:pPr>
        <w:spacing w:after="0" w:line="190" w:lineRule="exact"/>
        <w:rPr>
          <w:sz w:val="20"/>
          <w:szCs w:val="20"/>
          <w:color w:val="auto"/>
        </w:rPr>
      </w:pPr>
    </w:p>
    <w:p>
      <w:pPr>
        <w:ind w:left="120" w:right="100"/>
        <w:spacing w:after="0" w:line="239" w:lineRule="auto"/>
        <w:rPr>
          <w:sz w:val="20"/>
          <w:szCs w:val="20"/>
          <w:color w:val="auto"/>
        </w:rPr>
      </w:pPr>
      <w:r>
        <w:rPr>
          <w:rFonts w:ascii="Calibri" w:cs="Calibri" w:eastAsia="Calibri" w:hAnsi="Calibri"/>
          <w:sz w:val="17"/>
          <w:szCs w:val="17"/>
          <w:color w:val="FFFFFF"/>
        </w:rPr>
        <w:t>YoY, NII tcked up 4.2%, driven mainly by a reducton in Interest and similar expenses. This decrease was fueled by a drop in expenses for deposits, which were impacted primarily by declining interest rates and secondarily by an uptck in low-cost deposits’ share of the funding structure.</w:t>
      </w:r>
    </w:p>
    <w:p>
      <w:pPr>
        <w:spacing w:after="0" w:line="211" w:lineRule="exact"/>
        <w:rPr>
          <w:sz w:val="20"/>
          <w:szCs w:val="20"/>
          <w:color w:val="auto"/>
        </w:rPr>
      </w:pPr>
    </w:p>
    <w:p>
      <w:pPr>
        <w:ind w:left="120" w:right="100"/>
        <w:spacing w:after="0" w:line="238" w:lineRule="auto"/>
        <w:rPr>
          <w:sz w:val="20"/>
          <w:szCs w:val="20"/>
          <w:color w:val="auto"/>
        </w:rPr>
      </w:pPr>
      <w:r>
        <w:rPr>
          <w:rFonts w:ascii="Calibri" w:cs="Calibri" w:eastAsia="Calibri" w:hAnsi="Calibri"/>
          <w:sz w:val="17"/>
          <w:szCs w:val="17"/>
          <w:color w:val="FFFFFF"/>
        </w:rPr>
        <w:t>NIM rose 20 bps QoQ to stand at 6.42%, driven mainly by a shif in the IEA mix toward higher-yielding assets. It is important to note that risk-adjusted NIM contnued to trend upward and hit a new high</w:t>
      </w:r>
      <w:r>
        <w:rPr>
          <w:rFonts w:ascii="Calibri" w:cs="Calibri" w:eastAsia="Calibri" w:hAnsi="Calibri"/>
          <w:sz w:val="28"/>
          <w:szCs w:val="28"/>
          <w:color w:val="FFFFFF"/>
          <w:vertAlign w:val="superscript"/>
        </w:rPr>
        <w:t>1</w:t>
      </w:r>
      <w:r>
        <w:rPr>
          <w:rFonts w:ascii="Calibri" w:cs="Calibri" w:eastAsia="Calibri" w:hAnsi="Calibri"/>
          <w:sz w:val="17"/>
          <w:szCs w:val="17"/>
          <w:color w:val="FFFFFF"/>
        </w:rPr>
        <w:t xml:space="preserve"> of 5.44%.</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40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0"/>
                <w:szCs w:val="10"/>
                <w:b w:val="1"/>
                <w:bCs w:val="1"/>
                <w:color w:val="FFFFFF"/>
              </w:rPr>
              <w:t>Net interest income</w:t>
            </w:r>
          </w:p>
        </w:tc>
        <w:tc>
          <w:tcPr>
            <w:tcW w:w="880" w:type="dxa"/>
            <w:vAlign w:val="bottom"/>
            <w:tcBorders>
              <w:top w:val="single" w:sz="8" w:color="auto"/>
            </w:tcBorders>
            <w:shd w:val="clear" w:color="auto" w:fill="33CCCC"/>
          </w:tcPr>
          <w:p>
            <w:pPr>
              <w:spacing w:after="0"/>
              <w:rPr>
                <w:sz w:val="11"/>
                <w:szCs w:val="11"/>
                <w:color w:val="auto"/>
              </w:rPr>
            </w:pPr>
          </w:p>
        </w:tc>
        <w:tc>
          <w:tcPr>
            <w:tcW w:w="920" w:type="dxa"/>
            <w:vAlign w:val="bottom"/>
            <w:tcBorders>
              <w:top w:val="single" w:sz="8" w:color="auto"/>
            </w:tcBorders>
            <w:shd w:val="clear" w:color="auto" w:fill="33CCCC"/>
          </w:tcPr>
          <w:p>
            <w:pPr>
              <w:ind w:left="300"/>
              <w:spacing w:after="0"/>
              <w:rPr>
                <w:sz w:val="20"/>
                <w:szCs w:val="20"/>
                <w:color w:val="auto"/>
              </w:rPr>
            </w:pPr>
            <w:r>
              <w:rPr>
                <w:rFonts w:ascii="Calibri" w:cs="Calibri" w:eastAsia="Calibri" w:hAnsi="Calibri"/>
                <w:sz w:val="10"/>
                <w:szCs w:val="10"/>
                <w:b w:val="1"/>
                <w:bCs w:val="1"/>
                <w:color w:val="FFFFFF"/>
                <w:shd w:val="clear" w:color="auto" w:fill="33CCCC"/>
              </w:rPr>
              <w:t>Quarter</w:t>
            </w:r>
          </w:p>
        </w:tc>
        <w:tc>
          <w:tcPr>
            <w:tcW w:w="920" w:type="dxa"/>
            <w:vAlign w:val="bottom"/>
            <w:tcBorders>
              <w:top w:val="single" w:sz="8" w:color="auto"/>
              <w:right w:val="single" w:sz="8" w:color="auto"/>
            </w:tcBorders>
            <w:shd w:val="clear" w:color="auto" w:fill="33CCCC"/>
          </w:tcPr>
          <w:p>
            <w:pPr>
              <w:spacing w:after="0"/>
              <w:rPr>
                <w:sz w:val="11"/>
                <w:szCs w:val="11"/>
                <w:color w:val="auto"/>
              </w:rPr>
            </w:pPr>
          </w:p>
        </w:tc>
        <w:tc>
          <w:tcPr>
            <w:tcW w:w="640" w:type="dxa"/>
            <w:vAlign w:val="bottom"/>
            <w:tcBorders>
              <w:top w:val="single" w:sz="8" w:color="auto"/>
            </w:tcBorders>
            <w:shd w:val="clear" w:color="auto" w:fill="33CCCC"/>
          </w:tcPr>
          <w:p>
            <w:pPr>
              <w:spacing w:after="0"/>
              <w:rPr>
                <w:sz w:val="11"/>
                <w:szCs w:val="11"/>
                <w:color w:val="auto"/>
              </w:rPr>
            </w:pPr>
          </w:p>
        </w:tc>
        <w:tc>
          <w:tcPr>
            <w:tcW w:w="114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0"/>
                <w:szCs w:val="10"/>
                <w:b w:val="1"/>
                <w:bCs w:val="1"/>
                <w:color w:val="FFFFFF"/>
              </w:rPr>
              <w:t>% change</w:t>
            </w:r>
          </w:p>
        </w:tc>
        <w:tc>
          <w:tcPr>
            <w:tcW w:w="720" w:type="dxa"/>
            <w:vAlign w:val="bottom"/>
            <w:tcBorders>
              <w:top w:val="single" w:sz="8" w:color="auto"/>
            </w:tcBorders>
            <w:shd w:val="clear" w:color="auto" w:fill="33CCCC"/>
          </w:tcPr>
          <w:p>
            <w:pPr>
              <w:spacing w:after="0"/>
              <w:rPr>
                <w:sz w:val="11"/>
                <w:szCs w:val="11"/>
                <w:color w:val="auto"/>
              </w:rPr>
            </w:pPr>
          </w:p>
        </w:tc>
        <w:tc>
          <w:tcPr>
            <w:tcW w:w="104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0"/>
                <w:szCs w:val="10"/>
                <w:b w:val="1"/>
                <w:bCs w:val="1"/>
                <w:color w:val="FFFFFF"/>
              </w:rPr>
              <w:t>Up to</w:t>
            </w:r>
          </w:p>
        </w:tc>
        <w:tc>
          <w:tcPr>
            <w:tcW w:w="10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 Change</w:t>
            </w:r>
          </w:p>
        </w:tc>
      </w:tr>
      <w:tr>
        <w:trPr>
          <w:trHeight w:val="137"/>
        </w:trPr>
        <w:tc>
          <w:tcPr>
            <w:tcW w:w="400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0"/>
                <w:szCs w:val="10"/>
                <w:b w:val="1"/>
                <w:bCs w:val="1"/>
                <w:color w:val="FFFFFF"/>
              </w:rPr>
              <w:t>S/000</w:t>
            </w:r>
          </w:p>
        </w:tc>
        <w:tc>
          <w:tcPr>
            <w:tcW w:w="88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9"/>
              </w:rPr>
              <w:t>2Q24</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1Q25</w:t>
            </w:r>
          </w:p>
        </w:tc>
        <w:tc>
          <w:tcPr>
            <w:tcW w:w="9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9"/>
              </w:rPr>
              <w:t>2Q25</w:t>
            </w:r>
          </w:p>
        </w:tc>
        <w:tc>
          <w:tcPr>
            <w:tcW w:w="640" w:type="dxa"/>
            <w:vAlign w:val="bottom"/>
            <w:tcBorders>
              <w:bottom w:val="single" w:sz="8" w:color="auto"/>
            </w:tcBorders>
            <w:shd w:val="clear" w:color="auto" w:fill="33CCCC"/>
          </w:tcPr>
          <w:p>
            <w:pPr>
              <w:jc w:val="center"/>
              <w:ind w:left="188"/>
              <w:spacing w:after="0"/>
              <w:rPr>
                <w:sz w:val="20"/>
                <w:szCs w:val="20"/>
                <w:color w:val="auto"/>
              </w:rPr>
            </w:pPr>
            <w:r>
              <w:rPr>
                <w:rFonts w:ascii="Calibri" w:cs="Calibri" w:eastAsia="Calibri" w:hAnsi="Calibri"/>
                <w:sz w:val="10"/>
                <w:szCs w:val="10"/>
                <w:b w:val="1"/>
                <w:bCs w:val="1"/>
                <w:color w:val="FFFFFF"/>
              </w:rPr>
              <w:t>QoQ</w:t>
            </w:r>
          </w:p>
        </w:tc>
        <w:tc>
          <w:tcPr>
            <w:tcW w:w="1140" w:type="dxa"/>
            <w:vAlign w:val="bottom"/>
            <w:tcBorders>
              <w:bottom w:val="single" w:sz="8" w:color="auto"/>
              <w:right w:val="single" w:sz="8" w:color="auto"/>
            </w:tcBorders>
            <w:shd w:val="clear" w:color="auto" w:fill="33CCCC"/>
          </w:tcPr>
          <w:p>
            <w:pPr>
              <w:jc w:val="center"/>
              <w:ind w:left="168"/>
              <w:spacing w:after="0"/>
              <w:rPr>
                <w:sz w:val="20"/>
                <w:szCs w:val="20"/>
                <w:color w:val="auto"/>
              </w:rPr>
            </w:pPr>
            <w:r>
              <w:rPr>
                <w:rFonts w:ascii="Calibri" w:cs="Calibri" w:eastAsia="Calibri" w:hAnsi="Calibri"/>
                <w:sz w:val="10"/>
                <w:szCs w:val="10"/>
                <w:b w:val="1"/>
                <w:bCs w:val="1"/>
                <w:color w:val="FFFFFF"/>
              </w:rPr>
              <w:t>YoY</w:t>
            </w:r>
          </w:p>
        </w:tc>
        <w:tc>
          <w:tcPr>
            <w:tcW w:w="720" w:type="dxa"/>
            <w:vAlign w:val="bottom"/>
            <w:tcBorders>
              <w:bottom w:val="single" w:sz="8" w:color="auto"/>
            </w:tcBorders>
            <w:shd w:val="clear" w:color="auto" w:fill="33CCCC"/>
          </w:tcPr>
          <w:p>
            <w:pPr>
              <w:ind w:left="300"/>
              <w:spacing w:after="0"/>
              <w:rPr>
                <w:sz w:val="20"/>
                <w:szCs w:val="20"/>
                <w:color w:val="auto"/>
              </w:rPr>
            </w:pPr>
            <w:r>
              <w:rPr>
                <w:rFonts w:ascii="Calibri" w:cs="Calibri" w:eastAsia="Calibri" w:hAnsi="Calibri"/>
                <w:sz w:val="10"/>
                <w:szCs w:val="10"/>
                <w:b w:val="1"/>
                <w:bCs w:val="1"/>
                <w:color w:val="FFFFFF"/>
              </w:rPr>
              <w:t>Jun 24</w:t>
            </w:r>
          </w:p>
        </w:tc>
        <w:tc>
          <w:tcPr>
            <w:tcW w:w="10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Calibri" w:cs="Calibri" w:eastAsia="Calibri" w:hAnsi="Calibri"/>
                <w:sz w:val="10"/>
                <w:szCs w:val="10"/>
                <w:b w:val="1"/>
                <w:bCs w:val="1"/>
                <w:color w:val="FFFFFF"/>
              </w:rPr>
              <w:t>Jun 25</w:t>
            </w:r>
          </w:p>
        </w:tc>
        <w:tc>
          <w:tcPr>
            <w:tcW w:w="10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Jun 25 / Jun 24</w:t>
            </w:r>
          </w:p>
        </w:tc>
      </w:tr>
      <w:tr>
        <w:trPr>
          <w:trHeight w:val="123"/>
        </w:trPr>
        <w:tc>
          <w:tcPr>
            <w:tcW w:w="40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Interest and Similar Income</w:t>
            </w:r>
          </w:p>
        </w:tc>
        <w:tc>
          <w:tcPr>
            <w:tcW w:w="880" w:type="dxa"/>
            <w:vAlign w:val="bottom"/>
          </w:tcPr>
          <w:p>
            <w:pPr>
              <w:jc w:val="center"/>
              <w:spacing w:after="0"/>
              <w:rPr>
                <w:sz w:val="20"/>
                <w:szCs w:val="20"/>
                <w:color w:val="auto"/>
              </w:rPr>
            </w:pPr>
            <w:r>
              <w:rPr>
                <w:rFonts w:ascii="Calibri" w:cs="Calibri" w:eastAsia="Calibri" w:hAnsi="Calibri"/>
                <w:sz w:val="10"/>
                <w:szCs w:val="10"/>
                <w:b w:val="1"/>
                <w:bCs w:val="1"/>
                <w:color w:val="auto"/>
              </w:rPr>
              <w:t>4,935,238</w:t>
            </w:r>
          </w:p>
        </w:tc>
        <w:tc>
          <w:tcPr>
            <w:tcW w:w="920" w:type="dxa"/>
            <w:vAlign w:val="bottom"/>
          </w:tcPr>
          <w:p>
            <w:pPr>
              <w:jc w:val="center"/>
              <w:spacing w:after="0"/>
              <w:rPr>
                <w:sz w:val="20"/>
                <w:szCs w:val="20"/>
                <w:color w:val="auto"/>
              </w:rPr>
            </w:pPr>
            <w:r>
              <w:rPr>
                <w:rFonts w:ascii="Calibri" w:cs="Calibri" w:eastAsia="Calibri" w:hAnsi="Calibri"/>
                <w:sz w:val="10"/>
                <w:szCs w:val="10"/>
                <w:b w:val="1"/>
                <w:bCs w:val="1"/>
                <w:color w:val="auto"/>
              </w:rPr>
              <w:t>4,894,790</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4,922,292</w:t>
            </w:r>
          </w:p>
        </w:tc>
        <w:tc>
          <w:tcPr>
            <w:tcW w:w="640" w:type="dxa"/>
            <w:vAlign w:val="bottom"/>
          </w:tcPr>
          <w:p>
            <w:pPr>
              <w:jc w:val="center"/>
              <w:ind w:left="188"/>
              <w:spacing w:after="0"/>
              <w:rPr>
                <w:sz w:val="20"/>
                <w:szCs w:val="20"/>
                <w:color w:val="auto"/>
              </w:rPr>
            </w:pPr>
            <w:r>
              <w:rPr>
                <w:rFonts w:ascii="Calibri" w:cs="Calibri" w:eastAsia="Calibri" w:hAnsi="Calibri"/>
                <w:sz w:val="10"/>
                <w:szCs w:val="10"/>
                <w:b w:val="1"/>
                <w:bCs w:val="1"/>
                <w:color w:val="auto"/>
                <w:w w:val="99"/>
              </w:rPr>
              <w:t>0.6%</w:t>
            </w:r>
          </w:p>
        </w:tc>
        <w:tc>
          <w:tcPr>
            <w:tcW w:w="114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rPr>
              <w:t>-0.3%</w:t>
            </w:r>
          </w:p>
        </w:tc>
        <w:tc>
          <w:tcPr>
            <w:tcW w:w="720" w:type="dxa"/>
            <w:vAlign w:val="bottom"/>
          </w:tcPr>
          <w:p>
            <w:pPr>
              <w:jc w:val="center"/>
              <w:ind w:left="88"/>
              <w:spacing w:after="0"/>
              <w:rPr>
                <w:sz w:val="20"/>
                <w:szCs w:val="20"/>
                <w:color w:val="auto"/>
              </w:rPr>
            </w:pPr>
            <w:r>
              <w:rPr>
                <w:rFonts w:ascii="Calibri" w:cs="Calibri" w:eastAsia="Calibri" w:hAnsi="Calibri"/>
                <w:sz w:val="10"/>
                <w:szCs w:val="10"/>
                <w:color w:val="auto"/>
              </w:rPr>
              <w:t>9,861,164</w:t>
            </w:r>
          </w:p>
        </w:tc>
        <w:tc>
          <w:tcPr>
            <w:tcW w:w="104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9,817,082</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-0.4%</w:t>
            </w:r>
          </w:p>
        </w:tc>
      </w:tr>
      <w:tr>
        <w:trPr>
          <w:trHeight w:val="124"/>
        </w:trPr>
        <w:tc>
          <w:tcPr>
            <w:tcW w:w="40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Interest and Similar Expenses</w:t>
            </w:r>
          </w:p>
        </w:tc>
        <w:tc>
          <w:tcPr>
            <w:tcW w:w="880" w:type="dxa"/>
            <w:vAlign w:val="bottom"/>
          </w:tcPr>
          <w:p>
            <w:pPr>
              <w:jc w:val="center"/>
              <w:spacing w:after="0"/>
              <w:rPr>
                <w:sz w:val="20"/>
                <w:szCs w:val="20"/>
                <w:color w:val="auto"/>
              </w:rPr>
            </w:pPr>
            <w:r>
              <w:rPr>
                <w:rFonts w:ascii="Calibri" w:cs="Calibri" w:eastAsia="Calibri" w:hAnsi="Calibri"/>
                <w:sz w:val="10"/>
                <w:szCs w:val="10"/>
                <w:color w:val="auto"/>
              </w:rPr>
              <w:t>(1,466,774)</w:t>
            </w:r>
          </w:p>
        </w:tc>
        <w:tc>
          <w:tcPr>
            <w:tcW w:w="920" w:type="dxa"/>
            <w:vAlign w:val="bottom"/>
          </w:tcPr>
          <w:p>
            <w:pPr>
              <w:jc w:val="center"/>
              <w:spacing w:after="0"/>
              <w:rPr>
                <w:sz w:val="20"/>
                <w:szCs w:val="20"/>
                <w:color w:val="auto"/>
              </w:rPr>
            </w:pPr>
            <w:r>
              <w:rPr>
                <w:rFonts w:ascii="Calibri" w:cs="Calibri" w:eastAsia="Calibri" w:hAnsi="Calibri"/>
                <w:sz w:val="10"/>
                <w:szCs w:val="10"/>
                <w:color w:val="auto"/>
              </w:rPr>
              <w:t>(1,322,778)</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(1,306,921)</w:t>
            </w:r>
          </w:p>
        </w:tc>
        <w:tc>
          <w:tcPr>
            <w:tcW w:w="640" w:type="dxa"/>
            <w:vAlign w:val="bottom"/>
          </w:tcPr>
          <w:p>
            <w:pPr>
              <w:jc w:val="center"/>
              <w:ind w:left="188"/>
              <w:spacing w:after="0"/>
              <w:rPr>
                <w:sz w:val="20"/>
                <w:szCs w:val="20"/>
                <w:color w:val="auto"/>
              </w:rPr>
            </w:pPr>
            <w:r>
              <w:rPr>
                <w:rFonts w:ascii="Calibri" w:cs="Calibri" w:eastAsia="Calibri" w:hAnsi="Calibri"/>
                <w:sz w:val="10"/>
                <w:szCs w:val="10"/>
                <w:color w:val="auto"/>
              </w:rPr>
              <w:t>-1.2%</w:t>
            </w:r>
          </w:p>
        </w:tc>
        <w:tc>
          <w:tcPr>
            <w:tcW w:w="114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-10.9%</w:t>
            </w:r>
          </w:p>
        </w:tc>
        <w:tc>
          <w:tcPr>
            <w:tcW w:w="720" w:type="dxa"/>
            <w:vAlign w:val="bottom"/>
          </w:tcPr>
          <w:p>
            <w:pPr>
              <w:jc w:val="center"/>
              <w:ind w:left="108"/>
              <w:spacing w:after="0"/>
              <w:rPr>
                <w:sz w:val="20"/>
                <w:szCs w:val="20"/>
                <w:color w:val="auto"/>
              </w:rPr>
            </w:pPr>
            <w:r>
              <w:rPr>
                <w:rFonts w:ascii="Calibri" w:cs="Calibri" w:eastAsia="Calibri" w:hAnsi="Calibri"/>
                <w:sz w:val="10"/>
                <w:szCs w:val="10"/>
                <w:color w:val="auto"/>
              </w:rPr>
              <w:t>(2,966,577)</w:t>
            </w:r>
          </w:p>
        </w:tc>
        <w:tc>
          <w:tcPr>
            <w:tcW w:w="104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(2,629,699)</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-11.4%</w:t>
            </w:r>
          </w:p>
        </w:tc>
      </w:tr>
      <w:tr>
        <w:trPr>
          <w:trHeight w:val="130"/>
        </w:trPr>
        <w:tc>
          <w:tcPr>
            <w:tcW w:w="4000" w:type="dxa"/>
            <w:vAlign w:val="bottom"/>
            <w:tcBorders>
              <w:left w:val="single" w:sz="8" w:color="auto"/>
              <w:right w:val="single" w:sz="8" w:color="auto"/>
            </w:tcBorders>
          </w:tcPr>
          <w:p>
            <w:pPr>
              <w:ind w:left="320"/>
              <w:spacing w:after="0"/>
              <w:rPr>
                <w:sz w:val="20"/>
                <w:szCs w:val="20"/>
                <w:color w:val="auto"/>
              </w:rPr>
            </w:pPr>
            <w:r>
              <w:rPr>
                <w:rFonts w:ascii="Calibri" w:cs="Calibri" w:eastAsia="Calibri" w:hAnsi="Calibri"/>
                <w:sz w:val="10"/>
                <w:szCs w:val="10"/>
                <w:color w:val="auto"/>
              </w:rPr>
              <w:t>Interest Expense (excluding Net Insurance Financial Expenses)</w:t>
            </w:r>
          </w:p>
        </w:tc>
        <w:tc>
          <w:tcPr>
            <w:tcW w:w="880" w:type="dxa"/>
            <w:vAlign w:val="bottom"/>
          </w:tcPr>
          <w:p>
            <w:pPr>
              <w:jc w:val="center"/>
              <w:spacing w:after="0"/>
              <w:rPr>
                <w:sz w:val="20"/>
                <w:szCs w:val="20"/>
                <w:color w:val="auto"/>
              </w:rPr>
            </w:pPr>
            <w:r>
              <w:rPr>
                <w:rFonts w:ascii="Calibri" w:cs="Calibri" w:eastAsia="Calibri" w:hAnsi="Calibri"/>
                <w:sz w:val="10"/>
                <w:szCs w:val="10"/>
                <w:color w:val="auto"/>
              </w:rPr>
              <w:t>(1,342,088)</w:t>
            </w:r>
          </w:p>
        </w:tc>
        <w:tc>
          <w:tcPr>
            <w:tcW w:w="920" w:type="dxa"/>
            <w:vAlign w:val="bottom"/>
          </w:tcPr>
          <w:p>
            <w:pPr>
              <w:jc w:val="center"/>
              <w:spacing w:after="0"/>
              <w:rPr>
                <w:sz w:val="20"/>
                <w:szCs w:val="20"/>
                <w:color w:val="auto"/>
              </w:rPr>
            </w:pPr>
            <w:r>
              <w:rPr>
                <w:rFonts w:ascii="Calibri" w:cs="Calibri" w:eastAsia="Calibri" w:hAnsi="Calibri"/>
                <w:sz w:val="10"/>
                <w:szCs w:val="10"/>
                <w:color w:val="auto"/>
              </w:rPr>
              <w:t>(1,187,156)</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(1,167,866)</w:t>
            </w:r>
          </w:p>
        </w:tc>
        <w:tc>
          <w:tcPr>
            <w:tcW w:w="640" w:type="dxa"/>
            <w:vAlign w:val="bottom"/>
          </w:tcPr>
          <w:p>
            <w:pPr>
              <w:jc w:val="center"/>
              <w:ind w:left="188"/>
              <w:spacing w:after="0"/>
              <w:rPr>
                <w:sz w:val="20"/>
                <w:szCs w:val="20"/>
                <w:color w:val="auto"/>
              </w:rPr>
            </w:pPr>
            <w:r>
              <w:rPr>
                <w:rFonts w:ascii="Calibri" w:cs="Calibri" w:eastAsia="Calibri" w:hAnsi="Calibri"/>
                <w:sz w:val="10"/>
                <w:szCs w:val="10"/>
                <w:color w:val="auto"/>
              </w:rPr>
              <w:t>-1.6%</w:t>
            </w:r>
          </w:p>
        </w:tc>
        <w:tc>
          <w:tcPr>
            <w:tcW w:w="114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-13.0%</w:t>
            </w:r>
          </w:p>
        </w:tc>
        <w:tc>
          <w:tcPr>
            <w:tcW w:w="720" w:type="dxa"/>
            <w:vAlign w:val="bottom"/>
          </w:tcPr>
          <w:p>
            <w:pPr>
              <w:jc w:val="center"/>
              <w:ind w:left="108"/>
              <w:spacing w:after="0"/>
              <w:rPr>
                <w:sz w:val="20"/>
                <w:szCs w:val="20"/>
                <w:color w:val="auto"/>
              </w:rPr>
            </w:pPr>
            <w:r>
              <w:rPr>
                <w:rFonts w:ascii="Calibri" w:cs="Calibri" w:eastAsia="Calibri" w:hAnsi="Calibri"/>
                <w:sz w:val="10"/>
                <w:szCs w:val="10"/>
                <w:color w:val="auto"/>
              </w:rPr>
              <w:t>(2,719,887)</w:t>
            </w:r>
          </w:p>
        </w:tc>
        <w:tc>
          <w:tcPr>
            <w:tcW w:w="104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(2,355,023)</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-13.4%</w:t>
            </w:r>
          </w:p>
        </w:tc>
      </w:tr>
      <w:tr>
        <w:trPr>
          <w:trHeight w:val="137"/>
        </w:trPr>
        <w:tc>
          <w:tcPr>
            <w:tcW w:w="4000" w:type="dxa"/>
            <w:vAlign w:val="bottom"/>
            <w:tcBorders>
              <w:left w:val="single" w:sz="8" w:color="auto"/>
              <w:bottom w:val="single" w:sz="8" w:color="auto"/>
              <w:right w:val="single" w:sz="8" w:color="auto"/>
            </w:tcBorders>
          </w:tcPr>
          <w:p>
            <w:pPr>
              <w:ind w:left="320"/>
              <w:spacing w:after="0"/>
              <w:rPr>
                <w:sz w:val="20"/>
                <w:szCs w:val="20"/>
                <w:color w:val="auto"/>
              </w:rPr>
            </w:pPr>
            <w:r>
              <w:rPr>
                <w:rFonts w:ascii="Calibri" w:cs="Calibri" w:eastAsia="Calibri" w:hAnsi="Calibri"/>
                <w:sz w:val="10"/>
                <w:szCs w:val="10"/>
                <w:color w:val="auto"/>
              </w:rPr>
              <w:t>Net Insurance Financial Expenses</w:t>
            </w:r>
          </w:p>
        </w:tc>
        <w:tc>
          <w:tcPr>
            <w:tcW w:w="8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(124,686)</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(135,622)</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(139,055)</w:t>
            </w:r>
          </w:p>
        </w:tc>
        <w:tc>
          <w:tcPr>
            <w:tcW w:w="640" w:type="dxa"/>
            <w:vAlign w:val="bottom"/>
            <w:tcBorders>
              <w:bottom w:val="single" w:sz="8" w:color="auto"/>
            </w:tcBorders>
          </w:tcPr>
          <w:p>
            <w:pPr>
              <w:jc w:val="center"/>
              <w:ind w:left="188"/>
              <w:spacing w:after="0"/>
              <w:rPr>
                <w:sz w:val="20"/>
                <w:szCs w:val="20"/>
                <w:color w:val="auto"/>
              </w:rPr>
            </w:pPr>
            <w:r>
              <w:rPr>
                <w:rFonts w:ascii="Calibri" w:cs="Calibri" w:eastAsia="Calibri" w:hAnsi="Calibri"/>
                <w:sz w:val="10"/>
                <w:szCs w:val="10"/>
                <w:color w:val="auto"/>
              </w:rPr>
              <w:t>2.5%</w:t>
            </w:r>
          </w:p>
        </w:tc>
        <w:tc>
          <w:tcPr>
            <w:tcW w:w="1140" w:type="dxa"/>
            <w:vAlign w:val="bottom"/>
            <w:tcBorders>
              <w:bottom w:val="single" w:sz="8" w:color="auto"/>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11.5%</w:t>
            </w:r>
          </w:p>
        </w:tc>
        <w:tc>
          <w:tcPr>
            <w:tcW w:w="720" w:type="dxa"/>
            <w:vAlign w:val="bottom"/>
            <w:tcBorders>
              <w:bottom w:val="single" w:sz="8" w:color="auto"/>
            </w:tcBorders>
          </w:tcPr>
          <w:p>
            <w:pPr>
              <w:jc w:val="center"/>
              <w:ind w:left="108"/>
              <w:spacing w:after="0"/>
              <w:rPr>
                <w:sz w:val="20"/>
                <w:szCs w:val="20"/>
                <w:color w:val="auto"/>
              </w:rPr>
            </w:pPr>
            <w:r>
              <w:rPr>
                <w:rFonts w:ascii="Calibri" w:cs="Calibri" w:eastAsia="Calibri" w:hAnsi="Calibri"/>
                <w:sz w:val="10"/>
                <w:szCs w:val="10"/>
                <w:color w:val="auto"/>
              </w:rPr>
              <w:t>(246,690)</w:t>
            </w:r>
          </w:p>
        </w:tc>
        <w:tc>
          <w:tcPr>
            <w:tcW w:w="1040" w:type="dxa"/>
            <w:vAlign w:val="bottom"/>
            <w:tcBorders>
              <w:bottom w:val="single" w:sz="8" w:color="auto"/>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(274,676)</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11.3%</w:t>
            </w:r>
          </w:p>
        </w:tc>
      </w:tr>
      <w:tr>
        <w:trPr>
          <w:trHeight w:val="127"/>
        </w:trPr>
        <w:tc>
          <w:tcPr>
            <w:tcW w:w="4000" w:type="dxa"/>
            <w:vAlign w:val="bottom"/>
            <w:tcBorders>
              <w:left w:val="single" w:sz="8" w:color="auto"/>
              <w:bottom w:val="single" w:sz="8" w:color="auto"/>
              <w:right w:val="single" w:sz="8" w:color="auto"/>
            </w:tcBorders>
          </w:tcPr>
          <w:p>
            <w:pPr>
              <w:ind w:left="180"/>
              <w:spacing w:after="0"/>
              <w:rPr>
                <w:sz w:val="20"/>
                <w:szCs w:val="20"/>
                <w:color w:val="auto"/>
              </w:rPr>
            </w:pPr>
            <w:r>
              <w:rPr>
                <w:rFonts w:ascii="Calibri" w:cs="Calibri" w:eastAsia="Calibri" w:hAnsi="Calibri"/>
                <w:sz w:val="10"/>
                <w:szCs w:val="10"/>
                <w:b w:val="1"/>
                <w:bCs w:val="1"/>
                <w:color w:val="auto"/>
              </w:rPr>
              <w:t>Net Interest, similar income and expenses</w:t>
            </w:r>
          </w:p>
        </w:tc>
        <w:tc>
          <w:tcPr>
            <w:tcW w:w="8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3,468,464</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3,572,012</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3,615,371</w:t>
            </w:r>
          </w:p>
        </w:tc>
        <w:tc>
          <w:tcPr>
            <w:tcW w:w="640" w:type="dxa"/>
            <w:vAlign w:val="bottom"/>
            <w:tcBorders>
              <w:bottom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w w:val="99"/>
              </w:rPr>
              <w:t>1.2%</w:t>
            </w:r>
          </w:p>
        </w:tc>
        <w:tc>
          <w:tcPr>
            <w:tcW w:w="1140" w:type="dxa"/>
            <w:vAlign w:val="bottom"/>
            <w:tcBorders>
              <w:bottom w:val="single" w:sz="8" w:color="auto"/>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w w:val="99"/>
              </w:rPr>
              <w:t>4.2%</w:t>
            </w:r>
          </w:p>
        </w:tc>
        <w:tc>
          <w:tcPr>
            <w:tcW w:w="720" w:type="dxa"/>
            <w:vAlign w:val="bottom"/>
            <w:tcBorders>
              <w:bottom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6,894,587</w:t>
            </w:r>
          </w:p>
        </w:tc>
        <w:tc>
          <w:tcPr>
            <w:tcW w:w="1040" w:type="dxa"/>
            <w:vAlign w:val="bottom"/>
            <w:tcBorders>
              <w:bottom w:val="single" w:sz="8" w:color="auto"/>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7,187,383</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4.2%</w:t>
            </w:r>
          </w:p>
        </w:tc>
      </w:tr>
      <w:tr>
        <w:trPr>
          <w:trHeight w:val="243"/>
        </w:trPr>
        <w:tc>
          <w:tcPr>
            <w:tcW w:w="40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Balances</w:t>
            </w: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130"/>
        </w:trPr>
        <w:tc>
          <w:tcPr>
            <w:tcW w:w="40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Average Interest Earning Assets (IEA)</w:t>
            </w:r>
          </w:p>
        </w:tc>
        <w:tc>
          <w:tcPr>
            <w:tcW w:w="880" w:type="dxa"/>
            <w:vAlign w:val="bottom"/>
          </w:tcPr>
          <w:p>
            <w:pPr>
              <w:jc w:val="center"/>
              <w:spacing w:after="0"/>
              <w:rPr>
                <w:sz w:val="20"/>
                <w:szCs w:val="20"/>
                <w:color w:val="auto"/>
              </w:rPr>
            </w:pPr>
            <w:r>
              <w:rPr>
                <w:rFonts w:ascii="Calibri" w:cs="Calibri" w:eastAsia="Calibri" w:hAnsi="Calibri"/>
                <w:sz w:val="10"/>
                <w:szCs w:val="10"/>
                <w:color w:val="auto"/>
              </w:rPr>
              <w:t>227,161,179</w:t>
            </w:r>
          </w:p>
        </w:tc>
        <w:tc>
          <w:tcPr>
            <w:tcW w:w="920" w:type="dxa"/>
            <w:vAlign w:val="bottom"/>
          </w:tcPr>
          <w:p>
            <w:pPr>
              <w:jc w:val="center"/>
              <w:spacing w:after="0"/>
              <w:rPr>
                <w:sz w:val="20"/>
                <w:szCs w:val="20"/>
                <w:color w:val="auto"/>
              </w:rPr>
            </w:pPr>
            <w:r>
              <w:rPr>
                <w:rFonts w:ascii="Calibri" w:cs="Calibri" w:eastAsia="Calibri" w:hAnsi="Calibri"/>
                <w:sz w:val="10"/>
                <w:szCs w:val="10"/>
                <w:color w:val="auto"/>
              </w:rPr>
              <w:t>238,435,117</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233,761,957</w:t>
            </w:r>
          </w:p>
        </w:tc>
        <w:tc>
          <w:tcPr>
            <w:tcW w:w="640" w:type="dxa"/>
            <w:vAlign w:val="bottom"/>
          </w:tcPr>
          <w:p>
            <w:pPr>
              <w:jc w:val="center"/>
              <w:ind w:left="188"/>
              <w:spacing w:after="0"/>
              <w:rPr>
                <w:sz w:val="20"/>
                <w:szCs w:val="20"/>
                <w:color w:val="auto"/>
              </w:rPr>
            </w:pPr>
            <w:r>
              <w:rPr>
                <w:rFonts w:ascii="Calibri" w:cs="Calibri" w:eastAsia="Calibri" w:hAnsi="Calibri"/>
                <w:sz w:val="10"/>
                <w:szCs w:val="10"/>
                <w:color w:val="auto"/>
              </w:rPr>
              <w:t>-2.0%</w:t>
            </w:r>
          </w:p>
        </w:tc>
        <w:tc>
          <w:tcPr>
            <w:tcW w:w="114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2.9%</w:t>
            </w:r>
          </w:p>
        </w:tc>
        <w:tc>
          <w:tcPr>
            <w:tcW w:w="720" w:type="dxa"/>
            <w:vAlign w:val="bottom"/>
          </w:tcPr>
          <w:p>
            <w:pPr>
              <w:jc w:val="center"/>
              <w:ind w:left="108"/>
              <w:spacing w:after="0"/>
              <w:rPr>
                <w:sz w:val="20"/>
                <w:szCs w:val="20"/>
                <w:color w:val="auto"/>
              </w:rPr>
            </w:pPr>
            <w:r>
              <w:rPr>
                <w:rFonts w:ascii="Calibri" w:cs="Calibri" w:eastAsia="Calibri" w:hAnsi="Calibri"/>
                <w:sz w:val="10"/>
                <w:szCs w:val="10"/>
                <w:color w:val="auto"/>
              </w:rPr>
              <w:t>226,444,444</w:t>
            </w:r>
          </w:p>
        </w:tc>
        <w:tc>
          <w:tcPr>
            <w:tcW w:w="104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236,038,086</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4.2%</w:t>
            </w:r>
          </w:p>
        </w:tc>
      </w:tr>
      <w:tr>
        <w:trPr>
          <w:trHeight w:val="130"/>
        </w:trPr>
        <w:tc>
          <w:tcPr>
            <w:tcW w:w="40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Average Funding</w:t>
            </w:r>
          </w:p>
        </w:tc>
        <w:tc>
          <w:tcPr>
            <w:tcW w:w="880" w:type="dxa"/>
            <w:vAlign w:val="bottom"/>
          </w:tcPr>
          <w:p>
            <w:pPr>
              <w:jc w:val="center"/>
              <w:spacing w:after="0"/>
              <w:rPr>
                <w:sz w:val="20"/>
                <w:szCs w:val="20"/>
                <w:color w:val="auto"/>
              </w:rPr>
            </w:pPr>
            <w:r>
              <w:rPr>
                <w:rFonts w:ascii="Calibri" w:cs="Calibri" w:eastAsia="Calibri" w:hAnsi="Calibri"/>
                <w:sz w:val="10"/>
                <w:szCs w:val="10"/>
                <w:color w:val="auto"/>
              </w:rPr>
              <w:t>187,904,862</w:t>
            </w:r>
          </w:p>
        </w:tc>
        <w:tc>
          <w:tcPr>
            <w:tcW w:w="920" w:type="dxa"/>
            <w:vAlign w:val="bottom"/>
          </w:tcPr>
          <w:p>
            <w:pPr>
              <w:jc w:val="center"/>
              <w:spacing w:after="0"/>
              <w:rPr>
                <w:sz w:val="20"/>
                <w:szCs w:val="20"/>
                <w:color w:val="auto"/>
              </w:rPr>
            </w:pPr>
            <w:r>
              <w:rPr>
                <w:rFonts w:ascii="Calibri" w:cs="Calibri" w:eastAsia="Calibri" w:hAnsi="Calibri"/>
                <w:sz w:val="10"/>
                <w:szCs w:val="10"/>
                <w:color w:val="auto"/>
              </w:rPr>
              <w:t>195,997,306</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191,161,476</w:t>
            </w:r>
          </w:p>
        </w:tc>
        <w:tc>
          <w:tcPr>
            <w:tcW w:w="640" w:type="dxa"/>
            <w:vAlign w:val="bottom"/>
          </w:tcPr>
          <w:p>
            <w:pPr>
              <w:jc w:val="center"/>
              <w:ind w:left="188"/>
              <w:spacing w:after="0"/>
              <w:rPr>
                <w:sz w:val="20"/>
                <w:szCs w:val="20"/>
                <w:color w:val="auto"/>
              </w:rPr>
            </w:pPr>
            <w:r>
              <w:rPr>
                <w:rFonts w:ascii="Calibri" w:cs="Calibri" w:eastAsia="Calibri" w:hAnsi="Calibri"/>
                <w:sz w:val="10"/>
                <w:szCs w:val="10"/>
                <w:color w:val="auto"/>
              </w:rPr>
              <w:t>-2.5%</w:t>
            </w:r>
          </w:p>
        </w:tc>
        <w:tc>
          <w:tcPr>
            <w:tcW w:w="114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1.7%</w:t>
            </w:r>
          </w:p>
        </w:tc>
        <w:tc>
          <w:tcPr>
            <w:tcW w:w="720" w:type="dxa"/>
            <w:vAlign w:val="bottom"/>
          </w:tcPr>
          <w:p>
            <w:pPr>
              <w:jc w:val="center"/>
              <w:ind w:left="108"/>
              <w:spacing w:after="0"/>
              <w:rPr>
                <w:sz w:val="20"/>
                <w:szCs w:val="20"/>
                <w:color w:val="auto"/>
              </w:rPr>
            </w:pPr>
            <w:r>
              <w:rPr>
                <w:rFonts w:ascii="Calibri" w:cs="Calibri" w:eastAsia="Calibri" w:hAnsi="Calibri"/>
                <w:sz w:val="10"/>
                <w:szCs w:val="10"/>
                <w:color w:val="auto"/>
              </w:rPr>
              <w:t>187,491,207</w:t>
            </w:r>
          </w:p>
        </w:tc>
        <w:tc>
          <w:tcPr>
            <w:tcW w:w="104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194,089,774</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3.5%</w:t>
            </w:r>
          </w:p>
        </w:tc>
      </w:tr>
      <w:tr>
        <w:trPr>
          <w:trHeight w:val="260"/>
        </w:trPr>
        <w:tc>
          <w:tcPr>
            <w:tcW w:w="40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Yields</w:t>
            </w: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r>
      <w:tr>
        <w:trPr>
          <w:trHeight w:val="127"/>
        </w:trPr>
        <w:tc>
          <w:tcPr>
            <w:tcW w:w="40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Yield on IEAs</w:t>
            </w:r>
          </w:p>
        </w:tc>
        <w:tc>
          <w:tcPr>
            <w:tcW w:w="880" w:type="dxa"/>
            <w:vAlign w:val="bottom"/>
          </w:tcPr>
          <w:p>
            <w:pPr>
              <w:jc w:val="center"/>
              <w:spacing w:after="0"/>
              <w:rPr>
                <w:sz w:val="20"/>
                <w:szCs w:val="20"/>
                <w:color w:val="auto"/>
              </w:rPr>
            </w:pPr>
            <w:r>
              <w:rPr>
                <w:rFonts w:ascii="Calibri" w:cs="Calibri" w:eastAsia="Calibri" w:hAnsi="Calibri"/>
                <w:sz w:val="10"/>
                <w:szCs w:val="10"/>
                <w:color w:val="auto"/>
              </w:rPr>
              <w:t>8.69%</w:t>
            </w:r>
          </w:p>
        </w:tc>
        <w:tc>
          <w:tcPr>
            <w:tcW w:w="920" w:type="dxa"/>
            <w:vAlign w:val="bottom"/>
          </w:tcPr>
          <w:p>
            <w:pPr>
              <w:jc w:val="center"/>
              <w:spacing w:after="0"/>
              <w:rPr>
                <w:sz w:val="20"/>
                <w:szCs w:val="20"/>
                <w:color w:val="auto"/>
              </w:rPr>
            </w:pPr>
            <w:r>
              <w:rPr>
                <w:rFonts w:ascii="Calibri" w:cs="Calibri" w:eastAsia="Calibri" w:hAnsi="Calibri"/>
                <w:sz w:val="10"/>
                <w:szCs w:val="10"/>
                <w:color w:val="auto"/>
              </w:rPr>
              <w:t>8.21%</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8.42%</w:t>
            </w:r>
          </w:p>
        </w:tc>
        <w:tc>
          <w:tcPr>
            <w:tcW w:w="640" w:type="dxa"/>
            <w:vAlign w:val="bottom"/>
          </w:tcPr>
          <w:p>
            <w:pPr>
              <w:jc w:val="center"/>
              <w:ind w:left="188"/>
              <w:spacing w:after="0"/>
              <w:rPr>
                <w:sz w:val="20"/>
                <w:szCs w:val="20"/>
                <w:color w:val="auto"/>
              </w:rPr>
            </w:pPr>
            <w:r>
              <w:rPr>
                <w:rFonts w:ascii="Calibri" w:cs="Calibri" w:eastAsia="Calibri" w:hAnsi="Calibri"/>
                <w:sz w:val="10"/>
                <w:szCs w:val="10"/>
                <w:color w:val="auto"/>
              </w:rPr>
              <w:t>21 bps</w:t>
            </w:r>
          </w:p>
        </w:tc>
        <w:tc>
          <w:tcPr>
            <w:tcW w:w="114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-27 bps</w:t>
            </w:r>
          </w:p>
        </w:tc>
        <w:tc>
          <w:tcPr>
            <w:tcW w:w="720" w:type="dxa"/>
            <w:vAlign w:val="bottom"/>
          </w:tcPr>
          <w:p>
            <w:pPr>
              <w:jc w:val="center"/>
              <w:ind w:left="88"/>
              <w:spacing w:after="0"/>
              <w:rPr>
                <w:sz w:val="20"/>
                <w:szCs w:val="20"/>
                <w:color w:val="auto"/>
              </w:rPr>
            </w:pPr>
            <w:r>
              <w:rPr>
                <w:rFonts w:ascii="Calibri" w:cs="Calibri" w:eastAsia="Calibri" w:hAnsi="Calibri"/>
                <w:sz w:val="10"/>
                <w:szCs w:val="10"/>
                <w:color w:val="auto"/>
              </w:rPr>
              <w:t>8.71%</w:t>
            </w:r>
          </w:p>
        </w:tc>
        <w:tc>
          <w:tcPr>
            <w:tcW w:w="104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8.32%</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-39 bps</w:t>
            </w:r>
          </w:p>
        </w:tc>
      </w:tr>
      <w:tr>
        <w:trPr>
          <w:trHeight w:val="130"/>
        </w:trPr>
        <w:tc>
          <w:tcPr>
            <w:tcW w:w="400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9"/>
                <w:szCs w:val="9"/>
                <w:color w:val="auto"/>
              </w:rPr>
              <w:t>Cost of Funds</w:t>
            </w:r>
            <w:r>
              <w:rPr>
                <w:rFonts w:ascii="Calibri" w:cs="Calibri" w:eastAsia="Calibri" w:hAnsi="Calibri"/>
                <w:sz w:val="14"/>
                <w:szCs w:val="14"/>
                <w:color w:val="auto"/>
                <w:vertAlign w:val="superscript"/>
              </w:rPr>
              <w:t>(1)</w:t>
            </w:r>
          </w:p>
        </w:tc>
        <w:tc>
          <w:tcPr>
            <w:tcW w:w="880" w:type="dxa"/>
            <w:vAlign w:val="bottom"/>
          </w:tcPr>
          <w:p>
            <w:pPr>
              <w:jc w:val="center"/>
              <w:spacing w:after="0"/>
              <w:rPr>
                <w:sz w:val="20"/>
                <w:szCs w:val="20"/>
                <w:color w:val="auto"/>
              </w:rPr>
            </w:pPr>
            <w:r>
              <w:rPr>
                <w:rFonts w:ascii="Calibri" w:cs="Calibri" w:eastAsia="Calibri" w:hAnsi="Calibri"/>
                <w:sz w:val="10"/>
                <w:szCs w:val="10"/>
                <w:color w:val="auto"/>
              </w:rPr>
              <w:t>2.86%</w:t>
            </w:r>
          </w:p>
        </w:tc>
        <w:tc>
          <w:tcPr>
            <w:tcW w:w="920" w:type="dxa"/>
            <w:vAlign w:val="bottom"/>
          </w:tcPr>
          <w:p>
            <w:pPr>
              <w:jc w:val="center"/>
              <w:spacing w:after="0"/>
              <w:rPr>
                <w:sz w:val="20"/>
                <w:szCs w:val="20"/>
                <w:color w:val="auto"/>
              </w:rPr>
            </w:pPr>
            <w:r>
              <w:rPr>
                <w:rFonts w:ascii="Calibri" w:cs="Calibri" w:eastAsia="Calibri" w:hAnsi="Calibri"/>
                <w:sz w:val="10"/>
                <w:szCs w:val="10"/>
                <w:color w:val="auto"/>
              </w:rPr>
              <w:t>2.42%</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2.44%</w:t>
            </w:r>
          </w:p>
        </w:tc>
        <w:tc>
          <w:tcPr>
            <w:tcW w:w="640" w:type="dxa"/>
            <w:vAlign w:val="bottom"/>
          </w:tcPr>
          <w:p>
            <w:pPr>
              <w:jc w:val="center"/>
              <w:ind w:left="188"/>
              <w:spacing w:after="0"/>
              <w:rPr>
                <w:sz w:val="20"/>
                <w:szCs w:val="20"/>
                <w:color w:val="auto"/>
              </w:rPr>
            </w:pPr>
            <w:r>
              <w:rPr>
                <w:rFonts w:ascii="Calibri" w:cs="Calibri" w:eastAsia="Calibri" w:hAnsi="Calibri"/>
                <w:sz w:val="10"/>
                <w:szCs w:val="10"/>
                <w:color w:val="auto"/>
              </w:rPr>
              <w:t>2 bps</w:t>
            </w:r>
          </w:p>
        </w:tc>
        <w:tc>
          <w:tcPr>
            <w:tcW w:w="114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-42 bps</w:t>
            </w:r>
          </w:p>
        </w:tc>
        <w:tc>
          <w:tcPr>
            <w:tcW w:w="720" w:type="dxa"/>
            <w:vAlign w:val="bottom"/>
          </w:tcPr>
          <w:p>
            <w:pPr>
              <w:jc w:val="center"/>
              <w:ind w:left="88"/>
              <w:spacing w:after="0"/>
              <w:rPr>
                <w:sz w:val="20"/>
                <w:szCs w:val="20"/>
                <w:color w:val="auto"/>
              </w:rPr>
            </w:pPr>
            <w:r>
              <w:rPr>
                <w:rFonts w:ascii="Calibri" w:cs="Calibri" w:eastAsia="Calibri" w:hAnsi="Calibri"/>
                <w:sz w:val="10"/>
                <w:szCs w:val="10"/>
                <w:color w:val="auto"/>
              </w:rPr>
              <w:t>2.90%</w:t>
            </w:r>
          </w:p>
        </w:tc>
        <w:tc>
          <w:tcPr>
            <w:tcW w:w="104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2.43%</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-47 bps</w:t>
            </w:r>
          </w:p>
        </w:tc>
      </w:tr>
      <w:tr>
        <w:trPr>
          <w:trHeight w:val="130"/>
        </w:trPr>
        <w:tc>
          <w:tcPr>
            <w:tcW w:w="400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9"/>
                <w:szCs w:val="9"/>
                <w:b w:val="1"/>
                <w:bCs w:val="1"/>
                <w:color w:val="auto"/>
              </w:rPr>
              <w:t>Net Interest Margin (NIM)</w:t>
            </w:r>
            <w:r>
              <w:rPr>
                <w:rFonts w:ascii="Calibri" w:cs="Calibri" w:eastAsia="Calibri" w:hAnsi="Calibri"/>
                <w:sz w:val="14"/>
                <w:szCs w:val="14"/>
                <w:b w:val="1"/>
                <w:bCs w:val="1"/>
                <w:color w:val="auto"/>
                <w:vertAlign w:val="superscript"/>
              </w:rPr>
              <w:t>(1)</w:t>
            </w:r>
          </w:p>
        </w:tc>
        <w:tc>
          <w:tcPr>
            <w:tcW w:w="880" w:type="dxa"/>
            <w:vAlign w:val="bottom"/>
          </w:tcPr>
          <w:p>
            <w:pPr>
              <w:jc w:val="center"/>
              <w:spacing w:after="0"/>
              <w:rPr>
                <w:sz w:val="20"/>
                <w:szCs w:val="20"/>
                <w:color w:val="auto"/>
              </w:rPr>
            </w:pPr>
            <w:r>
              <w:rPr>
                <w:rFonts w:ascii="Calibri" w:cs="Calibri" w:eastAsia="Calibri" w:hAnsi="Calibri"/>
                <w:sz w:val="10"/>
                <w:szCs w:val="10"/>
                <w:b w:val="1"/>
                <w:bCs w:val="1"/>
                <w:color w:val="auto"/>
              </w:rPr>
              <w:t>6.33%</w:t>
            </w:r>
          </w:p>
        </w:tc>
        <w:tc>
          <w:tcPr>
            <w:tcW w:w="920" w:type="dxa"/>
            <w:vAlign w:val="bottom"/>
          </w:tcPr>
          <w:p>
            <w:pPr>
              <w:jc w:val="center"/>
              <w:spacing w:after="0"/>
              <w:rPr>
                <w:sz w:val="20"/>
                <w:szCs w:val="20"/>
                <w:color w:val="auto"/>
              </w:rPr>
            </w:pPr>
            <w:r>
              <w:rPr>
                <w:rFonts w:ascii="Calibri" w:cs="Calibri" w:eastAsia="Calibri" w:hAnsi="Calibri"/>
                <w:sz w:val="10"/>
                <w:szCs w:val="10"/>
                <w:b w:val="1"/>
                <w:bCs w:val="1"/>
                <w:color w:val="auto"/>
              </w:rPr>
              <w:t>6.22%</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6.42%</w:t>
            </w:r>
          </w:p>
        </w:tc>
        <w:tc>
          <w:tcPr>
            <w:tcW w:w="640" w:type="dxa"/>
            <w:vAlign w:val="bottom"/>
          </w:tcPr>
          <w:p>
            <w:pPr>
              <w:jc w:val="center"/>
              <w:ind w:left="188"/>
              <w:spacing w:after="0"/>
              <w:rPr>
                <w:sz w:val="20"/>
                <w:szCs w:val="20"/>
                <w:color w:val="auto"/>
              </w:rPr>
            </w:pPr>
            <w:r>
              <w:rPr>
                <w:rFonts w:ascii="Calibri" w:cs="Calibri" w:eastAsia="Calibri" w:hAnsi="Calibri"/>
                <w:sz w:val="10"/>
                <w:szCs w:val="10"/>
                <w:b w:val="1"/>
                <w:bCs w:val="1"/>
                <w:color w:val="auto"/>
              </w:rPr>
              <w:t>20 bps</w:t>
            </w:r>
          </w:p>
        </w:tc>
        <w:tc>
          <w:tcPr>
            <w:tcW w:w="114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rPr>
              <w:t>9 bps</w:t>
            </w:r>
          </w:p>
        </w:tc>
        <w:tc>
          <w:tcPr>
            <w:tcW w:w="72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6.31%</w:t>
            </w:r>
          </w:p>
        </w:tc>
        <w:tc>
          <w:tcPr>
            <w:tcW w:w="104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6.32%</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 bps</w:t>
            </w:r>
          </w:p>
        </w:tc>
      </w:tr>
      <w:tr>
        <w:trPr>
          <w:trHeight w:val="146"/>
        </w:trPr>
        <w:tc>
          <w:tcPr>
            <w:tcW w:w="4000" w:type="dxa"/>
            <w:vAlign w:val="bottom"/>
            <w:tcBorders>
              <w:left w:val="single" w:sz="8" w:color="auto"/>
              <w:bottom w:val="single" w:sz="8" w:color="auto"/>
              <w:right w:val="single" w:sz="8" w:color="auto"/>
            </w:tcBorders>
          </w:tcPr>
          <w:p>
            <w:pPr>
              <w:ind w:left="180"/>
              <w:spacing w:after="0" w:line="146" w:lineRule="exact"/>
              <w:rPr>
                <w:sz w:val="20"/>
                <w:szCs w:val="20"/>
                <w:color w:val="auto"/>
              </w:rPr>
            </w:pPr>
            <w:r>
              <w:rPr>
                <w:rFonts w:ascii="Calibri" w:cs="Calibri" w:eastAsia="Calibri" w:hAnsi="Calibri"/>
                <w:sz w:val="9"/>
                <w:szCs w:val="9"/>
                <w:b w:val="1"/>
                <w:bCs w:val="1"/>
                <w:color w:val="auto"/>
              </w:rPr>
              <w:t>Risk-Adjusted Net Interest Margin</w:t>
            </w:r>
            <w:r>
              <w:rPr>
                <w:rFonts w:ascii="Calibri" w:cs="Calibri" w:eastAsia="Calibri" w:hAnsi="Calibri"/>
                <w:sz w:val="15"/>
                <w:szCs w:val="15"/>
                <w:b w:val="1"/>
                <w:bCs w:val="1"/>
                <w:color w:val="auto"/>
                <w:vertAlign w:val="superscript"/>
              </w:rPr>
              <w:t>(1)</w:t>
            </w:r>
          </w:p>
        </w:tc>
        <w:tc>
          <w:tcPr>
            <w:tcW w:w="8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4.40%</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5.24%</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5.44%</w:t>
            </w:r>
          </w:p>
        </w:tc>
        <w:tc>
          <w:tcPr>
            <w:tcW w:w="640" w:type="dxa"/>
            <w:vAlign w:val="bottom"/>
            <w:tcBorders>
              <w:bottom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20 bps</w:t>
            </w:r>
          </w:p>
        </w:tc>
        <w:tc>
          <w:tcPr>
            <w:tcW w:w="1140" w:type="dxa"/>
            <w:vAlign w:val="bottom"/>
            <w:tcBorders>
              <w:bottom w:val="single" w:sz="8" w:color="auto"/>
              <w:right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rPr>
              <w:t>104 bps</w:t>
            </w:r>
          </w:p>
        </w:tc>
        <w:tc>
          <w:tcPr>
            <w:tcW w:w="720" w:type="dxa"/>
            <w:vAlign w:val="bottom"/>
            <w:tcBorders>
              <w:bottom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4.62%</w:t>
            </w:r>
          </w:p>
        </w:tc>
        <w:tc>
          <w:tcPr>
            <w:tcW w:w="1040" w:type="dxa"/>
            <w:vAlign w:val="bottom"/>
            <w:tcBorders>
              <w:bottom w:val="single" w:sz="8" w:color="auto"/>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5.34%</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72 bps</w:t>
            </w:r>
          </w:p>
        </w:tc>
      </w:tr>
      <w:tr>
        <w:trPr>
          <w:trHeight w:val="116"/>
        </w:trPr>
        <w:tc>
          <w:tcPr>
            <w:tcW w:w="4000" w:type="dxa"/>
            <w:vAlign w:val="bottom"/>
            <w:tcBorders>
              <w:left w:val="single" w:sz="8" w:color="auto"/>
              <w:right w:val="single" w:sz="8" w:color="auto"/>
            </w:tcBorders>
          </w:tcPr>
          <w:p>
            <w:pPr>
              <w:ind w:left="180"/>
              <w:spacing w:after="0" w:line="116" w:lineRule="exact"/>
              <w:rPr>
                <w:sz w:val="20"/>
                <w:szCs w:val="20"/>
                <w:color w:val="auto"/>
              </w:rPr>
            </w:pPr>
            <w:r>
              <w:rPr>
                <w:rFonts w:ascii="Calibri" w:cs="Calibri" w:eastAsia="Calibri" w:hAnsi="Calibri"/>
                <w:sz w:val="10"/>
                <w:szCs w:val="10"/>
                <w:b w:val="1"/>
                <w:bCs w:val="1"/>
                <w:color w:val="auto"/>
              </w:rPr>
              <w:t>Peru's Reference Rate</w:t>
            </w:r>
          </w:p>
        </w:tc>
        <w:tc>
          <w:tcPr>
            <w:tcW w:w="88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rPr>
              <w:t>5.75%</w:t>
            </w:r>
          </w:p>
        </w:tc>
        <w:tc>
          <w:tcPr>
            <w:tcW w:w="92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rPr>
              <w:t>4.75%</w:t>
            </w:r>
          </w:p>
        </w:tc>
        <w:tc>
          <w:tcPr>
            <w:tcW w:w="92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rPr>
              <w:t>4.50%</w:t>
            </w:r>
          </w:p>
        </w:tc>
        <w:tc>
          <w:tcPr>
            <w:tcW w:w="640" w:type="dxa"/>
            <w:vAlign w:val="bottom"/>
          </w:tcPr>
          <w:p>
            <w:pPr>
              <w:jc w:val="center"/>
              <w:ind w:left="188"/>
              <w:spacing w:after="0" w:line="116" w:lineRule="exact"/>
              <w:rPr>
                <w:sz w:val="20"/>
                <w:szCs w:val="20"/>
                <w:color w:val="auto"/>
              </w:rPr>
            </w:pPr>
            <w:r>
              <w:rPr>
                <w:rFonts w:ascii="Calibri" w:cs="Calibri" w:eastAsia="Calibri" w:hAnsi="Calibri"/>
                <w:sz w:val="10"/>
                <w:szCs w:val="10"/>
                <w:b w:val="1"/>
                <w:bCs w:val="1"/>
                <w:color w:val="auto"/>
              </w:rPr>
              <w:t>-25 bps</w:t>
            </w:r>
          </w:p>
        </w:tc>
        <w:tc>
          <w:tcPr>
            <w:tcW w:w="1140" w:type="dxa"/>
            <w:vAlign w:val="bottom"/>
            <w:tcBorders>
              <w:right w:val="single" w:sz="8" w:color="auto"/>
            </w:tcBorders>
          </w:tcPr>
          <w:p>
            <w:pPr>
              <w:jc w:val="center"/>
              <w:ind w:left="168"/>
              <w:spacing w:after="0" w:line="116" w:lineRule="exact"/>
              <w:rPr>
                <w:sz w:val="20"/>
                <w:szCs w:val="20"/>
                <w:color w:val="auto"/>
              </w:rPr>
            </w:pPr>
            <w:r>
              <w:rPr>
                <w:rFonts w:ascii="Calibri" w:cs="Calibri" w:eastAsia="Calibri" w:hAnsi="Calibri"/>
                <w:sz w:val="10"/>
                <w:szCs w:val="10"/>
                <w:b w:val="1"/>
                <w:bCs w:val="1"/>
                <w:color w:val="auto"/>
              </w:rPr>
              <w:t>-125 bps</w:t>
            </w:r>
          </w:p>
        </w:tc>
        <w:tc>
          <w:tcPr>
            <w:tcW w:w="720" w:type="dxa"/>
            <w:vAlign w:val="bottom"/>
          </w:tcPr>
          <w:p>
            <w:pPr>
              <w:jc w:val="center"/>
              <w:ind w:left="88"/>
              <w:spacing w:after="0" w:line="116" w:lineRule="exact"/>
              <w:rPr>
                <w:sz w:val="20"/>
                <w:szCs w:val="20"/>
                <w:color w:val="auto"/>
              </w:rPr>
            </w:pPr>
            <w:r>
              <w:rPr>
                <w:rFonts w:ascii="Calibri" w:cs="Calibri" w:eastAsia="Calibri" w:hAnsi="Calibri"/>
                <w:sz w:val="10"/>
                <w:szCs w:val="10"/>
                <w:b w:val="1"/>
                <w:bCs w:val="1"/>
                <w:color w:val="auto"/>
              </w:rPr>
              <w:t>5.75%</w:t>
            </w:r>
          </w:p>
        </w:tc>
        <w:tc>
          <w:tcPr>
            <w:tcW w:w="1040" w:type="dxa"/>
            <w:vAlign w:val="bottom"/>
            <w:tcBorders>
              <w:right w:val="single" w:sz="8" w:color="auto"/>
            </w:tcBorders>
          </w:tcPr>
          <w:p>
            <w:pPr>
              <w:jc w:val="center"/>
              <w:ind w:left="88"/>
              <w:spacing w:after="0" w:line="116" w:lineRule="exact"/>
              <w:rPr>
                <w:sz w:val="20"/>
                <w:szCs w:val="20"/>
                <w:color w:val="auto"/>
              </w:rPr>
            </w:pPr>
            <w:r>
              <w:rPr>
                <w:rFonts w:ascii="Calibri" w:cs="Calibri" w:eastAsia="Calibri" w:hAnsi="Calibri"/>
                <w:sz w:val="10"/>
                <w:szCs w:val="10"/>
                <w:b w:val="1"/>
                <w:bCs w:val="1"/>
                <w:color w:val="auto"/>
              </w:rPr>
              <w:t>4.50%</w:t>
            </w:r>
          </w:p>
        </w:tc>
        <w:tc>
          <w:tcPr>
            <w:tcW w:w="100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rPr>
              <w:t>-125 bps</w:t>
            </w:r>
          </w:p>
        </w:tc>
      </w:tr>
      <w:tr>
        <w:trPr>
          <w:trHeight w:val="131"/>
        </w:trPr>
        <w:tc>
          <w:tcPr>
            <w:tcW w:w="4000" w:type="dxa"/>
            <w:vAlign w:val="bottom"/>
            <w:tcBorders>
              <w:left w:val="single" w:sz="8" w:color="auto"/>
              <w:bottom w:val="single" w:sz="8" w:color="auto"/>
              <w:right w:val="single" w:sz="8" w:color="auto"/>
            </w:tcBorders>
          </w:tcPr>
          <w:p>
            <w:pPr>
              <w:ind w:left="180"/>
              <w:spacing w:after="0"/>
              <w:rPr>
                <w:sz w:val="20"/>
                <w:szCs w:val="20"/>
                <w:color w:val="auto"/>
              </w:rPr>
            </w:pPr>
            <w:r>
              <w:rPr>
                <w:rFonts w:ascii="Calibri" w:cs="Calibri" w:eastAsia="Calibri" w:hAnsi="Calibri"/>
                <w:sz w:val="10"/>
                <w:szCs w:val="10"/>
                <w:b w:val="1"/>
                <w:bCs w:val="1"/>
                <w:color w:val="auto"/>
              </w:rPr>
              <w:t>FED funds rate</w:t>
            </w:r>
          </w:p>
        </w:tc>
        <w:tc>
          <w:tcPr>
            <w:tcW w:w="8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5.50%</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4.50%</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4.50%</w:t>
            </w:r>
          </w:p>
        </w:tc>
        <w:tc>
          <w:tcPr>
            <w:tcW w:w="640" w:type="dxa"/>
            <w:vAlign w:val="bottom"/>
            <w:tcBorders>
              <w:bottom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0 bps</w:t>
            </w:r>
          </w:p>
        </w:tc>
        <w:tc>
          <w:tcPr>
            <w:tcW w:w="1140" w:type="dxa"/>
            <w:vAlign w:val="bottom"/>
            <w:tcBorders>
              <w:bottom w:val="single" w:sz="8" w:color="auto"/>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rPr>
              <w:t>-100 bps</w:t>
            </w:r>
          </w:p>
        </w:tc>
        <w:tc>
          <w:tcPr>
            <w:tcW w:w="720" w:type="dxa"/>
            <w:vAlign w:val="bottom"/>
            <w:tcBorders>
              <w:bottom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5.50%</w:t>
            </w:r>
          </w:p>
        </w:tc>
        <w:tc>
          <w:tcPr>
            <w:tcW w:w="1040" w:type="dxa"/>
            <w:vAlign w:val="bottom"/>
            <w:tcBorders>
              <w:bottom w:val="single" w:sz="8" w:color="auto"/>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4.50%</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-100 bps</w:t>
            </w:r>
          </w:p>
        </w:tc>
      </w:tr>
    </w:tbl>
    <w:p>
      <w:pPr>
        <w:spacing w:after="0" w:line="236" w:lineRule="auto"/>
        <w:rPr>
          <w:sz w:val="20"/>
          <w:szCs w:val="20"/>
          <w:color w:val="auto"/>
        </w:rPr>
      </w:pPr>
      <w:r>
        <w:rPr>
          <w:rFonts w:ascii="Calibri" w:cs="Calibri" w:eastAsia="Calibri" w:hAnsi="Calibri"/>
          <w:sz w:val="11"/>
          <w:szCs w:val="11"/>
          <w:color w:val="auto"/>
        </w:rPr>
        <w:t>(1) For further detail on the NIM and Cost of Funds calculaton, please refer to Annex 12.8</w:t>
      </w:r>
    </w:p>
    <w:p>
      <w:pPr>
        <w:spacing w:after="0" w:line="185"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 Net Interest Income (NII) tcked up 1.2%. This dynamic was primarily driven by a decline in interest on deposits, which refected a lower market interest rate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environment, as tme deposits were renewed at lower rates.</w:t>
      </w:r>
    </w:p>
    <w:p>
      <w:pPr>
        <w:spacing w:after="0" w:line="198"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YoY</w:t>
      </w:r>
      <w:r>
        <w:rPr>
          <w:rFonts w:ascii="Calibri" w:cs="Calibri" w:eastAsia="Calibri" w:hAnsi="Calibri"/>
          <w:sz w:val="17"/>
          <w:szCs w:val="17"/>
          <w:color w:val="auto"/>
        </w:rPr>
        <w:t>, NII rose 4.2% on the back of a reducton in Interest and similar expenses. This decline was fueled by lower expenses for deposits, due to lower market rates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and growth in low-cost deposits’ share of the funding structure. Interest and similar income posted a decline, atributable to a drop in interest on loans, which was in turn triggered by a negatve volume efect via a reducton in wholesale loan balances at BCP, atenuatng NII growth.</w:t>
      </w:r>
    </w:p>
    <w:p>
      <w:pPr>
        <w:spacing w:after="0" w:line="200"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 xml:space="preserve">YTD, </w:t>
      </w:r>
      <w:r>
        <w:rPr>
          <w:rFonts w:ascii="Calibri" w:cs="Calibri" w:eastAsia="Calibri" w:hAnsi="Calibri"/>
          <w:sz w:val="17"/>
          <w:szCs w:val="17"/>
          <w:color w:val="auto"/>
        </w:rPr>
        <w:t>NII grew 4.2%. This result was fueled by a reducton in Interest and similar expenses, which was triggered by a drop in expenses for deposits (through the same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dynamics as those seen YoY). Interest and similar income reported a negatve contributon to NII, which refected a drop in interest on loans, driven by the same factors that drove the YoY result.</w:t>
      </w:r>
    </w:p>
    <w:p>
      <w:pPr>
        <w:spacing w:after="0" w:line="221" w:lineRule="exact"/>
        <w:rPr>
          <w:sz w:val="20"/>
          <w:szCs w:val="20"/>
          <w:color w:val="auto"/>
        </w:rPr>
      </w:pPr>
    </w:p>
    <w:p>
      <w:pPr>
        <w:spacing w:after="0"/>
        <w:tabs>
          <w:tab w:leader="none" w:pos="140" w:val="left"/>
        </w:tabs>
        <w:rPr>
          <w:sz w:val="20"/>
          <w:szCs w:val="20"/>
          <w:color w:val="auto"/>
        </w:rPr>
      </w:pPr>
      <w:r>
        <w:rPr>
          <w:rFonts w:ascii="Calibri" w:cs="Calibri" w:eastAsia="Calibri" w:hAnsi="Calibri"/>
          <w:sz w:val="12"/>
          <w:szCs w:val="12"/>
          <w:color w:val="auto"/>
        </w:rPr>
        <w:t>1</w:t>
        <w:tab/>
        <w:t>Since the implementaton of IFRS 9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782320</wp:posOffset>
            </wp:positionV>
            <wp:extent cx="713740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129540</wp:posOffset>
            </wp:positionV>
            <wp:extent cx="6484620" cy="5124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84620" cy="5124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6" w:name="page27"/>
    <w:bookmarkEnd w:id="26"/>
    <w:p>
      <w:pPr>
        <w:jc w:val="both"/>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982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7400" cy="9829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9" w:lineRule="exact"/>
        <w:rPr>
          <w:sz w:val="20"/>
          <w:szCs w:val="20"/>
          <w:color w:val="auto"/>
        </w:rPr>
      </w:pPr>
    </w:p>
    <w:p>
      <w:pPr>
        <w:ind w:left="60" w:right="9160" w:hanging="4"/>
        <w:spacing w:after="0" w:line="238" w:lineRule="auto"/>
        <w:tabs>
          <w:tab w:leader="none" w:pos="374" w:val="left"/>
        </w:tabs>
        <w:numPr>
          <w:ilvl w:val="0"/>
          <w:numId w:val="24"/>
        </w:numPr>
        <w:rPr>
          <w:rFonts w:ascii="Calibri" w:cs="Calibri" w:eastAsia="Calibri" w:hAnsi="Calibri"/>
          <w:sz w:val="21"/>
          <w:szCs w:val="21"/>
          <w:b w:val="1"/>
          <w:bCs w:val="1"/>
          <w:color w:val="FFFFFF"/>
        </w:rPr>
      </w:pPr>
      <w:r>
        <w:rPr>
          <w:rFonts w:ascii="Calibri" w:cs="Calibri" w:eastAsia="Calibri" w:hAnsi="Calibri"/>
          <w:sz w:val="21"/>
          <w:szCs w:val="21"/>
          <w:b w:val="1"/>
          <w:bCs w:val="1"/>
          <w:color w:val="FFFFFF"/>
        </w:rPr>
        <w:t>Net Interest income (NII)</w:t>
      </w:r>
    </w:p>
    <w:p>
      <w:pPr>
        <w:spacing w:after="0" w:line="2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Net Interest Margin</w:t>
      </w:r>
    </w:p>
    <w:p>
      <w:pPr>
        <w:spacing w:after="0" w:line="197" w:lineRule="exact"/>
        <w:rPr>
          <w:sz w:val="20"/>
          <w:szCs w:val="20"/>
          <w:color w:val="auto"/>
        </w:rPr>
      </w:pPr>
    </w:p>
    <w:p>
      <w:pPr>
        <w:jc w:val="both"/>
        <w:ind w:right="5840"/>
        <w:spacing w:after="0"/>
        <w:rPr>
          <w:sz w:val="20"/>
          <w:szCs w:val="20"/>
          <w:color w:val="auto"/>
        </w:rPr>
      </w:pPr>
      <w:r>
        <w:rPr>
          <w:rFonts w:ascii="Calibri" w:cs="Calibri" w:eastAsia="Calibri" w:hAnsi="Calibri"/>
          <w:sz w:val="17"/>
          <w:szCs w:val="17"/>
          <w:b w:val="1"/>
          <w:bCs w:val="1"/>
          <w:color w:val="auto"/>
        </w:rPr>
        <w:t xml:space="preserve">NIM </w:t>
      </w:r>
      <w:r>
        <w:rPr>
          <w:rFonts w:ascii="Calibri" w:cs="Calibri" w:eastAsia="Calibri" w:hAnsi="Calibri"/>
          <w:sz w:val="17"/>
          <w:szCs w:val="17"/>
          <w:color w:val="auto"/>
        </w:rPr>
        <w:t>rose 20 bps QoQ to stand at 6.42%. This evoluton was driven by a 21 bps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increase in the yield on IEAs, afer a reducton in the average balance of Investments, and Cash and equivalents led to a higher-yielding IEA mix. The cost of funding increased slightly on the back of growth in the balance of tme deposits. </w:t>
      </w:r>
      <w:r>
        <w:rPr>
          <w:rFonts w:ascii="Calibri" w:cs="Calibri" w:eastAsia="Calibri" w:hAnsi="Calibri"/>
          <w:sz w:val="17"/>
          <w:szCs w:val="17"/>
          <w:b w:val="1"/>
          <w:bCs w:val="1"/>
          <w:color w:val="auto"/>
        </w:rPr>
        <w:t>Risk-adjusted NIM</w:t>
      </w:r>
      <w:r>
        <w:rPr>
          <w:rFonts w:ascii="Calibri" w:cs="Calibri" w:eastAsia="Calibri" w:hAnsi="Calibri"/>
          <w:sz w:val="17"/>
          <w:szCs w:val="17"/>
          <w:color w:val="auto"/>
        </w:rPr>
        <w:t xml:space="preserve"> contnued to trend upward, increasing 20 bps QoQ to reach a new high of 5.44%. It is important to note that risk-adjusted NIM increased 104 bps YoY, which refects the positve impact of our strategy to increase retail loans’ share of total loans while adequately managing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-1040130</wp:posOffset>
            </wp:positionV>
            <wp:extent cx="2775585" cy="1660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75585" cy="166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Dynamics of the Net Interest Margin by Currency</w:t>
      </w:r>
    </w:p>
    <w:p>
      <w:pPr>
        <w:sectPr>
          <w:pgSz w:w="11900" w:h="16838" w:orient="portrait"/>
          <w:cols w:equalWidth="0" w:num="1">
            <w:col w:w="11240"/>
          </w:cols>
          <w:pgMar w:left="320" w:top="444" w:right="339" w:bottom="1440" w:gutter="0" w:footer="0" w:header="0"/>
        </w:sectPr>
      </w:pP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2500" w:type="dxa"/>
            <w:vAlign w:val="bottom"/>
            <w:tcBorders>
              <w:top w:val="single" w:sz="8" w:color="auto"/>
              <w:left w:val="single" w:sz="8" w:color="auto"/>
              <w:right w:val="single" w:sz="8" w:color="auto"/>
            </w:tcBorders>
            <w:shd w:val="clear" w:color="auto" w:fill="33CCCC"/>
          </w:tcPr>
          <w:p>
            <w:pPr>
              <w:ind w:left="20"/>
              <w:spacing w:after="0" w:line="130" w:lineRule="exact"/>
              <w:rPr>
                <w:sz w:val="20"/>
                <w:szCs w:val="20"/>
                <w:color w:val="auto"/>
              </w:rPr>
            </w:pPr>
            <w:r>
              <w:rPr>
                <w:rFonts w:ascii="Calibri" w:cs="Calibri" w:eastAsia="Calibri" w:hAnsi="Calibri"/>
                <w:sz w:val="11"/>
                <w:szCs w:val="11"/>
                <w:b w:val="1"/>
                <w:bCs w:val="1"/>
                <w:color w:val="FFFFFF"/>
              </w:rPr>
              <w:t>Interest Income / IEA</w:t>
            </w:r>
          </w:p>
        </w:tc>
        <w:tc>
          <w:tcPr>
            <w:tcW w:w="520" w:type="dxa"/>
            <w:vAlign w:val="bottom"/>
            <w:tcBorders>
              <w:top w:val="single" w:sz="8" w:color="auto"/>
            </w:tcBorders>
            <w:shd w:val="clear" w:color="auto" w:fill="33CCCC"/>
          </w:tcPr>
          <w:p>
            <w:pPr>
              <w:spacing w:after="0"/>
              <w:rPr>
                <w:sz w:val="11"/>
                <w:szCs w:val="11"/>
                <w:color w:val="auto"/>
              </w:rPr>
            </w:pPr>
          </w:p>
        </w:tc>
        <w:tc>
          <w:tcPr>
            <w:tcW w:w="620" w:type="dxa"/>
            <w:vAlign w:val="bottom"/>
            <w:tcBorders>
              <w:top w:val="single" w:sz="8" w:color="auto"/>
            </w:tcBorders>
            <w:shd w:val="clear" w:color="auto" w:fill="33CCCC"/>
          </w:tcPr>
          <w:p>
            <w:pPr>
              <w:jc w:val="center"/>
              <w:ind w:left="64"/>
              <w:spacing w:after="0" w:line="130" w:lineRule="exact"/>
              <w:rPr>
                <w:sz w:val="20"/>
                <w:szCs w:val="20"/>
                <w:color w:val="auto"/>
              </w:rPr>
            </w:pPr>
            <w:r>
              <w:rPr>
                <w:rFonts w:ascii="Calibri" w:cs="Calibri" w:eastAsia="Calibri" w:hAnsi="Calibri"/>
                <w:sz w:val="11"/>
                <w:szCs w:val="11"/>
                <w:b w:val="1"/>
                <w:bCs w:val="1"/>
                <w:color w:val="FFFFFF"/>
                <w:shd w:val="clear" w:color="auto" w:fill="33CCCC"/>
              </w:rPr>
              <w:t>2Q24</w:t>
            </w:r>
          </w:p>
        </w:tc>
        <w:tc>
          <w:tcPr>
            <w:tcW w:w="660" w:type="dxa"/>
            <w:vAlign w:val="bottom"/>
            <w:tcBorders>
              <w:top w:val="single" w:sz="8" w:color="auto"/>
              <w:right w:val="single" w:sz="8" w:color="auto"/>
            </w:tcBorders>
            <w:shd w:val="clear" w:color="auto" w:fill="33CCCC"/>
          </w:tcPr>
          <w:p>
            <w:pPr>
              <w:spacing w:after="0"/>
              <w:rPr>
                <w:sz w:val="11"/>
                <w:szCs w:val="11"/>
                <w:color w:val="auto"/>
              </w:rPr>
            </w:pPr>
          </w:p>
        </w:tc>
        <w:tc>
          <w:tcPr>
            <w:tcW w:w="540" w:type="dxa"/>
            <w:vAlign w:val="bottom"/>
            <w:tcBorders>
              <w:top w:val="single" w:sz="8" w:color="auto"/>
            </w:tcBorders>
            <w:shd w:val="clear" w:color="auto" w:fill="33CCCC"/>
          </w:tcPr>
          <w:p>
            <w:pPr>
              <w:spacing w:after="0"/>
              <w:rPr>
                <w:sz w:val="11"/>
                <w:szCs w:val="11"/>
                <w:color w:val="auto"/>
              </w:rPr>
            </w:pPr>
          </w:p>
        </w:tc>
        <w:tc>
          <w:tcPr>
            <w:tcW w:w="580" w:type="dxa"/>
            <w:vAlign w:val="bottom"/>
            <w:tcBorders>
              <w:top w:val="single" w:sz="8" w:color="auto"/>
            </w:tcBorders>
            <w:shd w:val="clear" w:color="auto" w:fill="33CCCC"/>
          </w:tcPr>
          <w:p>
            <w:pPr>
              <w:jc w:val="center"/>
              <w:ind w:left="24"/>
              <w:spacing w:after="0" w:line="130" w:lineRule="exact"/>
              <w:rPr>
                <w:sz w:val="20"/>
                <w:szCs w:val="20"/>
                <w:color w:val="auto"/>
              </w:rPr>
            </w:pPr>
            <w:r>
              <w:rPr>
                <w:rFonts w:ascii="Calibri" w:cs="Calibri" w:eastAsia="Calibri" w:hAnsi="Calibri"/>
                <w:sz w:val="11"/>
                <w:szCs w:val="11"/>
                <w:b w:val="1"/>
                <w:bCs w:val="1"/>
                <w:color w:val="FFFFFF"/>
              </w:rPr>
              <w:t>1Q25</w:t>
            </w:r>
          </w:p>
        </w:tc>
        <w:tc>
          <w:tcPr>
            <w:tcW w:w="660" w:type="dxa"/>
            <w:vAlign w:val="bottom"/>
            <w:tcBorders>
              <w:top w:val="single" w:sz="8" w:color="auto"/>
              <w:right w:val="single" w:sz="8" w:color="auto"/>
            </w:tcBorders>
            <w:shd w:val="clear" w:color="auto" w:fill="33CCCC"/>
          </w:tcPr>
          <w:p>
            <w:pPr>
              <w:spacing w:after="0"/>
              <w:rPr>
                <w:sz w:val="11"/>
                <w:szCs w:val="11"/>
                <w:color w:val="auto"/>
              </w:rPr>
            </w:pPr>
          </w:p>
        </w:tc>
        <w:tc>
          <w:tcPr>
            <w:tcW w:w="540" w:type="dxa"/>
            <w:vAlign w:val="bottom"/>
            <w:tcBorders>
              <w:top w:val="single" w:sz="8" w:color="auto"/>
            </w:tcBorders>
            <w:shd w:val="clear" w:color="auto" w:fill="33CCCC"/>
          </w:tcPr>
          <w:p>
            <w:pPr>
              <w:spacing w:after="0"/>
              <w:rPr>
                <w:sz w:val="11"/>
                <w:szCs w:val="11"/>
                <w:color w:val="auto"/>
              </w:rPr>
            </w:pPr>
          </w:p>
        </w:tc>
        <w:tc>
          <w:tcPr>
            <w:tcW w:w="580" w:type="dxa"/>
            <w:vAlign w:val="bottom"/>
            <w:tcBorders>
              <w:top w:val="single" w:sz="8" w:color="auto"/>
            </w:tcBorders>
            <w:shd w:val="clear" w:color="auto" w:fill="33CCCC"/>
          </w:tcPr>
          <w:p>
            <w:pPr>
              <w:jc w:val="center"/>
              <w:ind w:left="44"/>
              <w:spacing w:after="0" w:line="130" w:lineRule="exact"/>
              <w:rPr>
                <w:sz w:val="20"/>
                <w:szCs w:val="20"/>
                <w:color w:val="auto"/>
              </w:rPr>
            </w:pPr>
            <w:r>
              <w:rPr>
                <w:rFonts w:ascii="Calibri" w:cs="Calibri" w:eastAsia="Calibri" w:hAnsi="Calibri"/>
                <w:sz w:val="11"/>
                <w:szCs w:val="11"/>
                <w:b w:val="1"/>
                <w:bCs w:val="1"/>
                <w:color w:val="FFFFFF"/>
                <w:w w:val="98"/>
              </w:rPr>
              <w:t>2Q25</w:t>
            </w:r>
          </w:p>
        </w:tc>
        <w:tc>
          <w:tcPr>
            <w:tcW w:w="660" w:type="dxa"/>
            <w:vAlign w:val="bottom"/>
            <w:tcBorders>
              <w:top w:val="single" w:sz="8" w:color="auto"/>
              <w:right w:val="single" w:sz="8" w:color="auto"/>
            </w:tcBorders>
            <w:shd w:val="clear" w:color="auto" w:fill="33CCCC"/>
          </w:tcPr>
          <w:p>
            <w:pPr>
              <w:spacing w:after="0"/>
              <w:rPr>
                <w:sz w:val="11"/>
                <w:szCs w:val="11"/>
                <w:color w:val="auto"/>
              </w:rPr>
            </w:pPr>
          </w:p>
        </w:tc>
      </w:tr>
      <w:tr>
        <w:trPr>
          <w:trHeight w:val="134"/>
        </w:trPr>
        <w:tc>
          <w:tcPr>
            <w:tcW w:w="2500" w:type="dxa"/>
            <w:vAlign w:val="bottom"/>
            <w:tcBorders>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b w:val="1"/>
                <w:bCs w:val="1"/>
                <w:color w:val="FFFFFF"/>
              </w:rPr>
              <w:t>S/ millions</w:t>
            </w:r>
          </w:p>
        </w:tc>
        <w:tc>
          <w:tcPr>
            <w:tcW w:w="520" w:type="dxa"/>
            <w:vAlign w:val="bottom"/>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Average</w:t>
            </w:r>
          </w:p>
        </w:tc>
        <w:tc>
          <w:tcPr>
            <w:tcW w:w="620" w:type="dxa"/>
            <w:vAlign w:val="bottom"/>
            <w:shd w:val="clear" w:color="auto" w:fill="33CCCC"/>
          </w:tcPr>
          <w:p>
            <w:pPr>
              <w:spacing w:after="0"/>
              <w:rPr>
                <w:sz w:val="11"/>
                <w:szCs w:val="11"/>
                <w:color w:val="auto"/>
              </w:rPr>
            </w:pPr>
          </w:p>
        </w:tc>
        <w:tc>
          <w:tcPr>
            <w:tcW w:w="660" w:type="dxa"/>
            <w:vAlign w:val="bottom"/>
            <w:tcBorders>
              <w:right w:val="single" w:sz="8" w:color="auto"/>
            </w:tcBorders>
            <w:shd w:val="clear" w:color="auto" w:fill="33CCCC"/>
          </w:tcPr>
          <w:p>
            <w:pPr>
              <w:spacing w:after="0"/>
              <w:rPr>
                <w:sz w:val="11"/>
                <w:szCs w:val="11"/>
                <w:color w:val="auto"/>
              </w:rPr>
            </w:pPr>
          </w:p>
        </w:tc>
        <w:tc>
          <w:tcPr>
            <w:tcW w:w="540" w:type="dxa"/>
            <w:vAlign w:val="bottom"/>
            <w:shd w:val="clear" w:color="auto" w:fill="33CCCC"/>
          </w:tcPr>
          <w:p>
            <w:pPr>
              <w:ind w:left="80"/>
              <w:spacing w:after="0"/>
              <w:rPr>
                <w:sz w:val="20"/>
                <w:szCs w:val="20"/>
                <w:color w:val="auto"/>
              </w:rPr>
            </w:pPr>
            <w:r>
              <w:rPr>
                <w:rFonts w:ascii="Calibri" w:cs="Calibri" w:eastAsia="Calibri" w:hAnsi="Calibri"/>
                <w:sz w:val="11"/>
                <w:szCs w:val="11"/>
                <w:b w:val="1"/>
                <w:bCs w:val="1"/>
                <w:color w:val="FFFFFF"/>
              </w:rPr>
              <w:t>Average</w:t>
            </w:r>
          </w:p>
        </w:tc>
        <w:tc>
          <w:tcPr>
            <w:tcW w:w="580" w:type="dxa"/>
            <w:vAlign w:val="bottom"/>
            <w:shd w:val="clear" w:color="auto" w:fill="33CCCC"/>
          </w:tcPr>
          <w:p>
            <w:pPr>
              <w:spacing w:after="0"/>
              <w:rPr>
                <w:sz w:val="11"/>
                <w:szCs w:val="11"/>
                <w:color w:val="auto"/>
              </w:rPr>
            </w:pPr>
          </w:p>
        </w:tc>
        <w:tc>
          <w:tcPr>
            <w:tcW w:w="660" w:type="dxa"/>
            <w:vAlign w:val="bottom"/>
            <w:tcBorders>
              <w:right w:val="single" w:sz="8" w:color="auto"/>
            </w:tcBorders>
            <w:shd w:val="clear" w:color="auto" w:fill="33CCCC"/>
          </w:tcPr>
          <w:p>
            <w:pPr>
              <w:spacing w:after="0"/>
              <w:rPr>
                <w:sz w:val="11"/>
                <w:szCs w:val="11"/>
                <w:color w:val="auto"/>
              </w:rPr>
            </w:pPr>
          </w:p>
        </w:tc>
        <w:tc>
          <w:tcPr>
            <w:tcW w:w="540" w:type="dxa"/>
            <w:vAlign w:val="bottom"/>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Average</w:t>
            </w:r>
          </w:p>
        </w:tc>
        <w:tc>
          <w:tcPr>
            <w:tcW w:w="580" w:type="dxa"/>
            <w:vAlign w:val="bottom"/>
            <w:shd w:val="clear" w:color="auto" w:fill="33CCCC"/>
          </w:tcPr>
          <w:p>
            <w:pPr>
              <w:spacing w:after="0"/>
              <w:rPr>
                <w:sz w:val="11"/>
                <w:szCs w:val="11"/>
                <w:color w:val="auto"/>
              </w:rPr>
            </w:pPr>
          </w:p>
        </w:tc>
        <w:tc>
          <w:tcPr>
            <w:tcW w:w="660" w:type="dxa"/>
            <w:vAlign w:val="bottom"/>
            <w:tcBorders>
              <w:right w:val="single" w:sz="8" w:color="auto"/>
            </w:tcBorders>
            <w:shd w:val="clear" w:color="auto" w:fill="33CCCC"/>
          </w:tcPr>
          <w:p>
            <w:pPr>
              <w:spacing w:after="0"/>
              <w:rPr>
                <w:sz w:val="11"/>
                <w:szCs w:val="11"/>
                <w:color w:val="auto"/>
              </w:rPr>
            </w:pPr>
          </w:p>
        </w:tc>
      </w:tr>
      <w:tr>
        <w:trPr>
          <w:trHeight w:val="145"/>
        </w:trPr>
        <w:tc>
          <w:tcPr>
            <w:tcW w:w="250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52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Balance</w:t>
            </w:r>
          </w:p>
        </w:tc>
        <w:tc>
          <w:tcPr>
            <w:tcW w:w="620" w:type="dxa"/>
            <w:vAlign w:val="bottom"/>
            <w:tcBorders>
              <w:bottom w:val="single" w:sz="8" w:color="auto"/>
            </w:tcBorders>
            <w:shd w:val="clear" w:color="auto" w:fill="33CCCC"/>
          </w:tcPr>
          <w:p>
            <w:pPr>
              <w:ind w:left="60"/>
              <w:spacing w:after="0"/>
              <w:rPr>
                <w:sz w:val="20"/>
                <w:szCs w:val="20"/>
                <w:color w:val="auto"/>
              </w:rPr>
            </w:pPr>
            <w:r>
              <w:rPr>
                <w:rFonts w:ascii="Calibri" w:cs="Calibri" w:eastAsia="Calibri" w:hAnsi="Calibri"/>
                <w:sz w:val="11"/>
                <w:szCs w:val="11"/>
                <w:b w:val="1"/>
                <w:bCs w:val="1"/>
                <w:color w:val="FFFFFF"/>
              </w:rPr>
              <w:t>Income</w:t>
            </w:r>
          </w:p>
        </w:tc>
        <w:tc>
          <w:tcPr>
            <w:tcW w:w="660" w:type="dxa"/>
            <w:vAlign w:val="bottom"/>
            <w:tcBorders>
              <w:bottom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1"/>
                <w:szCs w:val="11"/>
                <w:b w:val="1"/>
                <w:bCs w:val="1"/>
                <w:color w:val="FFFFFF"/>
              </w:rPr>
              <w:t>Yields</w:t>
            </w:r>
          </w:p>
        </w:tc>
        <w:tc>
          <w:tcPr>
            <w:tcW w:w="54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Balance</w:t>
            </w:r>
          </w:p>
        </w:tc>
        <w:tc>
          <w:tcPr>
            <w:tcW w:w="580" w:type="dxa"/>
            <w:vAlign w:val="bottom"/>
            <w:tcBorders>
              <w:bottom w:val="single" w:sz="8" w:color="auto"/>
            </w:tcBorders>
            <w:shd w:val="clear" w:color="auto" w:fill="33CCCC"/>
          </w:tcPr>
          <w:p>
            <w:pPr>
              <w:ind w:left="60"/>
              <w:spacing w:after="0"/>
              <w:rPr>
                <w:sz w:val="20"/>
                <w:szCs w:val="20"/>
                <w:color w:val="auto"/>
              </w:rPr>
            </w:pPr>
            <w:r>
              <w:rPr>
                <w:rFonts w:ascii="Calibri" w:cs="Calibri" w:eastAsia="Calibri" w:hAnsi="Calibri"/>
                <w:sz w:val="11"/>
                <w:szCs w:val="11"/>
                <w:b w:val="1"/>
                <w:bCs w:val="1"/>
                <w:color w:val="FFFFFF"/>
              </w:rPr>
              <w:t>Income</w:t>
            </w:r>
          </w:p>
        </w:tc>
        <w:tc>
          <w:tcPr>
            <w:tcW w:w="660" w:type="dxa"/>
            <w:vAlign w:val="bottom"/>
            <w:tcBorders>
              <w:bottom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1"/>
                <w:szCs w:val="11"/>
                <w:b w:val="1"/>
                <w:bCs w:val="1"/>
                <w:color w:val="FFFFFF"/>
              </w:rPr>
              <w:t>Yields</w:t>
            </w:r>
          </w:p>
        </w:tc>
        <w:tc>
          <w:tcPr>
            <w:tcW w:w="54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Balance</w:t>
            </w:r>
          </w:p>
        </w:tc>
        <w:tc>
          <w:tcPr>
            <w:tcW w:w="580" w:type="dxa"/>
            <w:vAlign w:val="bottom"/>
            <w:tcBorders>
              <w:bottom w:val="single" w:sz="8" w:color="auto"/>
            </w:tcBorders>
            <w:shd w:val="clear" w:color="auto" w:fill="33CCCC"/>
          </w:tcPr>
          <w:p>
            <w:pPr>
              <w:ind w:left="80"/>
              <w:spacing w:after="0"/>
              <w:rPr>
                <w:sz w:val="20"/>
                <w:szCs w:val="20"/>
                <w:color w:val="auto"/>
              </w:rPr>
            </w:pPr>
            <w:r>
              <w:rPr>
                <w:rFonts w:ascii="Calibri" w:cs="Calibri" w:eastAsia="Calibri" w:hAnsi="Calibri"/>
                <w:sz w:val="11"/>
                <w:szCs w:val="11"/>
                <w:b w:val="1"/>
                <w:bCs w:val="1"/>
                <w:color w:val="FFFFFF"/>
              </w:rPr>
              <w:t>Income</w:t>
            </w:r>
          </w:p>
        </w:tc>
        <w:tc>
          <w:tcPr>
            <w:tcW w:w="660" w:type="dxa"/>
            <w:vAlign w:val="bottom"/>
            <w:tcBorders>
              <w:bottom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1"/>
                <w:szCs w:val="11"/>
                <w:b w:val="1"/>
                <w:bCs w:val="1"/>
                <w:color w:val="FFFFFF"/>
              </w:rPr>
              <w:t>Yields</w:t>
            </w:r>
          </w:p>
        </w:tc>
      </w:tr>
      <w:tr>
        <w:trPr>
          <w:trHeight w:val="115"/>
        </w:trPr>
        <w:tc>
          <w:tcPr>
            <w:tcW w:w="2500" w:type="dxa"/>
            <w:vAlign w:val="bottom"/>
            <w:tcBorders>
              <w:left w:val="single" w:sz="8" w:color="auto"/>
              <w:right w:val="single" w:sz="8" w:color="auto"/>
            </w:tcBorders>
          </w:tcPr>
          <w:p>
            <w:pPr>
              <w:ind w:left="20"/>
              <w:spacing w:after="0" w:line="115" w:lineRule="exact"/>
              <w:rPr>
                <w:sz w:val="20"/>
                <w:szCs w:val="20"/>
                <w:color w:val="auto"/>
              </w:rPr>
            </w:pPr>
            <w:r>
              <w:rPr>
                <w:rFonts w:ascii="Calibri" w:cs="Calibri" w:eastAsia="Calibri" w:hAnsi="Calibri"/>
                <w:sz w:val="11"/>
                <w:szCs w:val="11"/>
                <w:b w:val="1"/>
                <w:bCs w:val="1"/>
                <w:color w:val="auto"/>
              </w:rPr>
              <w:t>Total (LC + FC)</w:t>
            </w: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r>
      <w:tr>
        <w:trPr>
          <w:trHeight w:val="130"/>
        </w:trPr>
        <w:tc>
          <w:tcPr>
            <w:tcW w:w="250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Cash and equivalents</w:t>
            </w:r>
          </w:p>
        </w:tc>
        <w:tc>
          <w:tcPr>
            <w:tcW w:w="520" w:type="dxa"/>
            <w:vAlign w:val="bottom"/>
          </w:tcPr>
          <w:p>
            <w:pPr>
              <w:jc w:val="center"/>
              <w:spacing w:after="0" w:line="130" w:lineRule="exact"/>
              <w:rPr>
                <w:sz w:val="20"/>
                <w:szCs w:val="20"/>
                <w:color w:val="auto"/>
              </w:rPr>
            </w:pPr>
            <w:r>
              <w:rPr>
                <w:rFonts w:ascii="Calibri" w:cs="Calibri" w:eastAsia="Calibri" w:hAnsi="Calibri"/>
                <w:sz w:val="11"/>
                <w:szCs w:val="11"/>
                <w:color w:val="auto"/>
              </w:rPr>
              <w:t>29,146</w:t>
            </w:r>
          </w:p>
        </w:tc>
        <w:tc>
          <w:tcPr>
            <w:tcW w:w="62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320</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4.4%</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rPr>
              <w:t>38,821</w:t>
            </w:r>
          </w:p>
        </w:tc>
        <w:tc>
          <w:tcPr>
            <w:tcW w:w="58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345</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3.6%</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w w:val="97"/>
              </w:rPr>
              <w:t>35,864</w:t>
            </w:r>
          </w:p>
        </w:tc>
        <w:tc>
          <w:tcPr>
            <w:tcW w:w="580" w:type="dxa"/>
            <w:vAlign w:val="bottom"/>
          </w:tcPr>
          <w:p>
            <w:pPr>
              <w:jc w:val="center"/>
              <w:ind w:left="44"/>
              <w:spacing w:after="0" w:line="130" w:lineRule="exact"/>
              <w:rPr>
                <w:sz w:val="20"/>
                <w:szCs w:val="20"/>
                <w:color w:val="auto"/>
              </w:rPr>
            </w:pPr>
            <w:r>
              <w:rPr>
                <w:rFonts w:ascii="Calibri" w:cs="Calibri" w:eastAsia="Calibri" w:hAnsi="Calibri"/>
                <w:sz w:val="11"/>
                <w:szCs w:val="11"/>
                <w:color w:val="auto"/>
                <w:w w:val="95"/>
              </w:rPr>
              <w:t>342</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3.8%</w:t>
            </w:r>
          </w:p>
        </w:tc>
      </w:tr>
      <w:tr>
        <w:trPr>
          <w:trHeight w:val="130"/>
        </w:trPr>
        <w:tc>
          <w:tcPr>
            <w:tcW w:w="250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Other IEA</w:t>
            </w:r>
          </w:p>
        </w:tc>
        <w:tc>
          <w:tcPr>
            <w:tcW w:w="52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1,652</w:t>
            </w:r>
          </w:p>
        </w:tc>
        <w:tc>
          <w:tcPr>
            <w:tcW w:w="620" w:type="dxa"/>
            <w:vAlign w:val="bottom"/>
          </w:tcPr>
          <w:p>
            <w:pPr>
              <w:jc w:val="center"/>
              <w:ind w:left="44"/>
              <w:spacing w:after="0" w:line="130" w:lineRule="exact"/>
              <w:rPr>
                <w:sz w:val="20"/>
                <w:szCs w:val="20"/>
                <w:color w:val="auto"/>
              </w:rPr>
            </w:pPr>
            <w:r>
              <w:rPr>
                <w:rFonts w:ascii="Calibri" w:cs="Calibri" w:eastAsia="Calibri" w:hAnsi="Calibri"/>
                <w:sz w:val="11"/>
                <w:szCs w:val="11"/>
                <w:color w:val="auto"/>
              </w:rPr>
              <w:t>26</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6.3%</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rPr>
              <w:t>1,434</w:t>
            </w:r>
          </w:p>
        </w:tc>
        <w:tc>
          <w:tcPr>
            <w:tcW w:w="58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w w:val="89"/>
              </w:rPr>
              <w:t>19</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5.3%</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rPr>
              <w:t>3,215</w:t>
            </w:r>
          </w:p>
        </w:tc>
        <w:tc>
          <w:tcPr>
            <w:tcW w:w="580" w:type="dxa"/>
            <w:vAlign w:val="bottom"/>
          </w:tcPr>
          <w:p>
            <w:pPr>
              <w:jc w:val="center"/>
              <w:ind w:left="44"/>
              <w:spacing w:after="0" w:line="130" w:lineRule="exact"/>
              <w:rPr>
                <w:sz w:val="20"/>
                <w:szCs w:val="20"/>
                <w:color w:val="auto"/>
              </w:rPr>
            </w:pPr>
            <w:r>
              <w:rPr>
                <w:rFonts w:ascii="Calibri" w:cs="Calibri" w:eastAsia="Calibri" w:hAnsi="Calibri"/>
                <w:sz w:val="11"/>
                <w:szCs w:val="11"/>
                <w:color w:val="auto"/>
              </w:rPr>
              <w:t>69</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8.6%</w:t>
            </w:r>
          </w:p>
        </w:tc>
      </w:tr>
      <w:tr>
        <w:trPr>
          <w:trHeight w:val="130"/>
        </w:trPr>
        <w:tc>
          <w:tcPr>
            <w:tcW w:w="250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Investments</w:t>
            </w:r>
          </w:p>
        </w:tc>
        <w:tc>
          <w:tcPr>
            <w:tcW w:w="520" w:type="dxa"/>
            <w:vAlign w:val="bottom"/>
          </w:tcPr>
          <w:p>
            <w:pPr>
              <w:jc w:val="center"/>
              <w:spacing w:after="0" w:line="130" w:lineRule="exact"/>
              <w:rPr>
                <w:sz w:val="20"/>
                <w:szCs w:val="20"/>
                <w:color w:val="auto"/>
              </w:rPr>
            </w:pPr>
            <w:r>
              <w:rPr>
                <w:rFonts w:ascii="Calibri" w:cs="Calibri" w:eastAsia="Calibri" w:hAnsi="Calibri"/>
                <w:sz w:val="11"/>
                <w:szCs w:val="11"/>
                <w:color w:val="auto"/>
              </w:rPr>
              <w:t>52,491</w:t>
            </w:r>
          </w:p>
        </w:tc>
        <w:tc>
          <w:tcPr>
            <w:tcW w:w="62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668</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5.1%</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rPr>
              <w:t>54,716</w:t>
            </w:r>
          </w:p>
        </w:tc>
        <w:tc>
          <w:tcPr>
            <w:tcW w:w="58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683</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5.0%</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w w:val="97"/>
              </w:rPr>
              <w:t>53,604</w:t>
            </w:r>
          </w:p>
        </w:tc>
        <w:tc>
          <w:tcPr>
            <w:tcW w:w="580" w:type="dxa"/>
            <w:vAlign w:val="bottom"/>
          </w:tcPr>
          <w:p>
            <w:pPr>
              <w:jc w:val="center"/>
              <w:ind w:left="44"/>
              <w:spacing w:after="0" w:line="130" w:lineRule="exact"/>
              <w:rPr>
                <w:sz w:val="20"/>
                <w:szCs w:val="20"/>
                <w:color w:val="auto"/>
              </w:rPr>
            </w:pPr>
            <w:r>
              <w:rPr>
                <w:rFonts w:ascii="Calibri" w:cs="Calibri" w:eastAsia="Calibri" w:hAnsi="Calibri"/>
                <w:sz w:val="11"/>
                <w:szCs w:val="11"/>
                <w:color w:val="auto"/>
                <w:w w:val="95"/>
              </w:rPr>
              <w:t>670</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5.0%</w:t>
            </w:r>
          </w:p>
        </w:tc>
      </w:tr>
      <w:tr>
        <w:trPr>
          <w:trHeight w:val="134"/>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Loans</w:t>
            </w:r>
          </w:p>
        </w:tc>
        <w:tc>
          <w:tcPr>
            <w:tcW w:w="520" w:type="dxa"/>
            <w:vAlign w:val="bottom"/>
          </w:tcPr>
          <w:p>
            <w:pPr>
              <w:jc w:val="center"/>
              <w:spacing w:after="0"/>
              <w:rPr>
                <w:sz w:val="20"/>
                <w:szCs w:val="20"/>
                <w:color w:val="auto"/>
              </w:rPr>
            </w:pPr>
            <w:r>
              <w:rPr>
                <w:rFonts w:ascii="Calibri" w:cs="Calibri" w:eastAsia="Calibri" w:hAnsi="Calibri"/>
                <w:sz w:val="11"/>
                <w:szCs w:val="11"/>
                <w:color w:val="auto"/>
                <w:w w:val="99"/>
              </w:rPr>
              <w:t>143,873</w:t>
            </w:r>
          </w:p>
        </w:tc>
        <w:tc>
          <w:tcPr>
            <w:tcW w:w="620" w:type="dxa"/>
            <w:vAlign w:val="bottom"/>
          </w:tcPr>
          <w:p>
            <w:pPr>
              <w:jc w:val="center"/>
              <w:ind w:left="24"/>
              <w:spacing w:after="0"/>
              <w:rPr>
                <w:sz w:val="20"/>
                <w:szCs w:val="20"/>
                <w:color w:val="auto"/>
              </w:rPr>
            </w:pPr>
            <w:r>
              <w:rPr>
                <w:rFonts w:ascii="Calibri" w:cs="Calibri" w:eastAsia="Calibri" w:hAnsi="Calibri"/>
                <w:sz w:val="11"/>
                <w:szCs w:val="11"/>
                <w:color w:val="auto"/>
              </w:rPr>
              <w:t>3,922</w:t>
            </w:r>
          </w:p>
        </w:tc>
        <w:tc>
          <w:tcPr>
            <w:tcW w:w="6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10.9%</w:t>
            </w:r>
          </w:p>
        </w:tc>
        <w:tc>
          <w:tcPr>
            <w:tcW w:w="540" w:type="dxa"/>
            <w:vAlign w:val="bottom"/>
          </w:tcPr>
          <w:p>
            <w:pPr>
              <w:jc w:val="center"/>
              <w:spacing w:after="0"/>
              <w:rPr>
                <w:sz w:val="20"/>
                <w:szCs w:val="20"/>
                <w:color w:val="auto"/>
              </w:rPr>
            </w:pPr>
            <w:r>
              <w:rPr>
                <w:rFonts w:ascii="Calibri" w:cs="Calibri" w:eastAsia="Calibri" w:hAnsi="Calibri"/>
                <w:sz w:val="11"/>
                <w:szCs w:val="11"/>
                <w:color w:val="auto"/>
                <w:w w:val="99"/>
              </w:rPr>
              <w:t>143,465</w:t>
            </w:r>
          </w:p>
        </w:tc>
        <w:tc>
          <w:tcPr>
            <w:tcW w:w="580" w:type="dxa"/>
            <w:vAlign w:val="bottom"/>
          </w:tcPr>
          <w:p>
            <w:pPr>
              <w:jc w:val="center"/>
              <w:ind w:left="24"/>
              <w:spacing w:after="0"/>
              <w:rPr>
                <w:sz w:val="20"/>
                <w:szCs w:val="20"/>
                <w:color w:val="auto"/>
              </w:rPr>
            </w:pPr>
            <w:r>
              <w:rPr>
                <w:rFonts w:ascii="Calibri" w:cs="Calibri" w:eastAsia="Calibri" w:hAnsi="Calibri"/>
                <w:sz w:val="11"/>
                <w:szCs w:val="11"/>
                <w:color w:val="auto"/>
              </w:rPr>
              <w:t>3,848</w:t>
            </w:r>
          </w:p>
        </w:tc>
        <w:tc>
          <w:tcPr>
            <w:tcW w:w="6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10.7%</w:t>
            </w:r>
          </w:p>
        </w:tc>
        <w:tc>
          <w:tcPr>
            <w:tcW w:w="540" w:type="dxa"/>
            <w:vAlign w:val="bottom"/>
          </w:tcPr>
          <w:p>
            <w:pPr>
              <w:jc w:val="center"/>
              <w:spacing w:after="0"/>
              <w:rPr>
                <w:sz w:val="20"/>
                <w:szCs w:val="20"/>
                <w:color w:val="auto"/>
              </w:rPr>
            </w:pPr>
            <w:r>
              <w:rPr>
                <w:rFonts w:ascii="Calibri" w:cs="Calibri" w:eastAsia="Calibri" w:hAnsi="Calibri"/>
                <w:sz w:val="11"/>
                <w:szCs w:val="11"/>
                <w:color w:val="auto"/>
              </w:rPr>
              <w:t>141,079</w:t>
            </w:r>
          </w:p>
        </w:tc>
        <w:tc>
          <w:tcPr>
            <w:tcW w:w="580" w:type="dxa"/>
            <w:vAlign w:val="bottom"/>
          </w:tcPr>
          <w:p>
            <w:pPr>
              <w:jc w:val="center"/>
              <w:ind w:left="24"/>
              <w:spacing w:after="0"/>
              <w:rPr>
                <w:sz w:val="20"/>
                <w:szCs w:val="20"/>
                <w:color w:val="auto"/>
              </w:rPr>
            </w:pPr>
            <w:r>
              <w:rPr>
                <w:rFonts w:ascii="Calibri" w:cs="Calibri" w:eastAsia="Calibri" w:hAnsi="Calibri"/>
                <w:sz w:val="11"/>
                <w:szCs w:val="11"/>
                <w:color w:val="auto"/>
              </w:rPr>
              <w:t>3,841</w:t>
            </w:r>
          </w:p>
        </w:tc>
        <w:tc>
          <w:tcPr>
            <w:tcW w:w="6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10.9%</w:t>
            </w:r>
          </w:p>
        </w:tc>
      </w:tr>
      <w:tr>
        <w:trPr>
          <w:trHeight w:val="2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123"/>
        </w:trPr>
        <w:tc>
          <w:tcPr>
            <w:tcW w:w="25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Total IEA</w:t>
            </w:r>
          </w:p>
        </w:tc>
        <w:tc>
          <w:tcPr>
            <w:tcW w:w="5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227,162</w:t>
            </w:r>
          </w:p>
        </w:tc>
        <w:tc>
          <w:tcPr>
            <w:tcW w:w="620" w:type="dxa"/>
            <w:vAlign w:val="bottom"/>
            <w:tcBorders>
              <w:bottom w:val="single" w:sz="8" w:color="auto"/>
            </w:tcBorders>
          </w:tcPr>
          <w:p>
            <w:pPr>
              <w:jc w:val="center"/>
              <w:ind w:left="24"/>
              <w:spacing w:after="0" w:line="124" w:lineRule="exact"/>
              <w:rPr>
                <w:sz w:val="20"/>
                <w:szCs w:val="20"/>
                <w:color w:val="auto"/>
              </w:rPr>
            </w:pPr>
            <w:r>
              <w:rPr>
                <w:rFonts w:ascii="Calibri" w:cs="Calibri" w:eastAsia="Calibri" w:hAnsi="Calibri"/>
                <w:sz w:val="11"/>
                <w:szCs w:val="11"/>
                <w:b w:val="1"/>
                <w:bCs w:val="1"/>
                <w:color w:val="auto"/>
              </w:rPr>
              <w:t>4,936</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8.7%</w:t>
            </w:r>
          </w:p>
        </w:tc>
        <w:tc>
          <w:tcPr>
            <w:tcW w:w="5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238,436</w:t>
            </w:r>
          </w:p>
        </w:tc>
        <w:tc>
          <w:tcPr>
            <w:tcW w:w="580" w:type="dxa"/>
            <w:vAlign w:val="bottom"/>
            <w:tcBorders>
              <w:bottom w:val="single" w:sz="8" w:color="auto"/>
            </w:tcBorders>
          </w:tcPr>
          <w:p>
            <w:pPr>
              <w:jc w:val="center"/>
              <w:ind w:left="24"/>
              <w:spacing w:after="0" w:line="124" w:lineRule="exact"/>
              <w:rPr>
                <w:sz w:val="20"/>
                <w:szCs w:val="20"/>
                <w:color w:val="auto"/>
              </w:rPr>
            </w:pPr>
            <w:r>
              <w:rPr>
                <w:rFonts w:ascii="Calibri" w:cs="Calibri" w:eastAsia="Calibri" w:hAnsi="Calibri"/>
                <w:sz w:val="11"/>
                <w:szCs w:val="11"/>
                <w:b w:val="1"/>
                <w:bCs w:val="1"/>
                <w:color w:val="auto"/>
              </w:rPr>
              <w:t>4,895</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8.2%</w:t>
            </w:r>
          </w:p>
        </w:tc>
        <w:tc>
          <w:tcPr>
            <w:tcW w:w="5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233,762</w:t>
            </w:r>
          </w:p>
        </w:tc>
        <w:tc>
          <w:tcPr>
            <w:tcW w:w="580" w:type="dxa"/>
            <w:vAlign w:val="bottom"/>
            <w:tcBorders>
              <w:bottom w:val="single" w:sz="8" w:color="auto"/>
            </w:tcBorders>
          </w:tcPr>
          <w:p>
            <w:pPr>
              <w:jc w:val="center"/>
              <w:ind w:left="24"/>
              <w:spacing w:after="0" w:line="124" w:lineRule="exact"/>
              <w:rPr>
                <w:sz w:val="20"/>
                <w:szCs w:val="20"/>
                <w:color w:val="auto"/>
              </w:rPr>
            </w:pPr>
            <w:r>
              <w:rPr>
                <w:rFonts w:ascii="Calibri" w:cs="Calibri" w:eastAsia="Calibri" w:hAnsi="Calibri"/>
                <w:sz w:val="11"/>
                <w:szCs w:val="11"/>
                <w:b w:val="1"/>
                <w:bCs w:val="1"/>
                <w:color w:val="auto"/>
              </w:rPr>
              <w:t>4,922</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8.4%</w:t>
            </w:r>
          </w:p>
        </w:tc>
      </w:tr>
      <w:tr>
        <w:trPr>
          <w:trHeight w:val="132"/>
        </w:trPr>
        <w:tc>
          <w:tcPr>
            <w:tcW w:w="2500" w:type="dxa"/>
            <w:vAlign w:val="bottom"/>
            <w:tcBorders>
              <w:left w:val="single" w:sz="8" w:color="auto"/>
              <w:bottom w:val="single" w:sz="8" w:color="auto"/>
              <w:right w:val="single" w:sz="8" w:color="auto"/>
            </w:tcBorders>
          </w:tcPr>
          <w:p>
            <w:pPr>
              <w:ind w:left="20"/>
              <w:spacing w:after="0" w:line="132" w:lineRule="exact"/>
              <w:rPr>
                <w:sz w:val="20"/>
                <w:szCs w:val="20"/>
                <w:color w:val="auto"/>
              </w:rPr>
            </w:pPr>
            <w:r>
              <w:rPr>
                <w:rFonts w:ascii="Calibri" w:cs="Calibri" w:eastAsia="Calibri" w:hAnsi="Calibri"/>
                <w:sz w:val="11"/>
                <w:szCs w:val="11"/>
                <w:color w:val="auto"/>
              </w:rPr>
              <w:t>IEA (LC)</w:t>
            </w:r>
          </w:p>
        </w:tc>
        <w:tc>
          <w:tcPr>
            <w:tcW w:w="520" w:type="dxa"/>
            <w:vAlign w:val="bottom"/>
            <w:tcBorders>
              <w:bottom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57.4%</w:t>
            </w:r>
          </w:p>
        </w:tc>
        <w:tc>
          <w:tcPr>
            <w:tcW w:w="620" w:type="dxa"/>
            <w:vAlign w:val="bottom"/>
            <w:tcBorders>
              <w:bottom w:val="single" w:sz="8" w:color="auto"/>
            </w:tcBorders>
          </w:tcPr>
          <w:p>
            <w:pPr>
              <w:jc w:val="center"/>
              <w:ind w:left="44"/>
              <w:spacing w:after="0" w:line="132" w:lineRule="exact"/>
              <w:rPr>
                <w:sz w:val="20"/>
                <w:szCs w:val="20"/>
                <w:color w:val="auto"/>
              </w:rPr>
            </w:pPr>
            <w:r>
              <w:rPr>
                <w:rFonts w:ascii="Calibri" w:cs="Calibri" w:eastAsia="Calibri" w:hAnsi="Calibri"/>
                <w:sz w:val="11"/>
                <w:szCs w:val="11"/>
                <w:color w:val="auto"/>
              </w:rPr>
              <w:t>69.4%</w:t>
            </w:r>
          </w:p>
        </w:tc>
        <w:tc>
          <w:tcPr>
            <w:tcW w:w="660" w:type="dxa"/>
            <w:vAlign w:val="bottom"/>
            <w:tcBorders>
              <w:bottom w:val="single" w:sz="8" w:color="auto"/>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10.5%</w:t>
            </w:r>
          </w:p>
        </w:tc>
        <w:tc>
          <w:tcPr>
            <w:tcW w:w="540" w:type="dxa"/>
            <w:vAlign w:val="bottom"/>
            <w:tcBorders>
              <w:bottom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55.6%</w:t>
            </w:r>
          </w:p>
        </w:tc>
        <w:tc>
          <w:tcPr>
            <w:tcW w:w="580" w:type="dxa"/>
            <w:vAlign w:val="bottom"/>
            <w:tcBorders>
              <w:bottom w:val="single" w:sz="8" w:color="auto"/>
            </w:tcBorders>
          </w:tcPr>
          <w:p>
            <w:pPr>
              <w:jc w:val="center"/>
              <w:ind w:left="4"/>
              <w:spacing w:after="0" w:line="132" w:lineRule="exact"/>
              <w:rPr>
                <w:sz w:val="20"/>
                <w:szCs w:val="20"/>
                <w:color w:val="auto"/>
              </w:rPr>
            </w:pPr>
            <w:r>
              <w:rPr>
                <w:rFonts w:ascii="Calibri" w:cs="Calibri" w:eastAsia="Calibri" w:hAnsi="Calibri"/>
                <w:sz w:val="11"/>
                <w:szCs w:val="11"/>
                <w:color w:val="auto"/>
              </w:rPr>
              <w:t>70.5%</w:t>
            </w:r>
          </w:p>
        </w:tc>
        <w:tc>
          <w:tcPr>
            <w:tcW w:w="660" w:type="dxa"/>
            <w:vAlign w:val="bottom"/>
            <w:tcBorders>
              <w:bottom w:val="single" w:sz="8" w:color="auto"/>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10.4%</w:t>
            </w:r>
          </w:p>
        </w:tc>
        <w:tc>
          <w:tcPr>
            <w:tcW w:w="540" w:type="dxa"/>
            <w:vAlign w:val="bottom"/>
            <w:tcBorders>
              <w:bottom w:val="single" w:sz="8" w:color="auto"/>
            </w:tcBorders>
          </w:tcPr>
          <w:p>
            <w:pPr>
              <w:jc w:val="center"/>
              <w:ind w:left="4"/>
              <w:spacing w:after="0" w:line="132" w:lineRule="exact"/>
              <w:rPr>
                <w:sz w:val="20"/>
                <w:szCs w:val="20"/>
                <w:color w:val="auto"/>
              </w:rPr>
            </w:pPr>
            <w:r>
              <w:rPr>
                <w:rFonts w:ascii="Calibri" w:cs="Calibri" w:eastAsia="Calibri" w:hAnsi="Calibri"/>
                <w:sz w:val="11"/>
                <w:szCs w:val="11"/>
                <w:color w:val="auto"/>
              </w:rPr>
              <w:t>56.5%</w:t>
            </w:r>
          </w:p>
        </w:tc>
        <w:tc>
          <w:tcPr>
            <w:tcW w:w="580" w:type="dxa"/>
            <w:vAlign w:val="bottom"/>
            <w:tcBorders>
              <w:bottom w:val="single" w:sz="8" w:color="auto"/>
            </w:tcBorders>
          </w:tcPr>
          <w:p>
            <w:pPr>
              <w:jc w:val="center"/>
              <w:ind w:left="44"/>
              <w:spacing w:after="0" w:line="132" w:lineRule="exact"/>
              <w:rPr>
                <w:sz w:val="20"/>
                <w:szCs w:val="20"/>
                <w:color w:val="auto"/>
              </w:rPr>
            </w:pPr>
            <w:r>
              <w:rPr>
                <w:rFonts w:ascii="Calibri" w:cs="Calibri" w:eastAsia="Calibri" w:hAnsi="Calibri"/>
                <w:sz w:val="11"/>
                <w:szCs w:val="11"/>
                <w:color w:val="auto"/>
              </w:rPr>
              <w:t>71.1%</w:t>
            </w:r>
          </w:p>
        </w:tc>
        <w:tc>
          <w:tcPr>
            <w:tcW w:w="660" w:type="dxa"/>
            <w:vAlign w:val="bottom"/>
            <w:tcBorders>
              <w:bottom w:val="single" w:sz="8" w:color="auto"/>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10.6%</w:t>
            </w:r>
          </w:p>
        </w:tc>
      </w:tr>
      <w:tr>
        <w:trPr>
          <w:trHeight w:val="127"/>
        </w:trPr>
        <w:tc>
          <w:tcPr>
            <w:tcW w:w="2500" w:type="dxa"/>
            <w:vAlign w:val="bottom"/>
            <w:tcBorders>
              <w:left w:val="single" w:sz="8" w:color="auto"/>
              <w:bottom w:val="single" w:sz="8" w:color="auto"/>
              <w:right w:val="single" w:sz="8" w:color="auto"/>
            </w:tcBorders>
          </w:tcPr>
          <w:p>
            <w:pPr>
              <w:ind w:left="20"/>
              <w:spacing w:after="0" w:line="128" w:lineRule="exact"/>
              <w:rPr>
                <w:sz w:val="20"/>
                <w:szCs w:val="20"/>
                <w:color w:val="auto"/>
              </w:rPr>
            </w:pPr>
            <w:r>
              <w:rPr>
                <w:rFonts w:ascii="Calibri" w:cs="Calibri" w:eastAsia="Calibri" w:hAnsi="Calibri"/>
                <w:sz w:val="11"/>
                <w:szCs w:val="11"/>
                <w:color w:val="auto"/>
              </w:rPr>
              <w:t>IEA (FC)</w:t>
            </w:r>
          </w:p>
        </w:tc>
        <w:tc>
          <w:tcPr>
            <w:tcW w:w="520" w:type="dxa"/>
            <w:vAlign w:val="bottom"/>
            <w:tcBorders>
              <w:bottom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42.6%</w:t>
            </w:r>
          </w:p>
        </w:tc>
        <w:tc>
          <w:tcPr>
            <w:tcW w:w="620" w:type="dxa"/>
            <w:vAlign w:val="bottom"/>
            <w:tcBorders>
              <w:bottom w:val="single" w:sz="8" w:color="auto"/>
            </w:tcBorders>
          </w:tcPr>
          <w:p>
            <w:pPr>
              <w:jc w:val="center"/>
              <w:ind w:left="44"/>
              <w:spacing w:after="0" w:line="128" w:lineRule="exact"/>
              <w:rPr>
                <w:sz w:val="20"/>
                <w:szCs w:val="20"/>
                <w:color w:val="auto"/>
              </w:rPr>
            </w:pPr>
            <w:r>
              <w:rPr>
                <w:rFonts w:ascii="Calibri" w:cs="Calibri" w:eastAsia="Calibri" w:hAnsi="Calibri"/>
                <w:sz w:val="11"/>
                <w:szCs w:val="11"/>
                <w:color w:val="auto"/>
              </w:rPr>
              <w:t>30.6%</w:t>
            </w:r>
          </w:p>
        </w:tc>
        <w:tc>
          <w:tcPr>
            <w:tcW w:w="660" w:type="dxa"/>
            <w:vAlign w:val="bottom"/>
            <w:tcBorders>
              <w:bottom w:val="single" w:sz="8" w:color="auto"/>
              <w:right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6.2%</w:t>
            </w:r>
          </w:p>
        </w:tc>
        <w:tc>
          <w:tcPr>
            <w:tcW w:w="540" w:type="dxa"/>
            <w:vAlign w:val="bottom"/>
            <w:tcBorders>
              <w:bottom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44.4%</w:t>
            </w:r>
          </w:p>
        </w:tc>
        <w:tc>
          <w:tcPr>
            <w:tcW w:w="580" w:type="dxa"/>
            <w:vAlign w:val="bottom"/>
            <w:tcBorders>
              <w:bottom w:val="single" w:sz="8" w:color="auto"/>
            </w:tcBorders>
          </w:tcPr>
          <w:p>
            <w:pPr>
              <w:jc w:val="center"/>
              <w:ind w:left="4"/>
              <w:spacing w:after="0" w:line="128" w:lineRule="exact"/>
              <w:rPr>
                <w:sz w:val="20"/>
                <w:szCs w:val="20"/>
                <w:color w:val="auto"/>
              </w:rPr>
            </w:pPr>
            <w:r>
              <w:rPr>
                <w:rFonts w:ascii="Calibri" w:cs="Calibri" w:eastAsia="Calibri" w:hAnsi="Calibri"/>
                <w:sz w:val="11"/>
                <w:szCs w:val="11"/>
                <w:color w:val="auto"/>
              </w:rPr>
              <w:t>29.5%</w:t>
            </w:r>
          </w:p>
        </w:tc>
        <w:tc>
          <w:tcPr>
            <w:tcW w:w="660" w:type="dxa"/>
            <w:vAlign w:val="bottom"/>
            <w:tcBorders>
              <w:bottom w:val="single" w:sz="8" w:color="auto"/>
              <w:right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5.5%</w:t>
            </w:r>
          </w:p>
        </w:tc>
        <w:tc>
          <w:tcPr>
            <w:tcW w:w="540" w:type="dxa"/>
            <w:vAlign w:val="bottom"/>
            <w:tcBorders>
              <w:bottom w:val="single" w:sz="8" w:color="auto"/>
            </w:tcBorders>
          </w:tcPr>
          <w:p>
            <w:pPr>
              <w:jc w:val="center"/>
              <w:ind w:left="4"/>
              <w:spacing w:after="0" w:line="128" w:lineRule="exact"/>
              <w:rPr>
                <w:sz w:val="20"/>
                <w:szCs w:val="20"/>
                <w:color w:val="auto"/>
              </w:rPr>
            </w:pPr>
            <w:r>
              <w:rPr>
                <w:rFonts w:ascii="Calibri" w:cs="Calibri" w:eastAsia="Calibri" w:hAnsi="Calibri"/>
                <w:sz w:val="11"/>
                <w:szCs w:val="11"/>
                <w:color w:val="auto"/>
              </w:rPr>
              <w:t>43.5%</w:t>
            </w:r>
          </w:p>
        </w:tc>
        <w:tc>
          <w:tcPr>
            <w:tcW w:w="580" w:type="dxa"/>
            <w:vAlign w:val="bottom"/>
            <w:tcBorders>
              <w:bottom w:val="single" w:sz="8" w:color="auto"/>
            </w:tcBorders>
          </w:tcPr>
          <w:p>
            <w:pPr>
              <w:jc w:val="center"/>
              <w:ind w:left="44"/>
              <w:spacing w:after="0" w:line="128" w:lineRule="exact"/>
              <w:rPr>
                <w:sz w:val="20"/>
                <w:szCs w:val="20"/>
                <w:color w:val="auto"/>
              </w:rPr>
            </w:pPr>
            <w:r>
              <w:rPr>
                <w:rFonts w:ascii="Calibri" w:cs="Calibri" w:eastAsia="Calibri" w:hAnsi="Calibri"/>
                <w:sz w:val="11"/>
                <w:szCs w:val="11"/>
                <w:color w:val="auto"/>
              </w:rPr>
              <w:t>28.9%</w:t>
            </w:r>
          </w:p>
        </w:tc>
        <w:tc>
          <w:tcPr>
            <w:tcW w:w="660" w:type="dxa"/>
            <w:vAlign w:val="bottom"/>
            <w:tcBorders>
              <w:bottom w:val="single" w:sz="8" w:color="auto"/>
              <w:right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5.6%</w:t>
            </w:r>
          </w:p>
        </w:tc>
      </w:tr>
      <w:tr>
        <w:trPr>
          <w:trHeight w:val="188"/>
        </w:trPr>
        <w:tc>
          <w:tcPr>
            <w:tcW w:w="25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23"/>
        </w:trPr>
        <w:tc>
          <w:tcPr>
            <w:tcW w:w="2500" w:type="dxa"/>
            <w:vAlign w:val="bottom"/>
            <w:tcBorders>
              <w:left w:val="single" w:sz="8" w:color="auto"/>
              <w:right w:val="single" w:sz="8" w:color="auto"/>
            </w:tcBorders>
            <w:shd w:val="clear" w:color="auto" w:fill="33CCCC"/>
          </w:tcPr>
          <w:p>
            <w:pPr>
              <w:ind w:left="20"/>
              <w:spacing w:after="0" w:line="124" w:lineRule="exact"/>
              <w:rPr>
                <w:sz w:val="20"/>
                <w:szCs w:val="20"/>
                <w:color w:val="auto"/>
              </w:rPr>
            </w:pPr>
            <w:r>
              <w:rPr>
                <w:rFonts w:ascii="Calibri" w:cs="Calibri" w:eastAsia="Calibri" w:hAnsi="Calibri"/>
                <w:sz w:val="11"/>
                <w:szCs w:val="11"/>
                <w:b w:val="1"/>
                <w:bCs w:val="1"/>
                <w:color w:val="FFFFFF"/>
              </w:rPr>
              <w:t>Interest Income / Funding</w:t>
            </w:r>
          </w:p>
        </w:tc>
        <w:tc>
          <w:tcPr>
            <w:tcW w:w="520" w:type="dxa"/>
            <w:vAlign w:val="bottom"/>
            <w:shd w:val="clear" w:color="auto" w:fill="33CCCC"/>
          </w:tcPr>
          <w:p>
            <w:pPr>
              <w:spacing w:after="0"/>
              <w:rPr>
                <w:sz w:val="10"/>
                <w:szCs w:val="10"/>
                <w:color w:val="auto"/>
              </w:rPr>
            </w:pPr>
          </w:p>
        </w:tc>
        <w:tc>
          <w:tcPr>
            <w:tcW w:w="620" w:type="dxa"/>
            <w:vAlign w:val="bottom"/>
            <w:shd w:val="clear" w:color="auto" w:fill="33CCCC"/>
          </w:tcPr>
          <w:p>
            <w:pPr>
              <w:jc w:val="center"/>
              <w:ind w:left="64"/>
              <w:spacing w:after="0" w:line="124" w:lineRule="exact"/>
              <w:rPr>
                <w:sz w:val="20"/>
                <w:szCs w:val="20"/>
                <w:color w:val="auto"/>
              </w:rPr>
            </w:pPr>
            <w:r>
              <w:rPr>
                <w:rFonts w:ascii="Calibri" w:cs="Calibri" w:eastAsia="Calibri" w:hAnsi="Calibri"/>
                <w:sz w:val="11"/>
                <w:szCs w:val="11"/>
                <w:b w:val="1"/>
                <w:bCs w:val="1"/>
                <w:color w:val="FFFFFF"/>
              </w:rPr>
              <w:t>2Q24</w:t>
            </w:r>
          </w:p>
        </w:tc>
        <w:tc>
          <w:tcPr>
            <w:tcW w:w="660" w:type="dxa"/>
            <w:vAlign w:val="bottom"/>
            <w:tcBorders>
              <w:right w:val="single" w:sz="8" w:color="auto"/>
            </w:tcBorders>
            <w:shd w:val="clear" w:color="auto" w:fill="33CCCC"/>
          </w:tcPr>
          <w:p>
            <w:pPr>
              <w:spacing w:after="0"/>
              <w:rPr>
                <w:sz w:val="10"/>
                <w:szCs w:val="10"/>
                <w:color w:val="auto"/>
              </w:rPr>
            </w:pPr>
          </w:p>
        </w:tc>
        <w:tc>
          <w:tcPr>
            <w:tcW w:w="540" w:type="dxa"/>
            <w:vAlign w:val="bottom"/>
            <w:shd w:val="clear" w:color="auto" w:fill="33CCCC"/>
          </w:tcPr>
          <w:p>
            <w:pPr>
              <w:spacing w:after="0"/>
              <w:rPr>
                <w:sz w:val="10"/>
                <w:szCs w:val="10"/>
                <w:color w:val="auto"/>
              </w:rPr>
            </w:pPr>
          </w:p>
        </w:tc>
        <w:tc>
          <w:tcPr>
            <w:tcW w:w="580" w:type="dxa"/>
            <w:vAlign w:val="bottom"/>
            <w:shd w:val="clear" w:color="auto" w:fill="33CCCC"/>
          </w:tcPr>
          <w:p>
            <w:pPr>
              <w:ind w:left="220"/>
              <w:spacing w:after="0" w:line="124" w:lineRule="exact"/>
              <w:rPr>
                <w:sz w:val="20"/>
                <w:szCs w:val="20"/>
                <w:color w:val="auto"/>
              </w:rPr>
            </w:pPr>
            <w:r>
              <w:rPr>
                <w:rFonts w:ascii="Calibri" w:cs="Calibri" w:eastAsia="Calibri" w:hAnsi="Calibri"/>
                <w:sz w:val="11"/>
                <w:szCs w:val="11"/>
                <w:b w:val="1"/>
                <w:bCs w:val="1"/>
                <w:color w:val="FFFFFF"/>
              </w:rPr>
              <w:t>1Q25</w:t>
            </w:r>
          </w:p>
        </w:tc>
        <w:tc>
          <w:tcPr>
            <w:tcW w:w="660" w:type="dxa"/>
            <w:vAlign w:val="bottom"/>
            <w:tcBorders>
              <w:right w:val="single" w:sz="8" w:color="auto"/>
            </w:tcBorders>
            <w:shd w:val="clear" w:color="auto" w:fill="33CCCC"/>
          </w:tcPr>
          <w:p>
            <w:pPr>
              <w:spacing w:after="0"/>
              <w:rPr>
                <w:sz w:val="10"/>
                <w:szCs w:val="10"/>
                <w:color w:val="auto"/>
              </w:rPr>
            </w:pPr>
          </w:p>
        </w:tc>
        <w:tc>
          <w:tcPr>
            <w:tcW w:w="540" w:type="dxa"/>
            <w:vAlign w:val="bottom"/>
            <w:shd w:val="clear" w:color="auto" w:fill="33CCCC"/>
          </w:tcPr>
          <w:p>
            <w:pPr>
              <w:spacing w:after="0"/>
              <w:rPr>
                <w:sz w:val="10"/>
                <w:szCs w:val="10"/>
                <w:color w:val="auto"/>
              </w:rPr>
            </w:pPr>
          </w:p>
        </w:tc>
        <w:tc>
          <w:tcPr>
            <w:tcW w:w="580" w:type="dxa"/>
            <w:vAlign w:val="bottom"/>
            <w:shd w:val="clear" w:color="auto" w:fill="33CCCC"/>
          </w:tcPr>
          <w:p>
            <w:pPr>
              <w:jc w:val="center"/>
              <w:ind w:left="44"/>
              <w:spacing w:after="0" w:line="124" w:lineRule="exact"/>
              <w:rPr>
                <w:sz w:val="20"/>
                <w:szCs w:val="20"/>
                <w:color w:val="auto"/>
              </w:rPr>
            </w:pPr>
            <w:r>
              <w:rPr>
                <w:rFonts w:ascii="Calibri" w:cs="Calibri" w:eastAsia="Calibri" w:hAnsi="Calibri"/>
                <w:sz w:val="11"/>
                <w:szCs w:val="11"/>
                <w:b w:val="1"/>
                <w:bCs w:val="1"/>
                <w:color w:val="FFFFFF"/>
                <w:w w:val="98"/>
              </w:rPr>
              <w:t>2Q25</w:t>
            </w:r>
          </w:p>
        </w:tc>
        <w:tc>
          <w:tcPr>
            <w:tcW w:w="660" w:type="dxa"/>
            <w:vAlign w:val="bottom"/>
            <w:tcBorders>
              <w:right w:val="single" w:sz="8" w:color="auto"/>
            </w:tcBorders>
            <w:shd w:val="clear" w:color="auto" w:fill="33CCCC"/>
          </w:tcPr>
          <w:p>
            <w:pPr>
              <w:spacing w:after="0"/>
              <w:rPr>
                <w:sz w:val="10"/>
                <w:szCs w:val="10"/>
                <w:color w:val="auto"/>
              </w:rPr>
            </w:pPr>
          </w:p>
        </w:tc>
      </w:tr>
      <w:tr>
        <w:trPr>
          <w:trHeight w:val="130"/>
        </w:trPr>
        <w:tc>
          <w:tcPr>
            <w:tcW w:w="2500" w:type="dxa"/>
            <w:vAlign w:val="bottom"/>
            <w:tcBorders>
              <w:left w:val="single" w:sz="8" w:color="auto"/>
              <w:right w:val="single" w:sz="8" w:color="auto"/>
            </w:tcBorders>
            <w:shd w:val="clear" w:color="auto" w:fill="33CCCC"/>
          </w:tcPr>
          <w:p>
            <w:pPr>
              <w:ind w:left="20"/>
              <w:spacing w:after="0" w:line="130" w:lineRule="exact"/>
              <w:rPr>
                <w:sz w:val="20"/>
                <w:szCs w:val="20"/>
                <w:color w:val="auto"/>
              </w:rPr>
            </w:pPr>
            <w:r>
              <w:rPr>
                <w:rFonts w:ascii="Calibri" w:cs="Calibri" w:eastAsia="Calibri" w:hAnsi="Calibri"/>
                <w:sz w:val="11"/>
                <w:szCs w:val="11"/>
                <w:b w:val="1"/>
                <w:bCs w:val="1"/>
                <w:color w:val="FFFFFF"/>
              </w:rPr>
              <w:t>S/ millions</w:t>
            </w:r>
          </w:p>
        </w:tc>
        <w:tc>
          <w:tcPr>
            <w:tcW w:w="520" w:type="dxa"/>
            <w:vAlign w:val="bottom"/>
            <w:shd w:val="clear" w:color="auto" w:fill="33CCCC"/>
          </w:tcPr>
          <w:p>
            <w:pPr>
              <w:ind w:left="100"/>
              <w:spacing w:after="0" w:line="130" w:lineRule="exact"/>
              <w:rPr>
                <w:sz w:val="20"/>
                <w:szCs w:val="20"/>
                <w:color w:val="auto"/>
              </w:rPr>
            </w:pPr>
            <w:r>
              <w:rPr>
                <w:rFonts w:ascii="Calibri" w:cs="Calibri" w:eastAsia="Calibri" w:hAnsi="Calibri"/>
                <w:sz w:val="11"/>
                <w:szCs w:val="11"/>
                <w:b w:val="1"/>
                <w:bCs w:val="1"/>
                <w:color w:val="FFFFFF"/>
              </w:rPr>
              <w:t>Average</w:t>
            </w:r>
          </w:p>
        </w:tc>
        <w:tc>
          <w:tcPr>
            <w:tcW w:w="620" w:type="dxa"/>
            <w:vAlign w:val="bottom"/>
            <w:shd w:val="clear" w:color="auto" w:fill="33CCCC"/>
          </w:tcPr>
          <w:p>
            <w:pPr>
              <w:spacing w:after="0"/>
              <w:rPr>
                <w:sz w:val="11"/>
                <w:szCs w:val="11"/>
                <w:color w:val="auto"/>
              </w:rPr>
            </w:pPr>
          </w:p>
        </w:tc>
        <w:tc>
          <w:tcPr>
            <w:tcW w:w="660" w:type="dxa"/>
            <w:vAlign w:val="bottom"/>
            <w:tcBorders>
              <w:right w:val="single" w:sz="8" w:color="auto"/>
            </w:tcBorders>
            <w:shd w:val="clear" w:color="auto" w:fill="33CCCC"/>
          </w:tcPr>
          <w:p>
            <w:pPr>
              <w:spacing w:after="0"/>
              <w:rPr>
                <w:sz w:val="11"/>
                <w:szCs w:val="11"/>
                <w:color w:val="auto"/>
              </w:rPr>
            </w:pPr>
          </w:p>
        </w:tc>
        <w:tc>
          <w:tcPr>
            <w:tcW w:w="540" w:type="dxa"/>
            <w:vAlign w:val="bottom"/>
            <w:shd w:val="clear" w:color="auto" w:fill="33CCCC"/>
          </w:tcPr>
          <w:p>
            <w:pPr>
              <w:ind w:left="80"/>
              <w:spacing w:after="0" w:line="130" w:lineRule="exact"/>
              <w:rPr>
                <w:sz w:val="20"/>
                <w:szCs w:val="20"/>
                <w:color w:val="auto"/>
              </w:rPr>
            </w:pPr>
            <w:r>
              <w:rPr>
                <w:rFonts w:ascii="Calibri" w:cs="Calibri" w:eastAsia="Calibri" w:hAnsi="Calibri"/>
                <w:sz w:val="11"/>
                <w:szCs w:val="11"/>
                <w:b w:val="1"/>
                <w:bCs w:val="1"/>
                <w:color w:val="FFFFFF"/>
              </w:rPr>
              <w:t>Average</w:t>
            </w:r>
          </w:p>
        </w:tc>
        <w:tc>
          <w:tcPr>
            <w:tcW w:w="580" w:type="dxa"/>
            <w:vAlign w:val="bottom"/>
            <w:shd w:val="clear" w:color="auto" w:fill="33CCCC"/>
          </w:tcPr>
          <w:p>
            <w:pPr>
              <w:spacing w:after="0"/>
              <w:rPr>
                <w:sz w:val="11"/>
                <w:szCs w:val="11"/>
                <w:color w:val="auto"/>
              </w:rPr>
            </w:pPr>
          </w:p>
        </w:tc>
        <w:tc>
          <w:tcPr>
            <w:tcW w:w="660" w:type="dxa"/>
            <w:vAlign w:val="bottom"/>
            <w:tcBorders>
              <w:right w:val="single" w:sz="8" w:color="auto"/>
            </w:tcBorders>
            <w:shd w:val="clear" w:color="auto" w:fill="33CCCC"/>
          </w:tcPr>
          <w:p>
            <w:pPr>
              <w:spacing w:after="0"/>
              <w:rPr>
                <w:sz w:val="11"/>
                <w:szCs w:val="11"/>
                <w:color w:val="auto"/>
              </w:rPr>
            </w:pPr>
          </w:p>
        </w:tc>
        <w:tc>
          <w:tcPr>
            <w:tcW w:w="540" w:type="dxa"/>
            <w:vAlign w:val="bottom"/>
            <w:shd w:val="clear" w:color="auto" w:fill="33CCCC"/>
          </w:tcPr>
          <w:p>
            <w:pPr>
              <w:ind w:left="100"/>
              <w:spacing w:after="0" w:line="130" w:lineRule="exact"/>
              <w:rPr>
                <w:sz w:val="20"/>
                <w:szCs w:val="20"/>
                <w:color w:val="auto"/>
              </w:rPr>
            </w:pPr>
            <w:r>
              <w:rPr>
                <w:rFonts w:ascii="Calibri" w:cs="Calibri" w:eastAsia="Calibri" w:hAnsi="Calibri"/>
                <w:sz w:val="11"/>
                <w:szCs w:val="11"/>
                <w:b w:val="1"/>
                <w:bCs w:val="1"/>
                <w:color w:val="FFFFFF"/>
              </w:rPr>
              <w:t>Average</w:t>
            </w:r>
          </w:p>
        </w:tc>
        <w:tc>
          <w:tcPr>
            <w:tcW w:w="580" w:type="dxa"/>
            <w:vAlign w:val="bottom"/>
            <w:shd w:val="clear" w:color="auto" w:fill="33CCCC"/>
          </w:tcPr>
          <w:p>
            <w:pPr>
              <w:spacing w:after="0"/>
              <w:rPr>
                <w:sz w:val="11"/>
                <w:szCs w:val="11"/>
                <w:color w:val="auto"/>
              </w:rPr>
            </w:pPr>
          </w:p>
        </w:tc>
        <w:tc>
          <w:tcPr>
            <w:tcW w:w="660" w:type="dxa"/>
            <w:vAlign w:val="bottom"/>
            <w:tcBorders>
              <w:right w:val="single" w:sz="8" w:color="auto"/>
            </w:tcBorders>
            <w:shd w:val="clear" w:color="auto" w:fill="33CCCC"/>
          </w:tcPr>
          <w:p>
            <w:pPr>
              <w:spacing w:after="0"/>
              <w:rPr>
                <w:sz w:val="11"/>
                <w:szCs w:val="11"/>
                <w:color w:val="auto"/>
              </w:rPr>
            </w:pPr>
          </w:p>
        </w:tc>
      </w:tr>
      <w:tr>
        <w:trPr>
          <w:trHeight w:val="139"/>
        </w:trPr>
        <w:tc>
          <w:tcPr>
            <w:tcW w:w="250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52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Balance</w:t>
            </w:r>
          </w:p>
        </w:tc>
        <w:tc>
          <w:tcPr>
            <w:tcW w:w="620" w:type="dxa"/>
            <w:vAlign w:val="bottom"/>
            <w:tcBorders>
              <w:bottom w:val="single" w:sz="8" w:color="auto"/>
            </w:tcBorders>
            <w:shd w:val="clear" w:color="auto" w:fill="33CCCC"/>
          </w:tcPr>
          <w:p>
            <w:pPr>
              <w:jc w:val="center"/>
              <w:ind w:left="64"/>
              <w:spacing w:after="0"/>
              <w:rPr>
                <w:sz w:val="20"/>
                <w:szCs w:val="20"/>
                <w:color w:val="auto"/>
              </w:rPr>
            </w:pPr>
            <w:r>
              <w:rPr>
                <w:rFonts w:ascii="Calibri" w:cs="Calibri" w:eastAsia="Calibri" w:hAnsi="Calibri"/>
                <w:sz w:val="11"/>
                <w:szCs w:val="11"/>
                <w:b w:val="1"/>
                <w:bCs w:val="1"/>
                <w:color w:val="FFFFFF"/>
              </w:rPr>
              <w:t>Expense</w:t>
            </w:r>
          </w:p>
        </w:tc>
        <w:tc>
          <w:tcPr>
            <w:tcW w:w="66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Calibri" w:cs="Calibri" w:eastAsia="Calibri" w:hAnsi="Calibri"/>
                <w:sz w:val="11"/>
                <w:szCs w:val="11"/>
                <w:b w:val="1"/>
                <w:bCs w:val="1"/>
                <w:color w:val="FFFFFF"/>
              </w:rPr>
              <w:t>Yields</w:t>
            </w:r>
          </w:p>
        </w:tc>
        <w:tc>
          <w:tcPr>
            <w:tcW w:w="54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Balance</w:t>
            </w:r>
          </w:p>
        </w:tc>
        <w:tc>
          <w:tcPr>
            <w:tcW w:w="580" w:type="dxa"/>
            <w:vAlign w:val="bottom"/>
            <w:tcBorders>
              <w:bottom w:val="single" w:sz="8" w:color="auto"/>
            </w:tcBorders>
            <w:shd w:val="clear" w:color="auto" w:fill="33CCCC"/>
          </w:tcPr>
          <w:p>
            <w:pPr>
              <w:ind w:left="120"/>
              <w:spacing w:after="0"/>
              <w:rPr>
                <w:sz w:val="20"/>
                <w:szCs w:val="20"/>
                <w:color w:val="auto"/>
              </w:rPr>
            </w:pPr>
            <w:r>
              <w:rPr>
                <w:rFonts w:ascii="Calibri" w:cs="Calibri" w:eastAsia="Calibri" w:hAnsi="Calibri"/>
                <w:sz w:val="11"/>
                <w:szCs w:val="11"/>
                <w:b w:val="1"/>
                <w:bCs w:val="1"/>
                <w:color w:val="FFFFFF"/>
              </w:rPr>
              <w:t>Expense</w:t>
            </w:r>
          </w:p>
        </w:tc>
        <w:tc>
          <w:tcPr>
            <w:tcW w:w="66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Calibri" w:cs="Calibri" w:eastAsia="Calibri" w:hAnsi="Calibri"/>
                <w:sz w:val="11"/>
                <w:szCs w:val="11"/>
                <w:b w:val="1"/>
                <w:bCs w:val="1"/>
                <w:color w:val="FFFFFF"/>
              </w:rPr>
              <w:t>Yields</w:t>
            </w:r>
          </w:p>
        </w:tc>
        <w:tc>
          <w:tcPr>
            <w:tcW w:w="54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Balance</w:t>
            </w:r>
          </w:p>
        </w:tc>
        <w:tc>
          <w:tcPr>
            <w:tcW w:w="580" w:type="dxa"/>
            <w:vAlign w:val="bottom"/>
            <w:tcBorders>
              <w:bottom w:val="single" w:sz="8" w:color="auto"/>
            </w:tcBorders>
            <w:shd w:val="clear" w:color="auto" w:fill="33CCCC"/>
          </w:tcPr>
          <w:p>
            <w:pPr>
              <w:ind w:left="140"/>
              <w:spacing w:after="0"/>
              <w:rPr>
                <w:sz w:val="20"/>
                <w:szCs w:val="20"/>
                <w:color w:val="auto"/>
              </w:rPr>
            </w:pPr>
            <w:r>
              <w:rPr>
                <w:rFonts w:ascii="Calibri" w:cs="Calibri" w:eastAsia="Calibri" w:hAnsi="Calibri"/>
                <w:sz w:val="11"/>
                <w:szCs w:val="11"/>
                <w:b w:val="1"/>
                <w:bCs w:val="1"/>
                <w:color w:val="FFFFFF"/>
              </w:rPr>
              <w:t>Expense</w:t>
            </w:r>
          </w:p>
        </w:tc>
        <w:tc>
          <w:tcPr>
            <w:tcW w:w="660" w:type="dxa"/>
            <w:vAlign w:val="bottom"/>
            <w:tcBorders>
              <w:bottom w:val="single" w:sz="8" w:color="auto"/>
              <w:right w:val="single" w:sz="8" w:color="auto"/>
            </w:tcBorders>
            <w:shd w:val="clear" w:color="auto" w:fill="33CCCC"/>
          </w:tcPr>
          <w:p>
            <w:pPr>
              <w:ind w:left="220"/>
              <w:spacing w:after="0"/>
              <w:rPr>
                <w:sz w:val="20"/>
                <w:szCs w:val="20"/>
                <w:color w:val="auto"/>
              </w:rPr>
            </w:pPr>
            <w:r>
              <w:rPr>
                <w:rFonts w:ascii="Calibri" w:cs="Calibri" w:eastAsia="Calibri" w:hAnsi="Calibri"/>
                <w:sz w:val="11"/>
                <w:szCs w:val="11"/>
                <w:b w:val="1"/>
                <w:bCs w:val="1"/>
                <w:color w:val="FFFFFF"/>
              </w:rPr>
              <w:t>Yields</w:t>
            </w:r>
          </w:p>
        </w:tc>
      </w:tr>
      <w:tr>
        <w:trPr>
          <w:trHeight w:val="112"/>
        </w:trPr>
        <w:tc>
          <w:tcPr>
            <w:tcW w:w="2500" w:type="dxa"/>
            <w:vAlign w:val="bottom"/>
            <w:tcBorders>
              <w:left w:val="single" w:sz="8" w:color="auto"/>
              <w:right w:val="single" w:sz="8" w:color="auto"/>
            </w:tcBorders>
          </w:tcPr>
          <w:p>
            <w:pPr>
              <w:ind w:left="20"/>
              <w:spacing w:after="0" w:line="112" w:lineRule="exact"/>
              <w:rPr>
                <w:sz w:val="20"/>
                <w:szCs w:val="20"/>
                <w:color w:val="auto"/>
              </w:rPr>
            </w:pPr>
            <w:r>
              <w:rPr>
                <w:rFonts w:ascii="Calibri" w:cs="Calibri" w:eastAsia="Calibri" w:hAnsi="Calibri"/>
                <w:sz w:val="11"/>
                <w:szCs w:val="11"/>
                <w:b w:val="1"/>
                <w:bCs w:val="1"/>
                <w:color w:val="auto"/>
              </w:rPr>
              <w:t>Total (LC + FC)</w:t>
            </w: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r>
      <w:tr>
        <w:trPr>
          <w:trHeight w:val="130"/>
        </w:trPr>
        <w:tc>
          <w:tcPr>
            <w:tcW w:w="250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Deposits</w:t>
            </w:r>
          </w:p>
        </w:tc>
        <w:tc>
          <w:tcPr>
            <w:tcW w:w="5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149,914</w:t>
            </w:r>
          </w:p>
        </w:tc>
        <w:tc>
          <w:tcPr>
            <w:tcW w:w="62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738</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2.0%</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159,731</w:t>
            </w:r>
          </w:p>
        </w:tc>
        <w:tc>
          <w:tcPr>
            <w:tcW w:w="58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620</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rPr>
              <w:t>156,171</w:t>
            </w:r>
          </w:p>
        </w:tc>
        <w:tc>
          <w:tcPr>
            <w:tcW w:w="580" w:type="dxa"/>
            <w:vAlign w:val="bottom"/>
          </w:tcPr>
          <w:p>
            <w:pPr>
              <w:jc w:val="center"/>
              <w:ind w:left="44"/>
              <w:spacing w:after="0" w:line="130" w:lineRule="exact"/>
              <w:rPr>
                <w:sz w:val="20"/>
                <w:szCs w:val="20"/>
                <w:color w:val="auto"/>
              </w:rPr>
            </w:pPr>
            <w:r>
              <w:rPr>
                <w:rFonts w:ascii="Calibri" w:cs="Calibri" w:eastAsia="Calibri" w:hAnsi="Calibri"/>
                <w:sz w:val="11"/>
                <w:szCs w:val="11"/>
                <w:color w:val="auto"/>
                <w:w w:val="95"/>
              </w:rPr>
              <w:t>541</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1.4%</w:t>
            </w:r>
          </w:p>
        </w:tc>
      </w:tr>
      <w:tr>
        <w:trPr>
          <w:trHeight w:val="130"/>
        </w:trPr>
        <w:tc>
          <w:tcPr>
            <w:tcW w:w="250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BCRP + Due to Banks</w:t>
            </w:r>
          </w:p>
        </w:tc>
        <w:tc>
          <w:tcPr>
            <w:tcW w:w="520" w:type="dxa"/>
            <w:vAlign w:val="bottom"/>
          </w:tcPr>
          <w:p>
            <w:pPr>
              <w:jc w:val="center"/>
              <w:spacing w:after="0" w:line="130" w:lineRule="exact"/>
              <w:rPr>
                <w:sz w:val="20"/>
                <w:szCs w:val="20"/>
                <w:color w:val="auto"/>
              </w:rPr>
            </w:pPr>
            <w:r>
              <w:rPr>
                <w:rFonts w:ascii="Calibri" w:cs="Calibri" w:eastAsia="Calibri" w:hAnsi="Calibri"/>
                <w:sz w:val="11"/>
                <w:szCs w:val="11"/>
                <w:color w:val="auto"/>
              </w:rPr>
              <w:t>17,851</w:t>
            </w:r>
          </w:p>
        </w:tc>
        <w:tc>
          <w:tcPr>
            <w:tcW w:w="62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268</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6.0%</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rPr>
              <w:t>17,683</w:t>
            </w:r>
          </w:p>
        </w:tc>
        <w:tc>
          <w:tcPr>
            <w:tcW w:w="58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266</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6.0%</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w w:val="97"/>
              </w:rPr>
              <w:t>17,107</w:t>
            </w:r>
          </w:p>
        </w:tc>
        <w:tc>
          <w:tcPr>
            <w:tcW w:w="580" w:type="dxa"/>
            <w:vAlign w:val="bottom"/>
          </w:tcPr>
          <w:p>
            <w:pPr>
              <w:jc w:val="center"/>
              <w:ind w:left="44"/>
              <w:spacing w:after="0" w:line="130" w:lineRule="exact"/>
              <w:rPr>
                <w:sz w:val="20"/>
                <w:szCs w:val="20"/>
                <w:color w:val="auto"/>
              </w:rPr>
            </w:pPr>
            <w:r>
              <w:rPr>
                <w:rFonts w:ascii="Calibri" w:cs="Calibri" w:eastAsia="Calibri" w:hAnsi="Calibri"/>
                <w:sz w:val="11"/>
                <w:szCs w:val="11"/>
                <w:color w:val="auto"/>
                <w:w w:val="95"/>
              </w:rPr>
              <w:t>265</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6.2%</w:t>
            </w:r>
          </w:p>
        </w:tc>
      </w:tr>
      <w:tr>
        <w:trPr>
          <w:trHeight w:val="130"/>
        </w:trPr>
        <w:tc>
          <w:tcPr>
            <w:tcW w:w="250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Bonds and Notes</w:t>
            </w:r>
          </w:p>
        </w:tc>
        <w:tc>
          <w:tcPr>
            <w:tcW w:w="520" w:type="dxa"/>
            <w:vAlign w:val="bottom"/>
          </w:tcPr>
          <w:p>
            <w:pPr>
              <w:jc w:val="center"/>
              <w:spacing w:after="0" w:line="130" w:lineRule="exact"/>
              <w:rPr>
                <w:sz w:val="20"/>
                <w:szCs w:val="20"/>
                <w:color w:val="auto"/>
              </w:rPr>
            </w:pPr>
            <w:r>
              <w:rPr>
                <w:rFonts w:ascii="Calibri" w:cs="Calibri" w:eastAsia="Calibri" w:hAnsi="Calibri"/>
                <w:sz w:val="11"/>
                <w:szCs w:val="11"/>
                <w:color w:val="auto"/>
              </w:rPr>
              <w:t>17,747</w:t>
            </w:r>
          </w:p>
        </w:tc>
        <w:tc>
          <w:tcPr>
            <w:tcW w:w="62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200</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4.5%</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rPr>
              <w:t>15,830</w:t>
            </w:r>
          </w:p>
        </w:tc>
        <w:tc>
          <w:tcPr>
            <w:tcW w:w="58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168</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4.2%</w:t>
            </w:r>
          </w:p>
        </w:tc>
        <w:tc>
          <w:tcPr>
            <w:tcW w:w="540" w:type="dxa"/>
            <w:vAlign w:val="bottom"/>
          </w:tcPr>
          <w:p>
            <w:pPr>
              <w:jc w:val="center"/>
              <w:spacing w:after="0" w:line="130" w:lineRule="exact"/>
              <w:rPr>
                <w:sz w:val="20"/>
                <w:szCs w:val="20"/>
                <w:color w:val="auto"/>
              </w:rPr>
            </w:pPr>
            <w:r>
              <w:rPr>
                <w:rFonts w:ascii="Calibri" w:cs="Calibri" w:eastAsia="Calibri" w:hAnsi="Calibri"/>
                <w:sz w:val="11"/>
                <w:szCs w:val="11"/>
                <w:color w:val="auto"/>
                <w:w w:val="97"/>
              </w:rPr>
              <w:t>13,252</w:t>
            </w:r>
          </w:p>
        </w:tc>
        <w:tc>
          <w:tcPr>
            <w:tcW w:w="580" w:type="dxa"/>
            <w:vAlign w:val="bottom"/>
          </w:tcPr>
          <w:p>
            <w:pPr>
              <w:jc w:val="center"/>
              <w:ind w:left="44"/>
              <w:spacing w:after="0" w:line="130" w:lineRule="exact"/>
              <w:rPr>
                <w:sz w:val="20"/>
                <w:szCs w:val="20"/>
                <w:color w:val="auto"/>
              </w:rPr>
            </w:pPr>
            <w:r>
              <w:rPr>
                <w:rFonts w:ascii="Calibri" w:cs="Calibri" w:eastAsia="Calibri" w:hAnsi="Calibri"/>
                <w:sz w:val="11"/>
                <w:szCs w:val="11"/>
                <w:color w:val="auto"/>
                <w:w w:val="95"/>
              </w:rPr>
              <w:t>193</w:t>
            </w:r>
          </w:p>
        </w:tc>
        <w:tc>
          <w:tcPr>
            <w:tcW w:w="6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5.8%</w:t>
            </w:r>
          </w:p>
        </w:tc>
      </w:tr>
      <w:tr>
        <w:trPr>
          <w:trHeight w:val="140"/>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Others</w:t>
            </w:r>
          </w:p>
        </w:tc>
        <w:tc>
          <w:tcPr>
            <w:tcW w:w="5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w w:val="95"/>
              </w:rPr>
              <w:t>2,392</w:t>
            </w:r>
          </w:p>
        </w:tc>
        <w:tc>
          <w:tcPr>
            <w:tcW w:w="620" w:type="dxa"/>
            <w:vAlign w:val="bottom"/>
            <w:tcBorders>
              <w:bottom w:val="single" w:sz="8" w:color="auto"/>
            </w:tcBorders>
          </w:tcPr>
          <w:p>
            <w:pPr>
              <w:jc w:val="center"/>
              <w:ind w:left="24"/>
              <w:spacing w:after="0"/>
              <w:rPr>
                <w:sz w:val="20"/>
                <w:szCs w:val="20"/>
                <w:color w:val="auto"/>
              </w:rPr>
            </w:pPr>
            <w:r>
              <w:rPr>
                <w:rFonts w:ascii="Calibri" w:cs="Calibri" w:eastAsia="Calibri" w:hAnsi="Calibri"/>
                <w:sz w:val="11"/>
                <w:szCs w:val="11"/>
                <w:color w:val="auto"/>
              </w:rPr>
              <w:t>261</w:t>
            </w:r>
          </w:p>
        </w:tc>
        <w:tc>
          <w:tcPr>
            <w:tcW w:w="6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43.6%</w:t>
            </w:r>
          </w:p>
        </w:tc>
        <w:tc>
          <w:tcPr>
            <w:tcW w:w="5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2,754</w:t>
            </w:r>
          </w:p>
        </w:tc>
        <w:tc>
          <w:tcPr>
            <w:tcW w:w="580" w:type="dxa"/>
            <w:vAlign w:val="bottom"/>
            <w:tcBorders>
              <w:bottom w:val="single" w:sz="8" w:color="auto"/>
            </w:tcBorders>
          </w:tcPr>
          <w:p>
            <w:pPr>
              <w:jc w:val="center"/>
              <w:ind w:left="24"/>
              <w:spacing w:after="0"/>
              <w:rPr>
                <w:sz w:val="20"/>
                <w:szCs w:val="20"/>
                <w:color w:val="auto"/>
              </w:rPr>
            </w:pPr>
            <w:r>
              <w:rPr>
                <w:rFonts w:ascii="Calibri" w:cs="Calibri" w:eastAsia="Calibri" w:hAnsi="Calibri"/>
                <w:sz w:val="11"/>
                <w:szCs w:val="11"/>
                <w:color w:val="auto"/>
              </w:rPr>
              <w:t>269</w:t>
            </w:r>
          </w:p>
        </w:tc>
        <w:tc>
          <w:tcPr>
            <w:tcW w:w="6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39.1%</w:t>
            </w:r>
          </w:p>
        </w:tc>
        <w:tc>
          <w:tcPr>
            <w:tcW w:w="5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4,632</w:t>
            </w:r>
          </w:p>
        </w:tc>
        <w:tc>
          <w:tcPr>
            <w:tcW w:w="580" w:type="dxa"/>
            <w:vAlign w:val="bottom"/>
            <w:tcBorders>
              <w:bottom w:val="single" w:sz="8" w:color="auto"/>
            </w:tcBorders>
          </w:tcPr>
          <w:p>
            <w:pPr>
              <w:jc w:val="center"/>
              <w:ind w:left="44"/>
              <w:spacing w:after="0"/>
              <w:rPr>
                <w:sz w:val="20"/>
                <w:szCs w:val="20"/>
                <w:color w:val="auto"/>
              </w:rPr>
            </w:pPr>
            <w:r>
              <w:rPr>
                <w:rFonts w:ascii="Calibri" w:cs="Calibri" w:eastAsia="Calibri" w:hAnsi="Calibri"/>
                <w:sz w:val="11"/>
                <w:szCs w:val="11"/>
                <w:color w:val="auto"/>
                <w:w w:val="95"/>
              </w:rPr>
              <w:t>307</w:t>
            </w:r>
          </w:p>
        </w:tc>
        <w:tc>
          <w:tcPr>
            <w:tcW w:w="6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26.5%</w:t>
            </w:r>
          </w:p>
        </w:tc>
      </w:tr>
      <w:tr>
        <w:trPr>
          <w:trHeight w:val="129"/>
        </w:trPr>
        <w:tc>
          <w:tcPr>
            <w:tcW w:w="250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Total Funding</w:t>
            </w:r>
          </w:p>
        </w:tc>
        <w:tc>
          <w:tcPr>
            <w:tcW w:w="52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187,904</w:t>
            </w:r>
          </w:p>
        </w:tc>
        <w:tc>
          <w:tcPr>
            <w:tcW w:w="620" w:type="dxa"/>
            <w:vAlign w:val="bottom"/>
            <w:tcBorders>
              <w:bottom w:val="single" w:sz="8" w:color="auto"/>
            </w:tcBorders>
          </w:tcPr>
          <w:p>
            <w:pPr>
              <w:jc w:val="center"/>
              <w:ind w:left="24"/>
              <w:spacing w:after="0" w:line="129" w:lineRule="exact"/>
              <w:rPr>
                <w:sz w:val="20"/>
                <w:szCs w:val="20"/>
                <w:color w:val="auto"/>
              </w:rPr>
            </w:pPr>
            <w:r>
              <w:rPr>
                <w:rFonts w:ascii="Calibri" w:cs="Calibri" w:eastAsia="Calibri" w:hAnsi="Calibri"/>
                <w:sz w:val="11"/>
                <w:szCs w:val="11"/>
                <w:b w:val="1"/>
                <w:bCs w:val="1"/>
                <w:color w:val="auto"/>
              </w:rPr>
              <w:t>1,467</w:t>
            </w:r>
          </w:p>
        </w:tc>
        <w:tc>
          <w:tcPr>
            <w:tcW w:w="66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3.1%</w:t>
            </w:r>
          </w:p>
        </w:tc>
        <w:tc>
          <w:tcPr>
            <w:tcW w:w="54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195,998</w:t>
            </w:r>
          </w:p>
        </w:tc>
        <w:tc>
          <w:tcPr>
            <w:tcW w:w="580" w:type="dxa"/>
            <w:vAlign w:val="bottom"/>
            <w:tcBorders>
              <w:bottom w:val="single" w:sz="8" w:color="auto"/>
            </w:tcBorders>
          </w:tcPr>
          <w:p>
            <w:pPr>
              <w:jc w:val="center"/>
              <w:ind w:left="24"/>
              <w:spacing w:after="0" w:line="129" w:lineRule="exact"/>
              <w:rPr>
                <w:sz w:val="20"/>
                <w:szCs w:val="20"/>
                <w:color w:val="auto"/>
              </w:rPr>
            </w:pPr>
            <w:r>
              <w:rPr>
                <w:rFonts w:ascii="Calibri" w:cs="Calibri" w:eastAsia="Calibri" w:hAnsi="Calibri"/>
                <w:sz w:val="11"/>
                <w:szCs w:val="11"/>
                <w:b w:val="1"/>
                <w:bCs w:val="1"/>
                <w:color w:val="auto"/>
              </w:rPr>
              <w:t>1,323</w:t>
            </w:r>
          </w:p>
        </w:tc>
        <w:tc>
          <w:tcPr>
            <w:tcW w:w="66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2.7%</w:t>
            </w:r>
          </w:p>
        </w:tc>
        <w:tc>
          <w:tcPr>
            <w:tcW w:w="54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191,162</w:t>
            </w:r>
          </w:p>
        </w:tc>
        <w:tc>
          <w:tcPr>
            <w:tcW w:w="580" w:type="dxa"/>
            <w:vAlign w:val="bottom"/>
            <w:tcBorders>
              <w:bottom w:val="single" w:sz="8" w:color="auto"/>
            </w:tcBorders>
          </w:tcPr>
          <w:p>
            <w:pPr>
              <w:jc w:val="center"/>
              <w:ind w:left="24"/>
              <w:spacing w:after="0" w:line="129" w:lineRule="exact"/>
              <w:rPr>
                <w:sz w:val="20"/>
                <w:szCs w:val="20"/>
                <w:color w:val="auto"/>
              </w:rPr>
            </w:pPr>
            <w:r>
              <w:rPr>
                <w:rFonts w:ascii="Calibri" w:cs="Calibri" w:eastAsia="Calibri" w:hAnsi="Calibri"/>
                <w:sz w:val="11"/>
                <w:szCs w:val="11"/>
                <w:b w:val="1"/>
                <w:bCs w:val="1"/>
                <w:color w:val="auto"/>
              </w:rPr>
              <w:t>1,306</w:t>
            </w:r>
          </w:p>
        </w:tc>
        <w:tc>
          <w:tcPr>
            <w:tcW w:w="66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2.7%</w:t>
            </w:r>
          </w:p>
        </w:tc>
      </w:tr>
      <w:tr>
        <w:trPr>
          <w:trHeight w:val="123"/>
        </w:trPr>
        <w:tc>
          <w:tcPr>
            <w:tcW w:w="25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color w:val="auto"/>
              </w:rPr>
              <w:t>Funding (LC)</w:t>
            </w:r>
          </w:p>
        </w:tc>
        <w:tc>
          <w:tcPr>
            <w:tcW w:w="5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49.5%</w:t>
            </w:r>
          </w:p>
        </w:tc>
        <w:tc>
          <w:tcPr>
            <w:tcW w:w="620" w:type="dxa"/>
            <w:vAlign w:val="bottom"/>
            <w:tcBorders>
              <w:bottom w:val="single" w:sz="8" w:color="auto"/>
            </w:tcBorders>
          </w:tcPr>
          <w:p>
            <w:pPr>
              <w:jc w:val="center"/>
              <w:ind w:left="44"/>
              <w:spacing w:after="0" w:line="124" w:lineRule="exact"/>
              <w:rPr>
                <w:sz w:val="20"/>
                <w:szCs w:val="20"/>
                <w:color w:val="auto"/>
              </w:rPr>
            </w:pPr>
            <w:r>
              <w:rPr>
                <w:rFonts w:ascii="Calibri" w:cs="Calibri" w:eastAsia="Calibri" w:hAnsi="Calibri"/>
                <w:sz w:val="11"/>
                <w:szCs w:val="11"/>
                <w:color w:val="auto"/>
              </w:rPr>
              <w:t>51.7%</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3.3%</w:t>
            </w:r>
          </w:p>
        </w:tc>
        <w:tc>
          <w:tcPr>
            <w:tcW w:w="5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51.7%</w:t>
            </w:r>
          </w:p>
        </w:tc>
        <w:tc>
          <w:tcPr>
            <w:tcW w:w="58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53.4%</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2.8%</w:t>
            </w:r>
          </w:p>
        </w:tc>
        <w:tc>
          <w:tcPr>
            <w:tcW w:w="54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52.4%</w:t>
            </w:r>
          </w:p>
        </w:tc>
        <w:tc>
          <w:tcPr>
            <w:tcW w:w="580" w:type="dxa"/>
            <w:vAlign w:val="bottom"/>
            <w:tcBorders>
              <w:bottom w:val="single" w:sz="8" w:color="auto"/>
            </w:tcBorders>
          </w:tcPr>
          <w:p>
            <w:pPr>
              <w:jc w:val="center"/>
              <w:ind w:left="44"/>
              <w:spacing w:after="0" w:line="124" w:lineRule="exact"/>
              <w:rPr>
                <w:sz w:val="20"/>
                <w:szCs w:val="20"/>
                <w:color w:val="auto"/>
              </w:rPr>
            </w:pPr>
            <w:r>
              <w:rPr>
                <w:rFonts w:ascii="Calibri" w:cs="Calibri" w:eastAsia="Calibri" w:hAnsi="Calibri"/>
                <w:sz w:val="11"/>
                <w:szCs w:val="11"/>
                <w:color w:val="auto"/>
              </w:rPr>
              <w:t>51.9%</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2.7%</w:t>
            </w:r>
          </w:p>
        </w:tc>
      </w:tr>
      <w:tr>
        <w:trPr>
          <w:trHeight w:val="123"/>
        </w:trPr>
        <w:tc>
          <w:tcPr>
            <w:tcW w:w="25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color w:val="auto"/>
              </w:rPr>
              <w:t>Funding (FC)</w:t>
            </w:r>
          </w:p>
        </w:tc>
        <w:tc>
          <w:tcPr>
            <w:tcW w:w="5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50.5%</w:t>
            </w:r>
          </w:p>
        </w:tc>
        <w:tc>
          <w:tcPr>
            <w:tcW w:w="620" w:type="dxa"/>
            <w:vAlign w:val="bottom"/>
            <w:tcBorders>
              <w:bottom w:val="single" w:sz="8" w:color="auto"/>
            </w:tcBorders>
          </w:tcPr>
          <w:p>
            <w:pPr>
              <w:jc w:val="center"/>
              <w:ind w:left="44"/>
              <w:spacing w:after="0" w:line="124" w:lineRule="exact"/>
              <w:rPr>
                <w:sz w:val="20"/>
                <w:szCs w:val="20"/>
                <w:color w:val="auto"/>
              </w:rPr>
            </w:pPr>
            <w:r>
              <w:rPr>
                <w:rFonts w:ascii="Calibri" w:cs="Calibri" w:eastAsia="Calibri" w:hAnsi="Calibri"/>
                <w:sz w:val="11"/>
                <w:szCs w:val="11"/>
                <w:color w:val="auto"/>
              </w:rPr>
              <w:t>48.3%</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3.0%</w:t>
            </w:r>
          </w:p>
        </w:tc>
        <w:tc>
          <w:tcPr>
            <w:tcW w:w="5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48.3%</w:t>
            </w:r>
          </w:p>
        </w:tc>
        <w:tc>
          <w:tcPr>
            <w:tcW w:w="58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46.6%</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2.6%</w:t>
            </w:r>
          </w:p>
        </w:tc>
        <w:tc>
          <w:tcPr>
            <w:tcW w:w="54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47.6%</w:t>
            </w:r>
          </w:p>
        </w:tc>
        <w:tc>
          <w:tcPr>
            <w:tcW w:w="580" w:type="dxa"/>
            <w:vAlign w:val="bottom"/>
            <w:tcBorders>
              <w:bottom w:val="single" w:sz="8" w:color="auto"/>
            </w:tcBorders>
          </w:tcPr>
          <w:p>
            <w:pPr>
              <w:jc w:val="center"/>
              <w:ind w:left="44"/>
              <w:spacing w:after="0" w:line="124" w:lineRule="exact"/>
              <w:rPr>
                <w:sz w:val="20"/>
                <w:szCs w:val="20"/>
                <w:color w:val="auto"/>
              </w:rPr>
            </w:pPr>
            <w:r>
              <w:rPr>
                <w:rFonts w:ascii="Calibri" w:cs="Calibri" w:eastAsia="Calibri" w:hAnsi="Calibri"/>
                <w:sz w:val="11"/>
                <w:szCs w:val="11"/>
                <w:color w:val="auto"/>
              </w:rPr>
              <w:t>48.1%</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2.8%</w:t>
            </w:r>
          </w:p>
        </w:tc>
      </w:tr>
      <w:tr>
        <w:trPr>
          <w:trHeight w:val="123"/>
        </w:trPr>
        <w:tc>
          <w:tcPr>
            <w:tcW w:w="25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123"/>
        </w:trPr>
        <w:tc>
          <w:tcPr>
            <w:tcW w:w="25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NIM</w:t>
            </w:r>
            <w:r>
              <w:rPr>
                <w:rFonts w:ascii="Calibri" w:cs="Calibri" w:eastAsia="Calibri" w:hAnsi="Calibri"/>
                <w:sz w:val="9"/>
                <w:szCs w:val="9"/>
                <w:b w:val="1"/>
                <w:bCs w:val="1"/>
                <w:color w:val="auto"/>
              </w:rPr>
              <w:t>(1)</w:t>
            </w:r>
          </w:p>
        </w:tc>
        <w:tc>
          <w:tcPr>
            <w:tcW w:w="5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227,162</w:t>
            </w:r>
          </w:p>
        </w:tc>
        <w:tc>
          <w:tcPr>
            <w:tcW w:w="620" w:type="dxa"/>
            <w:vAlign w:val="bottom"/>
            <w:tcBorders>
              <w:bottom w:val="single" w:sz="8" w:color="auto"/>
            </w:tcBorders>
          </w:tcPr>
          <w:p>
            <w:pPr>
              <w:jc w:val="center"/>
              <w:ind w:left="24"/>
              <w:spacing w:after="0" w:line="124" w:lineRule="exact"/>
              <w:rPr>
                <w:sz w:val="20"/>
                <w:szCs w:val="20"/>
                <w:color w:val="auto"/>
              </w:rPr>
            </w:pPr>
            <w:r>
              <w:rPr>
                <w:rFonts w:ascii="Calibri" w:cs="Calibri" w:eastAsia="Calibri" w:hAnsi="Calibri"/>
                <w:sz w:val="11"/>
                <w:szCs w:val="11"/>
                <w:b w:val="1"/>
                <w:bCs w:val="1"/>
                <w:color w:val="auto"/>
              </w:rPr>
              <w:t>3,469</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6.1%</w:t>
            </w:r>
          </w:p>
        </w:tc>
        <w:tc>
          <w:tcPr>
            <w:tcW w:w="5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238,436</w:t>
            </w:r>
          </w:p>
        </w:tc>
        <w:tc>
          <w:tcPr>
            <w:tcW w:w="580" w:type="dxa"/>
            <w:vAlign w:val="bottom"/>
            <w:tcBorders>
              <w:bottom w:val="single" w:sz="8" w:color="auto"/>
            </w:tcBorders>
          </w:tcPr>
          <w:p>
            <w:pPr>
              <w:jc w:val="center"/>
              <w:ind w:left="24"/>
              <w:spacing w:after="0" w:line="124" w:lineRule="exact"/>
              <w:rPr>
                <w:sz w:val="20"/>
                <w:szCs w:val="20"/>
                <w:color w:val="auto"/>
              </w:rPr>
            </w:pPr>
            <w:r>
              <w:rPr>
                <w:rFonts w:ascii="Calibri" w:cs="Calibri" w:eastAsia="Calibri" w:hAnsi="Calibri"/>
                <w:sz w:val="11"/>
                <w:szCs w:val="11"/>
                <w:b w:val="1"/>
                <w:bCs w:val="1"/>
                <w:color w:val="auto"/>
              </w:rPr>
              <w:t>3,572</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6.0%</w:t>
            </w:r>
          </w:p>
        </w:tc>
        <w:tc>
          <w:tcPr>
            <w:tcW w:w="5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233,762</w:t>
            </w:r>
          </w:p>
        </w:tc>
        <w:tc>
          <w:tcPr>
            <w:tcW w:w="580" w:type="dxa"/>
            <w:vAlign w:val="bottom"/>
            <w:tcBorders>
              <w:bottom w:val="single" w:sz="8" w:color="auto"/>
            </w:tcBorders>
          </w:tcPr>
          <w:p>
            <w:pPr>
              <w:jc w:val="center"/>
              <w:ind w:left="24"/>
              <w:spacing w:after="0" w:line="124" w:lineRule="exact"/>
              <w:rPr>
                <w:sz w:val="20"/>
                <w:szCs w:val="20"/>
                <w:color w:val="auto"/>
              </w:rPr>
            </w:pPr>
            <w:r>
              <w:rPr>
                <w:rFonts w:ascii="Calibri" w:cs="Calibri" w:eastAsia="Calibri" w:hAnsi="Calibri"/>
                <w:sz w:val="11"/>
                <w:szCs w:val="11"/>
                <w:b w:val="1"/>
                <w:bCs w:val="1"/>
                <w:color w:val="auto"/>
              </w:rPr>
              <w:t>3,616</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6.2%</w:t>
            </w:r>
          </w:p>
        </w:tc>
      </w:tr>
      <w:tr>
        <w:trPr>
          <w:trHeight w:val="123"/>
        </w:trPr>
        <w:tc>
          <w:tcPr>
            <w:tcW w:w="25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color w:val="auto"/>
              </w:rPr>
              <w:t>NIM (LC)</w:t>
            </w:r>
          </w:p>
        </w:tc>
        <w:tc>
          <w:tcPr>
            <w:tcW w:w="5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57.4%</w:t>
            </w:r>
          </w:p>
        </w:tc>
        <w:tc>
          <w:tcPr>
            <w:tcW w:w="620" w:type="dxa"/>
            <w:vAlign w:val="bottom"/>
            <w:tcBorders>
              <w:bottom w:val="single" w:sz="8" w:color="auto"/>
            </w:tcBorders>
          </w:tcPr>
          <w:p>
            <w:pPr>
              <w:jc w:val="center"/>
              <w:ind w:left="44"/>
              <w:spacing w:after="0" w:line="124" w:lineRule="exact"/>
              <w:rPr>
                <w:sz w:val="20"/>
                <w:szCs w:val="20"/>
                <w:color w:val="auto"/>
              </w:rPr>
            </w:pPr>
            <w:r>
              <w:rPr>
                <w:rFonts w:ascii="Calibri" w:cs="Calibri" w:eastAsia="Calibri" w:hAnsi="Calibri"/>
                <w:sz w:val="11"/>
                <w:szCs w:val="11"/>
                <w:color w:val="auto"/>
              </w:rPr>
              <w:t>76.9%</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8.2%</w:t>
            </w:r>
          </w:p>
        </w:tc>
        <w:tc>
          <w:tcPr>
            <w:tcW w:w="5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55.6%</w:t>
            </w:r>
          </w:p>
        </w:tc>
        <w:tc>
          <w:tcPr>
            <w:tcW w:w="58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76.8%</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8.3%</w:t>
            </w:r>
          </w:p>
        </w:tc>
        <w:tc>
          <w:tcPr>
            <w:tcW w:w="54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56.5%</w:t>
            </w:r>
          </w:p>
        </w:tc>
        <w:tc>
          <w:tcPr>
            <w:tcW w:w="580" w:type="dxa"/>
            <w:vAlign w:val="bottom"/>
            <w:tcBorders>
              <w:bottom w:val="single" w:sz="8" w:color="auto"/>
            </w:tcBorders>
          </w:tcPr>
          <w:p>
            <w:pPr>
              <w:jc w:val="center"/>
              <w:ind w:left="44"/>
              <w:spacing w:after="0" w:line="124" w:lineRule="exact"/>
              <w:rPr>
                <w:sz w:val="20"/>
                <w:szCs w:val="20"/>
                <w:color w:val="auto"/>
              </w:rPr>
            </w:pPr>
            <w:r>
              <w:rPr>
                <w:rFonts w:ascii="Calibri" w:cs="Calibri" w:eastAsia="Calibri" w:hAnsi="Calibri"/>
                <w:sz w:val="11"/>
                <w:szCs w:val="11"/>
                <w:color w:val="auto"/>
              </w:rPr>
              <w:t>78.0%</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8.5%</w:t>
            </w:r>
          </w:p>
        </w:tc>
      </w:tr>
      <w:tr>
        <w:trPr>
          <w:trHeight w:val="123"/>
        </w:trPr>
        <w:tc>
          <w:tcPr>
            <w:tcW w:w="25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color w:val="auto"/>
              </w:rPr>
              <w:t>NIM (FC)</w:t>
            </w:r>
          </w:p>
        </w:tc>
        <w:tc>
          <w:tcPr>
            <w:tcW w:w="5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42.6%</w:t>
            </w:r>
          </w:p>
        </w:tc>
        <w:tc>
          <w:tcPr>
            <w:tcW w:w="620" w:type="dxa"/>
            <w:vAlign w:val="bottom"/>
            <w:tcBorders>
              <w:bottom w:val="single" w:sz="8" w:color="auto"/>
            </w:tcBorders>
          </w:tcPr>
          <w:p>
            <w:pPr>
              <w:jc w:val="center"/>
              <w:ind w:left="44"/>
              <w:spacing w:after="0" w:line="124" w:lineRule="exact"/>
              <w:rPr>
                <w:sz w:val="20"/>
                <w:szCs w:val="20"/>
                <w:color w:val="auto"/>
              </w:rPr>
            </w:pPr>
            <w:r>
              <w:rPr>
                <w:rFonts w:ascii="Calibri" w:cs="Calibri" w:eastAsia="Calibri" w:hAnsi="Calibri"/>
                <w:sz w:val="11"/>
                <w:szCs w:val="11"/>
                <w:color w:val="auto"/>
              </w:rPr>
              <w:t>23.1%</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3.3%</w:t>
            </w:r>
          </w:p>
        </w:tc>
        <w:tc>
          <w:tcPr>
            <w:tcW w:w="5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44.4%</w:t>
            </w:r>
          </w:p>
        </w:tc>
        <w:tc>
          <w:tcPr>
            <w:tcW w:w="58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23.2%</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3.1%</w:t>
            </w:r>
          </w:p>
        </w:tc>
        <w:tc>
          <w:tcPr>
            <w:tcW w:w="54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43.5%</w:t>
            </w:r>
          </w:p>
        </w:tc>
        <w:tc>
          <w:tcPr>
            <w:tcW w:w="580" w:type="dxa"/>
            <w:vAlign w:val="bottom"/>
            <w:tcBorders>
              <w:bottom w:val="single" w:sz="8" w:color="auto"/>
            </w:tcBorders>
          </w:tcPr>
          <w:p>
            <w:pPr>
              <w:jc w:val="center"/>
              <w:ind w:left="44"/>
              <w:spacing w:after="0" w:line="124" w:lineRule="exact"/>
              <w:rPr>
                <w:sz w:val="20"/>
                <w:szCs w:val="20"/>
                <w:color w:val="auto"/>
              </w:rPr>
            </w:pPr>
            <w:r>
              <w:rPr>
                <w:rFonts w:ascii="Calibri" w:cs="Calibri" w:eastAsia="Calibri" w:hAnsi="Calibri"/>
                <w:sz w:val="11"/>
                <w:szCs w:val="11"/>
                <w:color w:val="auto"/>
              </w:rPr>
              <w:t>22.0%</w:t>
            </w:r>
          </w:p>
        </w:tc>
        <w:tc>
          <w:tcPr>
            <w:tcW w:w="6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3.1%</w:t>
            </w: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3"/>
        </w:trPr>
        <w:tc>
          <w:tcPr>
            <w:tcW w:w="580" w:type="dxa"/>
            <w:vAlign w:val="bottom"/>
            <w:tcBorders>
              <w:top w:val="single" w:sz="8" w:color="auto"/>
              <w:left w:val="single" w:sz="8" w:color="auto"/>
            </w:tcBorders>
            <w:vMerge w:val="restart"/>
            <w:shd w:val="clear" w:color="auto" w:fill="33CCCC"/>
          </w:tcPr>
          <w:p>
            <w:pPr>
              <w:ind w:left="120"/>
              <w:spacing w:after="0"/>
              <w:rPr>
                <w:sz w:val="20"/>
                <w:szCs w:val="20"/>
                <w:color w:val="auto"/>
              </w:rPr>
            </w:pPr>
            <w:r>
              <w:rPr>
                <w:rFonts w:ascii="Calibri" w:cs="Calibri" w:eastAsia="Calibri" w:hAnsi="Calibri"/>
                <w:sz w:val="11"/>
                <w:szCs w:val="11"/>
                <w:b w:val="1"/>
                <w:bCs w:val="1"/>
                <w:color w:val="FFFFFF"/>
              </w:rPr>
              <w:t>Average</w:t>
            </w:r>
          </w:p>
        </w:tc>
        <w:tc>
          <w:tcPr>
            <w:tcW w:w="60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Jun 24</w:t>
            </w:r>
          </w:p>
        </w:tc>
        <w:tc>
          <w:tcPr>
            <w:tcW w:w="600" w:type="dxa"/>
            <w:vAlign w:val="bottom"/>
            <w:tcBorders>
              <w:top w:val="single" w:sz="8" w:color="auto"/>
              <w:right w:val="single" w:sz="8" w:color="auto"/>
            </w:tcBorders>
            <w:shd w:val="clear" w:color="auto" w:fill="33CCCC"/>
          </w:tcPr>
          <w:p>
            <w:pPr>
              <w:spacing w:after="0"/>
              <w:rPr>
                <w:sz w:val="12"/>
                <w:szCs w:val="12"/>
                <w:color w:val="auto"/>
              </w:rPr>
            </w:pPr>
          </w:p>
        </w:tc>
        <w:tc>
          <w:tcPr>
            <w:tcW w:w="580" w:type="dxa"/>
            <w:vAlign w:val="bottom"/>
            <w:tcBorders>
              <w:top w:val="single" w:sz="8" w:color="auto"/>
            </w:tcBorders>
            <w:vMerge w:val="restart"/>
            <w:shd w:val="clear" w:color="auto" w:fill="33CCCC"/>
          </w:tcPr>
          <w:p>
            <w:pPr>
              <w:ind w:left="80"/>
              <w:spacing w:after="0"/>
              <w:rPr>
                <w:sz w:val="20"/>
                <w:szCs w:val="20"/>
                <w:color w:val="auto"/>
              </w:rPr>
            </w:pPr>
            <w:r>
              <w:rPr>
                <w:rFonts w:ascii="Calibri" w:cs="Calibri" w:eastAsia="Calibri" w:hAnsi="Calibri"/>
                <w:sz w:val="11"/>
                <w:szCs w:val="11"/>
                <w:b w:val="1"/>
                <w:bCs w:val="1"/>
                <w:color w:val="FFFFFF"/>
              </w:rPr>
              <w:t>Average</w:t>
            </w:r>
          </w:p>
        </w:tc>
        <w:tc>
          <w:tcPr>
            <w:tcW w:w="5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Jun 25</w:t>
            </w:r>
          </w:p>
        </w:tc>
        <w:tc>
          <w:tcPr>
            <w:tcW w:w="380" w:type="dxa"/>
            <w:vAlign w:val="bottom"/>
            <w:tcBorders>
              <w:top w:val="single" w:sz="8" w:color="auto"/>
              <w:right w:val="single" w:sz="8" w:color="auto"/>
            </w:tcBorders>
            <w:shd w:val="clear" w:color="auto" w:fill="33CCC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80" w:type="dxa"/>
            <w:vAlign w:val="bottom"/>
            <w:tcBorders>
              <w:left w:val="single" w:sz="8" w:color="auto"/>
            </w:tcBorders>
            <w:vMerge w:val="continue"/>
            <w:shd w:val="clear" w:color="auto" w:fill="33CCCC"/>
          </w:tcPr>
          <w:p>
            <w:pPr>
              <w:spacing w:after="0"/>
              <w:rPr>
                <w:sz w:val="10"/>
                <w:szCs w:val="10"/>
                <w:color w:val="auto"/>
              </w:rPr>
            </w:pPr>
          </w:p>
        </w:tc>
        <w:tc>
          <w:tcPr>
            <w:tcW w:w="600" w:type="dxa"/>
            <w:vAlign w:val="bottom"/>
            <w:shd w:val="clear" w:color="auto" w:fill="33CCCC"/>
          </w:tcPr>
          <w:p>
            <w:pPr>
              <w:spacing w:after="0"/>
              <w:rPr>
                <w:sz w:val="10"/>
                <w:szCs w:val="10"/>
                <w:color w:val="auto"/>
              </w:rPr>
            </w:pPr>
          </w:p>
        </w:tc>
        <w:tc>
          <w:tcPr>
            <w:tcW w:w="600" w:type="dxa"/>
            <w:vAlign w:val="bottom"/>
            <w:tcBorders>
              <w:right w:val="single" w:sz="8" w:color="auto"/>
            </w:tcBorders>
            <w:shd w:val="clear" w:color="auto" w:fill="33CCCC"/>
          </w:tcPr>
          <w:p>
            <w:pPr>
              <w:spacing w:after="0"/>
              <w:rPr>
                <w:sz w:val="10"/>
                <w:szCs w:val="10"/>
                <w:color w:val="auto"/>
              </w:rPr>
            </w:pPr>
          </w:p>
        </w:tc>
        <w:tc>
          <w:tcPr>
            <w:tcW w:w="580" w:type="dxa"/>
            <w:vAlign w:val="bottom"/>
            <w:vMerge w:val="continue"/>
            <w:shd w:val="clear" w:color="auto" w:fill="33CCCC"/>
          </w:tcPr>
          <w:p>
            <w:pPr>
              <w:spacing w:after="0"/>
              <w:rPr>
                <w:sz w:val="10"/>
                <w:szCs w:val="10"/>
                <w:color w:val="auto"/>
              </w:rPr>
            </w:pPr>
          </w:p>
        </w:tc>
        <w:tc>
          <w:tcPr>
            <w:tcW w:w="580" w:type="dxa"/>
            <w:vAlign w:val="bottom"/>
            <w:shd w:val="clear" w:color="auto" w:fill="33CCCC"/>
          </w:tcPr>
          <w:p>
            <w:pPr>
              <w:spacing w:after="0"/>
              <w:rPr>
                <w:sz w:val="10"/>
                <w:szCs w:val="10"/>
                <w:color w:val="auto"/>
              </w:rPr>
            </w:pPr>
          </w:p>
        </w:tc>
        <w:tc>
          <w:tcPr>
            <w:tcW w:w="380" w:type="dxa"/>
            <w:vAlign w:val="bottom"/>
            <w:tcBorders>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auto"/>
              <w:bottom w:val="single" w:sz="8" w:color="auto"/>
            </w:tcBorders>
            <w:shd w:val="clear" w:color="auto" w:fill="33CCCC"/>
          </w:tcPr>
          <w:p>
            <w:pPr>
              <w:ind w:left="120"/>
              <w:spacing w:after="0"/>
              <w:rPr>
                <w:sz w:val="20"/>
                <w:szCs w:val="20"/>
                <w:color w:val="auto"/>
              </w:rPr>
            </w:pPr>
            <w:r>
              <w:rPr>
                <w:rFonts w:ascii="Calibri" w:cs="Calibri" w:eastAsia="Calibri" w:hAnsi="Calibri"/>
                <w:sz w:val="11"/>
                <w:szCs w:val="11"/>
                <w:b w:val="1"/>
                <w:bCs w:val="1"/>
                <w:color w:val="FFFFFF"/>
              </w:rPr>
              <w:t>Balance</w:t>
            </w:r>
          </w:p>
        </w:tc>
        <w:tc>
          <w:tcPr>
            <w:tcW w:w="60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Income</w:t>
            </w:r>
          </w:p>
        </w:tc>
        <w:tc>
          <w:tcPr>
            <w:tcW w:w="600" w:type="dxa"/>
            <w:vAlign w:val="bottom"/>
            <w:tcBorders>
              <w:bottom w:val="single" w:sz="8" w:color="auto"/>
              <w:right w:val="single" w:sz="8" w:color="auto"/>
            </w:tcBorders>
            <w:shd w:val="clear" w:color="auto" w:fill="33CCCC"/>
          </w:tcPr>
          <w:p>
            <w:pPr>
              <w:ind w:left="140"/>
              <w:spacing w:after="0"/>
              <w:rPr>
                <w:sz w:val="20"/>
                <w:szCs w:val="20"/>
                <w:color w:val="auto"/>
              </w:rPr>
            </w:pPr>
            <w:r>
              <w:rPr>
                <w:rFonts w:ascii="Calibri" w:cs="Calibri" w:eastAsia="Calibri" w:hAnsi="Calibri"/>
                <w:sz w:val="11"/>
                <w:szCs w:val="11"/>
                <w:b w:val="1"/>
                <w:bCs w:val="1"/>
                <w:color w:val="FFFFFF"/>
              </w:rPr>
              <w:t>Yields</w:t>
            </w:r>
          </w:p>
        </w:tc>
        <w:tc>
          <w:tcPr>
            <w:tcW w:w="58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Balance</w:t>
            </w:r>
          </w:p>
        </w:tc>
        <w:tc>
          <w:tcPr>
            <w:tcW w:w="58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Income</w:t>
            </w:r>
          </w:p>
        </w:tc>
        <w:tc>
          <w:tcPr>
            <w:tcW w:w="380" w:type="dxa"/>
            <w:vAlign w:val="bottom"/>
            <w:tcBorders>
              <w:bottom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1"/>
                <w:szCs w:val="11"/>
                <w:b w:val="1"/>
                <w:bCs w:val="1"/>
                <w:color w:val="FFFFFF"/>
                <w:w w:val="96"/>
              </w:rPr>
              <w:t>Yields</w:t>
            </w: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rPr>
              <w:t>26,568</w:t>
            </w:r>
          </w:p>
        </w:tc>
        <w:tc>
          <w:tcPr>
            <w:tcW w:w="600" w:type="dxa"/>
            <w:vAlign w:val="bottom"/>
          </w:tcPr>
          <w:p>
            <w:pPr>
              <w:jc w:val="center"/>
              <w:spacing w:after="0"/>
              <w:rPr>
                <w:sz w:val="20"/>
                <w:szCs w:val="20"/>
                <w:color w:val="auto"/>
              </w:rPr>
            </w:pPr>
            <w:r>
              <w:rPr>
                <w:rFonts w:ascii="Calibri" w:cs="Calibri" w:eastAsia="Calibri" w:hAnsi="Calibri"/>
                <w:sz w:val="11"/>
                <w:szCs w:val="11"/>
                <w:color w:val="auto"/>
                <w:w w:val="95"/>
              </w:rPr>
              <w:t>654</w:t>
            </w:r>
          </w:p>
        </w:tc>
        <w:tc>
          <w:tcPr>
            <w:tcW w:w="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4.9%</w:t>
            </w:r>
          </w:p>
        </w:tc>
        <w:tc>
          <w:tcPr>
            <w:tcW w:w="580" w:type="dxa"/>
            <w:vAlign w:val="bottom"/>
          </w:tcPr>
          <w:p>
            <w:pPr>
              <w:jc w:val="center"/>
              <w:spacing w:after="0"/>
              <w:rPr>
                <w:sz w:val="20"/>
                <w:szCs w:val="20"/>
                <w:color w:val="auto"/>
              </w:rPr>
            </w:pPr>
            <w:r>
              <w:rPr>
                <w:rFonts w:ascii="Calibri" w:cs="Calibri" w:eastAsia="Calibri" w:hAnsi="Calibri"/>
                <w:sz w:val="11"/>
                <w:szCs w:val="11"/>
                <w:color w:val="auto"/>
              </w:rPr>
              <w:t>37,162</w:t>
            </w:r>
          </w:p>
        </w:tc>
        <w:tc>
          <w:tcPr>
            <w:tcW w:w="580" w:type="dxa"/>
            <w:vAlign w:val="bottom"/>
          </w:tcPr>
          <w:p>
            <w:pPr>
              <w:jc w:val="center"/>
              <w:spacing w:after="0"/>
              <w:rPr>
                <w:sz w:val="20"/>
                <w:szCs w:val="20"/>
                <w:color w:val="auto"/>
              </w:rPr>
            </w:pPr>
            <w:r>
              <w:rPr>
                <w:rFonts w:ascii="Calibri" w:cs="Calibri" w:eastAsia="Calibri" w:hAnsi="Calibri"/>
                <w:sz w:val="11"/>
                <w:szCs w:val="11"/>
                <w:color w:val="auto"/>
              </w:rPr>
              <w:t>687</w:t>
            </w:r>
          </w:p>
        </w:tc>
        <w:tc>
          <w:tcPr>
            <w:tcW w:w="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3.7%</w:t>
            </w:r>
          </w:p>
        </w:tc>
        <w:tc>
          <w:tcPr>
            <w:tcW w:w="0" w:type="dxa"/>
            <w:vAlign w:val="bottom"/>
          </w:tcPr>
          <w:p>
            <w:pPr>
              <w:spacing w:after="0"/>
              <w:rPr>
                <w:sz w:val="1"/>
                <w:szCs w:val="1"/>
                <w:color w:val="auto"/>
              </w:rPr>
            </w:pPr>
          </w:p>
        </w:tc>
      </w:tr>
      <w:tr>
        <w:trPr>
          <w:trHeight w:val="130"/>
        </w:trPr>
        <w:tc>
          <w:tcPr>
            <w:tcW w:w="580" w:type="dxa"/>
            <w:vAlign w:val="bottom"/>
            <w:tcBorders>
              <w:lef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5"/>
              </w:rPr>
              <w:t>1,594</w:t>
            </w:r>
          </w:p>
        </w:tc>
        <w:tc>
          <w:tcPr>
            <w:tcW w:w="600" w:type="dxa"/>
            <w:vAlign w:val="bottom"/>
          </w:tcPr>
          <w:p>
            <w:pPr>
              <w:jc w:val="center"/>
              <w:spacing w:after="0" w:line="130" w:lineRule="exact"/>
              <w:rPr>
                <w:sz w:val="20"/>
                <w:szCs w:val="20"/>
                <w:color w:val="auto"/>
              </w:rPr>
            </w:pPr>
            <w:r>
              <w:rPr>
                <w:rFonts w:ascii="Calibri" w:cs="Calibri" w:eastAsia="Calibri" w:hAnsi="Calibri"/>
                <w:sz w:val="11"/>
                <w:szCs w:val="11"/>
                <w:color w:val="auto"/>
              </w:rPr>
              <w:t>54</w:t>
            </w:r>
          </w:p>
        </w:tc>
        <w:tc>
          <w:tcPr>
            <w:tcW w:w="6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6.8%</w:t>
            </w:r>
          </w:p>
        </w:tc>
        <w:tc>
          <w:tcPr>
            <w:tcW w:w="580" w:type="dxa"/>
            <w:vAlign w:val="bottom"/>
          </w:tcPr>
          <w:p>
            <w:pPr>
              <w:jc w:val="center"/>
              <w:spacing w:after="0" w:line="130" w:lineRule="exact"/>
              <w:rPr>
                <w:sz w:val="20"/>
                <w:szCs w:val="20"/>
                <w:color w:val="auto"/>
              </w:rPr>
            </w:pPr>
            <w:r>
              <w:rPr>
                <w:rFonts w:ascii="Calibri" w:cs="Calibri" w:eastAsia="Calibri" w:hAnsi="Calibri"/>
                <w:sz w:val="11"/>
                <w:szCs w:val="11"/>
                <w:color w:val="auto"/>
              </w:rPr>
              <w:t>2,813</w:t>
            </w:r>
          </w:p>
        </w:tc>
        <w:tc>
          <w:tcPr>
            <w:tcW w:w="580" w:type="dxa"/>
            <w:vAlign w:val="bottom"/>
          </w:tcPr>
          <w:p>
            <w:pPr>
              <w:jc w:val="center"/>
              <w:ind w:left="4"/>
              <w:spacing w:after="0" w:line="130" w:lineRule="exact"/>
              <w:rPr>
                <w:sz w:val="20"/>
                <w:szCs w:val="20"/>
                <w:color w:val="auto"/>
              </w:rPr>
            </w:pPr>
            <w:r>
              <w:rPr>
                <w:rFonts w:ascii="Calibri" w:cs="Calibri" w:eastAsia="Calibri" w:hAnsi="Calibri"/>
                <w:sz w:val="11"/>
                <w:szCs w:val="11"/>
                <w:color w:val="auto"/>
              </w:rPr>
              <w:t>89</w:t>
            </w:r>
          </w:p>
        </w:tc>
        <w:tc>
          <w:tcPr>
            <w:tcW w:w="3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6.3%</w:t>
            </w:r>
          </w:p>
        </w:tc>
        <w:tc>
          <w:tcPr>
            <w:tcW w:w="0" w:type="dxa"/>
            <w:vAlign w:val="bottom"/>
          </w:tcPr>
          <w:p>
            <w:pPr>
              <w:spacing w:after="0"/>
              <w:rPr>
                <w:sz w:val="1"/>
                <w:szCs w:val="1"/>
                <w:color w:val="auto"/>
              </w:rPr>
            </w:pPr>
          </w:p>
        </w:tc>
      </w:tr>
      <w:tr>
        <w:trPr>
          <w:trHeight w:val="130"/>
        </w:trPr>
        <w:tc>
          <w:tcPr>
            <w:tcW w:w="580" w:type="dxa"/>
            <w:vAlign w:val="bottom"/>
            <w:tcBorders>
              <w:lef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52,320</w:t>
            </w:r>
          </w:p>
        </w:tc>
        <w:tc>
          <w:tcPr>
            <w:tcW w:w="600" w:type="dxa"/>
            <w:vAlign w:val="bottom"/>
          </w:tcPr>
          <w:p>
            <w:pPr>
              <w:jc w:val="center"/>
              <w:spacing w:after="0" w:line="130" w:lineRule="exact"/>
              <w:rPr>
                <w:sz w:val="20"/>
                <w:szCs w:val="20"/>
                <w:color w:val="auto"/>
              </w:rPr>
            </w:pPr>
            <w:r>
              <w:rPr>
                <w:rFonts w:ascii="Calibri" w:cs="Calibri" w:eastAsia="Calibri" w:hAnsi="Calibri"/>
                <w:sz w:val="11"/>
                <w:szCs w:val="11"/>
                <w:color w:val="auto"/>
              </w:rPr>
              <w:t>1,362</w:t>
            </w:r>
          </w:p>
        </w:tc>
        <w:tc>
          <w:tcPr>
            <w:tcW w:w="6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5.2%</w:t>
            </w:r>
          </w:p>
        </w:tc>
        <w:tc>
          <w:tcPr>
            <w:tcW w:w="580" w:type="dxa"/>
            <w:vAlign w:val="bottom"/>
          </w:tcPr>
          <w:p>
            <w:pPr>
              <w:jc w:val="center"/>
              <w:spacing w:after="0" w:line="130" w:lineRule="exact"/>
              <w:rPr>
                <w:sz w:val="20"/>
                <w:szCs w:val="20"/>
                <w:color w:val="auto"/>
              </w:rPr>
            </w:pPr>
            <w:r>
              <w:rPr>
                <w:rFonts w:ascii="Calibri" w:cs="Calibri" w:eastAsia="Calibri" w:hAnsi="Calibri"/>
                <w:sz w:val="11"/>
                <w:szCs w:val="11"/>
                <w:color w:val="auto"/>
              </w:rPr>
              <w:t>52,715</w:t>
            </w:r>
          </w:p>
        </w:tc>
        <w:tc>
          <w:tcPr>
            <w:tcW w:w="580" w:type="dxa"/>
            <w:vAlign w:val="bottom"/>
          </w:tcPr>
          <w:p>
            <w:pPr>
              <w:jc w:val="center"/>
              <w:spacing w:after="0" w:line="130" w:lineRule="exact"/>
              <w:rPr>
                <w:sz w:val="20"/>
                <w:szCs w:val="20"/>
                <w:color w:val="auto"/>
              </w:rPr>
            </w:pPr>
            <w:r>
              <w:rPr>
                <w:rFonts w:ascii="Calibri" w:cs="Calibri" w:eastAsia="Calibri" w:hAnsi="Calibri"/>
                <w:sz w:val="11"/>
                <w:szCs w:val="11"/>
                <w:color w:val="auto"/>
              </w:rPr>
              <w:t>1,353</w:t>
            </w:r>
          </w:p>
        </w:tc>
        <w:tc>
          <w:tcPr>
            <w:tcW w:w="3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5.1%</w:t>
            </w:r>
          </w:p>
        </w:tc>
        <w:tc>
          <w:tcPr>
            <w:tcW w:w="0" w:type="dxa"/>
            <w:vAlign w:val="bottom"/>
          </w:tcPr>
          <w:p>
            <w:pPr>
              <w:spacing w:after="0"/>
              <w:rPr>
                <w:sz w:val="1"/>
                <w:szCs w:val="1"/>
                <w:color w:val="auto"/>
              </w:rPr>
            </w:pPr>
          </w:p>
        </w:tc>
      </w:tr>
      <w:tr>
        <w:trPr>
          <w:trHeight w:val="134"/>
        </w:trPr>
        <w:tc>
          <w:tcPr>
            <w:tcW w:w="5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w w:val="99"/>
              </w:rPr>
              <w:t>145,961</w:t>
            </w:r>
          </w:p>
        </w:tc>
        <w:tc>
          <w:tcPr>
            <w:tcW w:w="600" w:type="dxa"/>
            <w:vAlign w:val="bottom"/>
          </w:tcPr>
          <w:p>
            <w:pPr>
              <w:jc w:val="center"/>
              <w:spacing w:after="0"/>
              <w:rPr>
                <w:sz w:val="20"/>
                <w:szCs w:val="20"/>
                <w:color w:val="auto"/>
              </w:rPr>
            </w:pPr>
            <w:r>
              <w:rPr>
                <w:rFonts w:ascii="Calibri" w:cs="Calibri" w:eastAsia="Calibri" w:hAnsi="Calibri"/>
                <w:sz w:val="11"/>
                <w:szCs w:val="11"/>
                <w:color w:val="auto"/>
              </w:rPr>
              <w:t>7,790</w:t>
            </w:r>
          </w:p>
        </w:tc>
        <w:tc>
          <w:tcPr>
            <w:tcW w:w="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10.7%</w:t>
            </w:r>
          </w:p>
        </w:tc>
        <w:tc>
          <w:tcPr>
            <w:tcW w:w="580" w:type="dxa"/>
            <w:vAlign w:val="bottom"/>
          </w:tcPr>
          <w:p>
            <w:pPr>
              <w:jc w:val="center"/>
              <w:spacing w:after="0"/>
              <w:rPr>
                <w:sz w:val="20"/>
                <w:szCs w:val="20"/>
                <w:color w:val="auto"/>
              </w:rPr>
            </w:pPr>
            <w:r>
              <w:rPr>
                <w:rFonts w:ascii="Calibri" w:cs="Calibri" w:eastAsia="Calibri" w:hAnsi="Calibri"/>
                <w:sz w:val="11"/>
                <w:szCs w:val="11"/>
                <w:color w:val="auto"/>
              </w:rPr>
              <w:t>143,348</w:t>
            </w:r>
          </w:p>
        </w:tc>
        <w:tc>
          <w:tcPr>
            <w:tcW w:w="580" w:type="dxa"/>
            <w:vAlign w:val="bottom"/>
          </w:tcPr>
          <w:p>
            <w:pPr>
              <w:jc w:val="center"/>
              <w:spacing w:after="0"/>
              <w:rPr>
                <w:sz w:val="20"/>
                <w:szCs w:val="20"/>
                <w:color w:val="auto"/>
              </w:rPr>
            </w:pPr>
            <w:r>
              <w:rPr>
                <w:rFonts w:ascii="Calibri" w:cs="Calibri" w:eastAsia="Calibri" w:hAnsi="Calibri"/>
                <w:sz w:val="11"/>
                <w:szCs w:val="11"/>
                <w:color w:val="auto"/>
              </w:rPr>
              <w:t>7,688</w:t>
            </w:r>
          </w:p>
        </w:tc>
        <w:tc>
          <w:tcPr>
            <w:tcW w:w="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10.7%</w:t>
            </w:r>
          </w:p>
        </w:tc>
        <w:tc>
          <w:tcPr>
            <w:tcW w:w="0" w:type="dxa"/>
            <w:vAlign w:val="bottom"/>
          </w:tcPr>
          <w:p>
            <w:pPr>
              <w:spacing w:after="0"/>
              <w:rPr>
                <w:sz w:val="1"/>
                <w:szCs w:val="1"/>
                <w:color w:val="auto"/>
              </w:rPr>
            </w:pPr>
          </w:p>
        </w:tc>
      </w:tr>
      <w:tr>
        <w:trPr>
          <w:trHeight w:val="24"/>
        </w:trPr>
        <w:tc>
          <w:tcPr>
            <w:tcW w:w="5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226,443</w:t>
            </w:r>
          </w:p>
        </w:tc>
        <w:tc>
          <w:tcPr>
            <w:tcW w:w="60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9,860</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8.7%</w:t>
            </w:r>
          </w:p>
        </w:tc>
        <w:tc>
          <w:tcPr>
            <w:tcW w:w="5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236,038</w:t>
            </w:r>
          </w:p>
        </w:tc>
        <w:tc>
          <w:tcPr>
            <w:tcW w:w="5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9,817</w:t>
            </w:r>
          </w:p>
        </w:tc>
        <w:tc>
          <w:tcPr>
            <w:tcW w:w="3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8.3%</w:t>
            </w:r>
          </w:p>
        </w:tc>
        <w:tc>
          <w:tcPr>
            <w:tcW w:w="0" w:type="dxa"/>
            <w:vAlign w:val="bottom"/>
          </w:tcPr>
          <w:p>
            <w:pPr>
              <w:spacing w:after="0"/>
              <w:rPr>
                <w:sz w:val="1"/>
                <w:szCs w:val="1"/>
                <w:color w:val="auto"/>
              </w:rPr>
            </w:pPr>
          </w:p>
        </w:tc>
      </w:tr>
      <w:tr>
        <w:trPr>
          <w:trHeight w:val="132"/>
        </w:trPr>
        <w:tc>
          <w:tcPr>
            <w:tcW w:w="580" w:type="dxa"/>
            <w:vAlign w:val="bottom"/>
            <w:tcBorders>
              <w:left w:val="single" w:sz="8" w:color="auto"/>
              <w:bottom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57.2%</w:t>
            </w:r>
          </w:p>
        </w:tc>
        <w:tc>
          <w:tcPr>
            <w:tcW w:w="600" w:type="dxa"/>
            <w:vAlign w:val="bottom"/>
            <w:tcBorders>
              <w:bottom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69.6%</w:t>
            </w:r>
          </w:p>
        </w:tc>
        <w:tc>
          <w:tcPr>
            <w:tcW w:w="600" w:type="dxa"/>
            <w:vAlign w:val="bottom"/>
            <w:tcBorders>
              <w:bottom w:val="single" w:sz="8" w:color="auto"/>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10.6%</w:t>
            </w:r>
          </w:p>
        </w:tc>
        <w:tc>
          <w:tcPr>
            <w:tcW w:w="580" w:type="dxa"/>
            <w:vAlign w:val="bottom"/>
            <w:tcBorders>
              <w:bottom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55.6%</w:t>
            </w:r>
          </w:p>
        </w:tc>
        <w:tc>
          <w:tcPr>
            <w:tcW w:w="580" w:type="dxa"/>
            <w:vAlign w:val="bottom"/>
            <w:tcBorders>
              <w:bottom w:val="single" w:sz="8" w:color="auto"/>
            </w:tcBorders>
          </w:tcPr>
          <w:p>
            <w:pPr>
              <w:jc w:val="center"/>
              <w:ind w:left="4"/>
              <w:spacing w:after="0" w:line="132" w:lineRule="exact"/>
              <w:rPr>
                <w:sz w:val="20"/>
                <w:szCs w:val="20"/>
                <w:color w:val="auto"/>
              </w:rPr>
            </w:pPr>
            <w:r>
              <w:rPr>
                <w:rFonts w:ascii="Calibri" w:cs="Calibri" w:eastAsia="Calibri" w:hAnsi="Calibri"/>
                <w:sz w:val="11"/>
                <w:szCs w:val="11"/>
                <w:color w:val="auto"/>
              </w:rPr>
              <w:t>70.8%</w:t>
            </w:r>
          </w:p>
        </w:tc>
        <w:tc>
          <w:tcPr>
            <w:tcW w:w="380" w:type="dxa"/>
            <w:vAlign w:val="bottom"/>
            <w:tcBorders>
              <w:bottom w:val="single" w:sz="8" w:color="auto"/>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10.6%</w:t>
            </w:r>
          </w:p>
        </w:tc>
        <w:tc>
          <w:tcPr>
            <w:tcW w:w="0" w:type="dxa"/>
            <w:vAlign w:val="bottom"/>
          </w:tcPr>
          <w:p>
            <w:pPr>
              <w:spacing w:after="0"/>
              <w:rPr>
                <w:sz w:val="1"/>
                <w:szCs w:val="1"/>
                <w:color w:val="auto"/>
              </w:rPr>
            </w:pPr>
          </w:p>
        </w:tc>
      </w:tr>
      <w:tr>
        <w:trPr>
          <w:trHeight w:val="127"/>
        </w:trPr>
        <w:tc>
          <w:tcPr>
            <w:tcW w:w="580" w:type="dxa"/>
            <w:vAlign w:val="bottom"/>
            <w:tcBorders>
              <w:left w:val="single" w:sz="8" w:color="auto"/>
              <w:bottom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42.8%</w:t>
            </w:r>
          </w:p>
        </w:tc>
        <w:tc>
          <w:tcPr>
            <w:tcW w:w="600" w:type="dxa"/>
            <w:vAlign w:val="bottom"/>
            <w:tcBorders>
              <w:bottom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30.4%</w:t>
            </w:r>
          </w:p>
        </w:tc>
        <w:tc>
          <w:tcPr>
            <w:tcW w:w="600" w:type="dxa"/>
            <w:vAlign w:val="bottom"/>
            <w:tcBorders>
              <w:bottom w:val="single" w:sz="8" w:color="auto"/>
              <w:right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6.2%</w:t>
            </w:r>
          </w:p>
        </w:tc>
        <w:tc>
          <w:tcPr>
            <w:tcW w:w="580" w:type="dxa"/>
            <w:vAlign w:val="bottom"/>
            <w:tcBorders>
              <w:bottom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44.4%</w:t>
            </w:r>
          </w:p>
        </w:tc>
        <w:tc>
          <w:tcPr>
            <w:tcW w:w="580" w:type="dxa"/>
            <w:vAlign w:val="bottom"/>
            <w:tcBorders>
              <w:bottom w:val="single" w:sz="8" w:color="auto"/>
            </w:tcBorders>
          </w:tcPr>
          <w:p>
            <w:pPr>
              <w:jc w:val="center"/>
              <w:ind w:left="4"/>
              <w:spacing w:after="0" w:line="128" w:lineRule="exact"/>
              <w:rPr>
                <w:sz w:val="20"/>
                <w:szCs w:val="20"/>
                <w:color w:val="auto"/>
              </w:rPr>
            </w:pPr>
            <w:r>
              <w:rPr>
                <w:rFonts w:ascii="Calibri" w:cs="Calibri" w:eastAsia="Calibri" w:hAnsi="Calibri"/>
                <w:sz w:val="11"/>
                <w:szCs w:val="11"/>
                <w:color w:val="auto"/>
              </w:rPr>
              <w:t>29.2%</w:t>
            </w:r>
          </w:p>
        </w:tc>
        <w:tc>
          <w:tcPr>
            <w:tcW w:w="380" w:type="dxa"/>
            <w:vAlign w:val="bottom"/>
            <w:tcBorders>
              <w:bottom w:val="single" w:sz="8" w:color="auto"/>
              <w:right w:val="single" w:sz="8" w:color="auto"/>
            </w:tcBorders>
          </w:tcPr>
          <w:p>
            <w:pPr>
              <w:jc w:val="center"/>
              <w:spacing w:after="0" w:line="128" w:lineRule="exact"/>
              <w:rPr>
                <w:sz w:val="20"/>
                <w:szCs w:val="20"/>
                <w:color w:val="auto"/>
              </w:rPr>
            </w:pPr>
            <w:r>
              <w:rPr>
                <w:rFonts w:ascii="Calibri" w:cs="Calibri" w:eastAsia="Calibri" w:hAnsi="Calibri"/>
                <w:sz w:val="11"/>
                <w:szCs w:val="11"/>
                <w:color w:val="auto"/>
              </w:rPr>
              <w:t>5.5%</w:t>
            </w:r>
          </w:p>
        </w:tc>
        <w:tc>
          <w:tcPr>
            <w:tcW w:w="0" w:type="dxa"/>
            <w:vAlign w:val="bottom"/>
          </w:tcPr>
          <w:p>
            <w:pPr>
              <w:spacing w:after="0"/>
              <w:rPr>
                <w:sz w:val="1"/>
                <w:szCs w:val="1"/>
                <w:color w:val="auto"/>
              </w:rPr>
            </w:pPr>
          </w:p>
        </w:tc>
      </w:tr>
      <w:tr>
        <w:trPr>
          <w:trHeight w:val="188"/>
        </w:trPr>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580" w:type="dxa"/>
            <w:vAlign w:val="bottom"/>
            <w:tcBorders>
              <w:left w:val="single" w:sz="8" w:color="auto"/>
            </w:tcBorders>
            <w:vMerge w:val="restart"/>
            <w:shd w:val="clear" w:color="auto" w:fill="33CCCC"/>
          </w:tcPr>
          <w:p>
            <w:pPr>
              <w:ind w:left="120"/>
              <w:spacing w:after="0"/>
              <w:rPr>
                <w:sz w:val="20"/>
                <w:szCs w:val="20"/>
                <w:color w:val="auto"/>
              </w:rPr>
            </w:pPr>
            <w:r>
              <w:rPr>
                <w:rFonts w:ascii="Calibri" w:cs="Calibri" w:eastAsia="Calibri" w:hAnsi="Calibri"/>
                <w:sz w:val="11"/>
                <w:szCs w:val="11"/>
                <w:b w:val="1"/>
                <w:bCs w:val="1"/>
                <w:color w:val="FFFFFF"/>
              </w:rPr>
              <w:t>Average</w:t>
            </w:r>
          </w:p>
        </w:tc>
        <w:tc>
          <w:tcPr>
            <w:tcW w:w="600" w:type="dxa"/>
            <w:vAlign w:val="bottom"/>
            <w:shd w:val="clear" w:color="auto" w:fill="33CCCC"/>
          </w:tcPr>
          <w:p>
            <w:pPr>
              <w:jc w:val="center"/>
              <w:spacing w:after="0" w:line="124" w:lineRule="exact"/>
              <w:rPr>
                <w:sz w:val="20"/>
                <w:szCs w:val="20"/>
                <w:color w:val="auto"/>
              </w:rPr>
            </w:pPr>
            <w:r>
              <w:rPr>
                <w:rFonts w:ascii="Calibri" w:cs="Calibri" w:eastAsia="Calibri" w:hAnsi="Calibri"/>
                <w:sz w:val="11"/>
                <w:szCs w:val="11"/>
                <w:b w:val="1"/>
                <w:bCs w:val="1"/>
                <w:color w:val="FFFFFF"/>
              </w:rPr>
              <w:t>Jun 24</w:t>
            </w:r>
          </w:p>
        </w:tc>
        <w:tc>
          <w:tcPr>
            <w:tcW w:w="600" w:type="dxa"/>
            <w:vAlign w:val="bottom"/>
            <w:tcBorders>
              <w:right w:val="single" w:sz="8" w:color="auto"/>
            </w:tcBorders>
            <w:shd w:val="clear" w:color="auto" w:fill="33CCCC"/>
          </w:tcPr>
          <w:p>
            <w:pPr>
              <w:spacing w:after="0"/>
              <w:rPr>
                <w:sz w:val="10"/>
                <w:szCs w:val="10"/>
                <w:color w:val="auto"/>
              </w:rPr>
            </w:pPr>
          </w:p>
        </w:tc>
        <w:tc>
          <w:tcPr>
            <w:tcW w:w="580" w:type="dxa"/>
            <w:vAlign w:val="bottom"/>
            <w:vMerge w:val="restart"/>
            <w:shd w:val="clear" w:color="auto" w:fill="33CCCC"/>
          </w:tcPr>
          <w:p>
            <w:pPr>
              <w:ind w:left="80"/>
              <w:spacing w:after="0"/>
              <w:rPr>
                <w:sz w:val="20"/>
                <w:szCs w:val="20"/>
                <w:color w:val="auto"/>
              </w:rPr>
            </w:pPr>
            <w:r>
              <w:rPr>
                <w:rFonts w:ascii="Calibri" w:cs="Calibri" w:eastAsia="Calibri" w:hAnsi="Calibri"/>
                <w:sz w:val="11"/>
                <w:szCs w:val="11"/>
                <w:b w:val="1"/>
                <w:bCs w:val="1"/>
                <w:color w:val="FFFFFF"/>
              </w:rPr>
              <w:t>Average</w:t>
            </w:r>
          </w:p>
        </w:tc>
        <w:tc>
          <w:tcPr>
            <w:tcW w:w="580" w:type="dxa"/>
            <w:vAlign w:val="bottom"/>
            <w:shd w:val="clear" w:color="auto" w:fill="33CCCC"/>
          </w:tcPr>
          <w:p>
            <w:pPr>
              <w:jc w:val="center"/>
              <w:spacing w:after="0" w:line="124" w:lineRule="exact"/>
              <w:rPr>
                <w:sz w:val="20"/>
                <w:szCs w:val="20"/>
                <w:color w:val="auto"/>
              </w:rPr>
            </w:pPr>
            <w:r>
              <w:rPr>
                <w:rFonts w:ascii="Calibri" w:cs="Calibri" w:eastAsia="Calibri" w:hAnsi="Calibri"/>
                <w:sz w:val="11"/>
                <w:szCs w:val="11"/>
                <w:b w:val="1"/>
                <w:bCs w:val="1"/>
                <w:color w:val="FFFFFF"/>
              </w:rPr>
              <w:t>Jun 25</w:t>
            </w:r>
          </w:p>
        </w:tc>
        <w:tc>
          <w:tcPr>
            <w:tcW w:w="380" w:type="dxa"/>
            <w:vAlign w:val="bottom"/>
            <w:tcBorders>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0" w:type="dxa"/>
            <w:vAlign w:val="bottom"/>
            <w:tcBorders>
              <w:left w:val="single" w:sz="8" w:color="auto"/>
            </w:tcBorders>
            <w:vMerge w:val="continue"/>
            <w:shd w:val="clear" w:color="auto" w:fill="33CCCC"/>
          </w:tcPr>
          <w:p>
            <w:pPr>
              <w:spacing w:after="0"/>
              <w:rPr>
                <w:sz w:val="10"/>
                <w:szCs w:val="10"/>
                <w:color w:val="auto"/>
              </w:rPr>
            </w:pPr>
          </w:p>
        </w:tc>
        <w:tc>
          <w:tcPr>
            <w:tcW w:w="600" w:type="dxa"/>
            <w:vAlign w:val="bottom"/>
            <w:shd w:val="clear" w:color="auto" w:fill="33CCCC"/>
          </w:tcPr>
          <w:p>
            <w:pPr>
              <w:spacing w:after="0"/>
              <w:rPr>
                <w:sz w:val="10"/>
                <w:szCs w:val="10"/>
                <w:color w:val="auto"/>
              </w:rPr>
            </w:pPr>
          </w:p>
        </w:tc>
        <w:tc>
          <w:tcPr>
            <w:tcW w:w="600" w:type="dxa"/>
            <w:vAlign w:val="bottom"/>
            <w:tcBorders>
              <w:right w:val="single" w:sz="8" w:color="auto"/>
            </w:tcBorders>
            <w:shd w:val="clear" w:color="auto" w:fill="33CCCC"/>
          </w:tcPr>
          <w:p>
            <w:pPr>
              <w:spacing w:after="0"/>
              <w:rPr>
                <w:sz w:val="10"/>
                <w:szCs w:val="10"/>
                <w:color w:val="auto"/>
              </w:rPr>
            </w:pPr>
          </w:p>
        </w:tc>
        <w:tc>
          <w:tcPr>
            <w:tcW w:w="580" w:type="dxa"/>
            <w:vAlign w:val="bottom"/>
            <w:vMerge w:val="continue"/>
            <w:shd w:val="clear" w:color="auto" w:fill="33CCCC"/>
          </w:tcPr>
          <w:p>
            <w:pPr>
              <w:spacing w:after="0"/>
              <w:rPr>
                <w:sz w:val="10"/>
                <w:szCs w:val="10"/>
                <w:color w:val="auto"/>
              </w:rPr>
            </w:pPr>
          </w:p>
        </w:tc>
        <w:tc>
          <w:tcPr>
            <w:tcW w:w="580" w:type="dxa"/>
            <w:vAlign w:val="bottom"/>
            <w:shd w:val="clear" w:color="auto" w:fill="33CCCC"/>
          </w:tcPr>
          <w:p>
            <w:pPr>
              <w:spacing w:after="0"/>
              <w:rPr>
                <w:sz w:val="10"/>
                <w:szCs w:val="10"/>
                <w:color w:val="auto"/>
              </w:rPr>
            </w:pPr>
          </w:p>
        </w:tc>
        <w:tc>
          <w:tcPr>
            <w:tcW w:w="380" w:type="dxa"/>
            <w:vAlign w:val="bottom"/>
            <w:tcBorders>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auto"/>
              <w:bottom w:val="single" w:sz="8" w:color="auto"/>
            </w:tcBorders>
            <w:shd w:val="clear" w:color="auto" w:fill="33CCCC"/>
          </w:tcPr>
          <w:p>
            <w:pPr>
              <w:ind w:left="120"/>
              <w:spacing w:after="0"/>
              <w:rPr>
                <w:sz w:val="20"/>
                <w:szCs w:val="20"/>
                <w:color w:val="auto"/>
              </w:rPr>
            </w:pPr>
            <w:r>
              <w:rPr>
                <w:rFonts w:ascii="Calibri" w:cs="Calibri" w:eastAsia="Calibri" w:hAnsi="Calibri"/>
                <w:sz w:val="11"/>
                <w:szCs w:val="11"/>
                <w:b w:val="1"/>
                <w:bCs w:val="1"/>
                <w:color w:val="FFFFFF"/>
              </w:rPr>
              <w:t>Balance</w:t>
            </w:r>
          </w:p>
        </w:tc>
        <w:tc>
          <w:tcPr>
            <w:tcW w:w="60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Expense</w:t>
            </w:r>
          </w:p>
        </w:tc>
        <w:tc>
          <w:tcPr>
            <w:tcW w:w="600" w:type="dxa"/>
            <w:vAlign w:val="bottom"/>
            <w:tcBorders>
              <w:bottom w:val="single" w:sz="8" w:color="auto"/>
              <w:right w:val="single" w:sz="8" w:color="auto"/>
            </w:tcBorders>
            <w:shd w:val="clear" w:color="auto" w:fill="33CCCC"/>
          </w:tcPr>
          <w:p>
            <w:pPr>
              <w:ind w:left="140"/>
              <w:spacing w:after="0"/>
              <w:rPr>
                <w:sz w:val="20"/>
                <w:szCs w:val="20"/>
                <w:color w:val="auto"/>
              </w:rPr>
            </w:pPr>
            <w:r>
              <w:rPr>
                <w:rFonts w:ascii="Calibri" w:cs="Calibri" w:eastAsia="Calibri" w:hAnsi="Calibri"/>
                <w:sz w:val="11"/>
                <w:szCs w:val="11"/>
                <w:b w:val="1"/>
                <w:bCs w:val="1"/>
                <w:color w:val="FFFFFF"/>
              </w:rPr>
              <w:t>Yields</w:t>
            </w:r>
          </w:p>
        </w:tc>
        <w:tc>
          <w:tcPr>
            <w:tcW w:w="58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Balance</w:t>
            </w:r>
          </w:p>
        </w:tc>
        <w:tc>
          <w:tcPr>
            <w:tcW w:w="58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Expense</w:t>
            </w:r>
          </w:p>
        </w:tc>
        <w:tc>
          <w:tcPr>
            <w:tcW w:w="380" w:type="dxa"/>
            <w:vAlign w:val="bottom"/>
            <w:tcBorders>
              <w:bottom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1"/>
                <w:szCs w:val="11"/>
                <w:b w:val="1"/>
                <w:bCs w:val="1"/>
                <w:color w:val="FFFFFF"/>
                <w:w w:val="96"/>
              </w:rPr>
              <w:t>Yields</w:t>
            </w: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w w:val="99"/>
              </w:rPr>
              <w:t>149,839</w:t>
            </w:r>
          </w:p>
        </w:tc>
        <w:tc>
          <w:tcPr>
            <w:tcW w:w="600" w:type="dxa"/>
            <w:vAlign w:val="bottom"/>
          </w:tcPr>
          <w:p>
            <w:pPr>
              <w:jc w:val="center"/>
              <w:spacing w:after="0"/>
              <w:rPr>
                <w:sz w:val="20"/>
                <w:szCs w:val="20"/>
                <w:color w:val="auto"/>
              </w:rPr>
            </w:pPr>
            <w:r>
              <w:rPr>
                <w:rFonts w:ascii="Calibri" w:cs="Calibri" w:eastAsia="Calibri" w:hAnsi="Calibri"/>
                <w:sz w:val="11"/>
                <w:szCs w:val="11"/>
                <w:color w:val="auto"/>
              </w:rPr>
              <w:t>1,518</w:t>
            </w:r>
          </w:p>
        </w:tc>
        <w:tc>
          <w:tcPr>
            <w:tcW w:w="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2.0%</w:t>
            </w:r>
          </w:p>
        </w:tc>
        <w:tc>
          <w:tcPr>
            <w:tcW w:w="580" w:type="dxa"/>
            <w:vAlign w:val="bottom"/>
          </w:tcPr>
          <w:p>
            <w:pPr>
              <w:jc w:val="center"/>
              <w:spacing w:after="0"/>
              <w:rPr>
                <w:sz w:val="20"/>
                <w:szCs w:val="20"/>
                <w:color w:val="auto"/>
              </w:rPr>
            </w:pPr>
            <w:r>
              <w:rPr>
                <w:rFonts w:ascii="Calibri" w:cs="Calibri" w:eastAsia="Calibri" w:hAnsi="Calibri"/>
                <w:sz w:val="11"/>
                <w:szCs w:val="11"/>
                <w:color w:val="auto"/>
              </w:rPr>
              <w:t>158,283</w:t>
            </w:r>
          </w:p>
        </w:tc>
        <w:tc>
          <w:tcPr>
            <w:tcW w:w="580" w:type="dxa"/>
            <w:vAlign w:val="bottom"/>
          </w:tcPr>
          <w:p>
            <w:pPr>
              <w:jc w:val="center"/>
              <w:spacing w:after="0"/>
              <w:rPr>
                <w:sz w:val="20"/>
                <w:szCs w:val="20"/>
                <w:color w:val="auto"/>
              </w:rPr>
            </w:pPr>
            <w:r>
              <w:rPr>
                <w:rFonts w:ascii="Calibri" w:cs="Calibri" w:eastAsia="Calibri" w:hAnsi="Calibri"/>
                <w:sz w:val="11"/>
                <w:szCs w:val="11"/>
                <w:color w:val="auto"/>
              </w:rPr>
              <w:t>1,160</w:t>
            </w:r>
          </w:p>
        </w:tc>
        <w:tc>
          <w:tcPr>
            <w:tcW w:w="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1.5%</w:t>
            </w:r>
          </w:p>
        </w:tc>
        <w:tc>
          <w:tcPr>
            <w:tcW w:w="0" w:type="dxa"/>
            <w:vAlign w:val="bottom"/>
          </w:tcPr>
          <w:p>
            <w:pPr>
              <w:spacing w:after="0"/>
              <w:rPr>
                <w:sz w:val="1"/>
                <w:szCs w:val="1"/>
                <w:color w:val="auto"/>
              </w:rPr>
            </w:pPr>
          </w:p>
        </w:tc>
      </w:tr>
      <w:tr>
        <w:trPr>
          <w:trHeight w:val="130"/>
        </w:trPr>
        <w:tc>
          <w:tcPr>
            <w:tcW w:w="580" w:type="dxa"/>
            <w:vAlign w:val="bottom"/>
            <w:tcBorders>
              <w:lef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18,952</w:t>
            </w:r>
          </w:p>
        </w:tc>
        <w:tc>
          <w:tcPr>
            <w:tcW w:w="60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532</w:t>
            </w:r>
          </w:p>
        </w:tc>
        <w:tc>
          <w:tcPr>
            <w:tcW w:w="6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5.6%</w:t>
            </w:r>
          </w:p>
        </w:tc>
        <w:tc>
          <w:tcPr>
            <w:tcW w:w="580" w:type="dxa"/>
            <w:vAlign w:val="bottom"/>
          </w:tcPr>
          <w:p>
            <w:pPr>
              <w:jc w:val="center"/>
              <w:spacing w:after="0" w:line="130" w:lineRule="exact"/>
              <w:rPr>
                <w:sz w:val="20"/>
                <w:szCs w:val="20"/>
                <w:color w:val="auto"/>
              </w:rPr>
            </w:pPr>
            <w:r>
              <w:rPr>
                <w:rFonts w:ascii="Calibri" w:cs="Calibri" w:eastAsia="Calibri" w:hAnsi="Calibri"/>
                <w:sz w:val="11"/>
                <w:szCs w:val="11"/>
                <w:color w:val="auto"/>
              </w:rPr>
              <w:t>16,825</w:t>
            </w:r>
          </w:p>
        </w:tc>
        <w:tc>
          <w:tcPr>
            <w:tcW w:w="580" w:type="dxa"/>
            <w:vAlign w:val="bottom"/>
          </w:tcPr>
          <w:p>
            <w:pPr>
              <w:jc w:val="center"/>
              <w:spacing w:after="0" w:line="130" w:lineRule="exact"/>
              <w:rPr>
                <w:sz w:val="20"/>
                <w:szCs w:val="20"/>
                <w:color w:val="auto"/>
              </w:rPr>
            </w:pPr>
            <w:r>
              <w:rPr>
                <w:rFonts w:ascii="Calibri" w:cs="Calibri" w:eastAsia="Calibri" w:hAnsi="Calibri"/>
                <w:sz w:val="11"/>
                <w:szCs w:val="11"/>
                <w:color w:val="auto"/>
              </w:rPr>
              <w:t>532</w:t>
            </w:r>
          </w:p>
        </w:tc>
        <w:tc>
          <w:tcPr>
            <w:tcW w:w="3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6.3%</w:t>
            </w:r>
          </w:p>
        </w:tc>
        <w:tc>
          <w:tcPr>
            <w:tcW w:w="0" w:type="dxa"/>
            <w:vAlign w:val="bottom"/>
          </w:tcPr>
          <w:p>
            <w:pPr>
              <w:spacing w:after="0"/>
              <w:rPr>
                <w:sz w:val="1"/>
                <w:szCs w:val="1"/>
                <w:color w:val="auto"/>
              </w:rPr>
            </w:pPr>
          </w:p>
        </w:tc>
      </w:tr>
      <w:tr>
        <w:trPr>
          <w:trHeight w:val="130"/>
        </w:trPr>
        <w:tc>
          <w:tcPr>
            <w:tcW w:w="580" w:type="dxa"/>
            <w:vAlign w:val="bottom"/>
            <w:tcBorders>
              <w:lef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16,274</w:t>
            </w:r>
          </w:p>
        </w:tc>
        <w:tc>
          <w:tcPr>
            <w:tcW w:w="60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398</w:t>
            </w:r>
          </w:p>
        </w:tc>
        <w:tc>
          <w:tcPr>
            <w:tcW w:w="6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4.9%</w:t>
            </w:r>
          </w:p>
        </w:tc>
        <w:tc>
          <w:tcPr>
            <w:tcW w:w="580" w:type="dxa"/>
            <w:vAlign w:val="bottom"/>
          </w:tcPr>
          <w:p>
            <w:pPr>
              <w:jc w:val="center"/>
              <w:spacing w:after="0" w:line="130" w:lineRule="exact"/>
              <w:rPr>
                <w:sz w:val="20"/>
                <w:szCs w:val="20"/>
                <w:color w:val="auto"/>
              </w:rPr>
            </w:pPr>
            <w:r>
              <w:rPr>
                <w:rFonts w:ascii="Calibri" w:cs="Calibri" w:eastAsia="Calibri" w:hAnsi="Calibri"/>
                <w:sz w:val="11"/>
                <w:szCs w:val="11"/>
                <w:color w:val="auto"/>
              </w:rPr>
              <w:t>14,690</w:t>
            </w:r>
          </w:p>
        </w:tc>
        <w:tc>
          <w:tcPr>
            <w:tcW w:w="580" w:type="dxa"/>
            <w:vAlign w:val="bottom"/>
          </w:tcPr>
          <w:p>
            <w:pPr>
              <w:jc w:val="center"/>
              <w:spacing w:after="0" w:line="130" w:lineRule="exact"/>
              <w:rPr>
                <w:sz w:val="20"/>
                <w:szCs w:val="20"/>
                <w:color w:val="auto"/>
              </w:rPr>
            </w:pPr>
            <w:r>
              <w:rPr>
                <w:rFonts w:ascii="Calibri" w:cs="Calibri" w:eastAsia="Calibri" w:hAnsi="Calibri"/>
                <w:sz w:val="11"/>
                <w:szCs w:val="11"/>
                <w:color w:val="auto"/>
              </w:rPr>
              <w:t>362</w:t>
            </w:r>
          </w:p>
        </w:tc>
        <w:tc>
          <w:tcPr>
            <w:tcW w:w="3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4.9%</w:t>
            </w:r>
          </w:p>
        </w:tc>
        <w:tc>
          <w:tcPr>
            <w:tcW w:w="0" w:type="dxa"/>
            <w:vAlign w:val="bottom"/>
          </w:tcPr>
          <w:p>
            <w:pPr>
              <w:spacing w:after="0"/>
              <w:rPr>
                <w:sz w:val="1"/>
                <w:szCs w:val="1"/>
                <w:color w:val="auto"/>
              </w:rPr>
            </w:pPr>
          </w:p>
        </w:tc>
      </w:tr>
      <w:tr>
        <w:trPr>
          <w:trHeight w:val="140"/>
        </w:trPr>
        <w:tc>
          <w:tcPr>
            <w:tcW w:w="580" w:type="dxa"/>
            <w:vAlign w:val="bottom"/>
            <w:tcBorders>
              <w:left w:val="single" w:sz="8" w:color="auto"/>
              <w:bottom w:val="single" w:sz="8" w:color="auto"/>
            </w:tcBorders>
          </w:tcPr>
          <w:p>
            <w:pPr>
              <w:jc w:val="center"/>
              <w:spacing w:after="0"/>
              <w:rPr>
                <w:sz w:val="20"/>
                <w:szCs w:val="20"/>
                <w:color w:val="auto"/>
              </w:rPr>
            </w:pPr>
            <w:r>
              <w:rPr>
                <w:rFonts w:ascii="Calibri" w:cs="Calibri" w:eastAsia="Calibri" w:hAnsi="Calibri"/>
                <w:sz w:val="11"/>
                <w:szCs w:val="11"/>
                <w:color w:val="auto"/>
                <w:w w:val="95"/>
              </w:rPr>
              <w:t>2,427</w:t>
            </w:r>
          </w:p>
        </w:tc>
        <w:tc>
          <w:tcPr>
            <w:tcW w:w="6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w w:val="95"/>
              </w:rPr>
              <w:t>519</w:t>
            </w:r>
          </w:p>
        </w:tc>
        <w:tc>
          <w:tcPr>
            <w:tcW w:w="6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42.8%</w:t>
            </w:r>
          </w:p>
        </w:tc>
        <w:tc>
          <w:tcPr>
            <w:tcW w:w="58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4,291</w:t>
            </w:r>
          </w:p>
        </w:tc>
        <w:tc>
          <w:tcPr>
            <w:tcW w:w="58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576</w:t>
            </w:r>
          </w:p>
        </w:tc>
        <w:tc>
          <w:tcPr>
            <w:tcW w:w="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26.8%</w:t>
            </w:r>
          </w:p>
        </w:tc>
        <w:tc>
          <w:tcPr>
            <w:tcW w:w="0" w:type="dxa"/>
            <w:vAlign w:val="bottom"/>
          </w:tcPr>
          <w:p>
            <w:pPr>
              <w:spacing w:after="0"/>
              <w:rPr>
                <w:sz w:val="1"/>
                <w:szCs w:val="1"/>
                <w:color w:val="auto"/>
              </w:rPr>
            </w:pPr>
          </w:p>
        </w:tc>
      </w:tr>
      <w:tr>
        <w:trPr>
          <w:trHeight w:val="129"/>
        </w:trPr>
        <w:tc>
          <w:tcPr>
            <w:tcW w:w="580" w:type="dxa"/>
            <w:vAlign w:val="bottom"/>
            <w:tcBorders>
              <w:left w:val="single" w:sz="8" w:color="auto"/>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187,492</w:t>
            </w:r>
          </w:p>
        </w:tc>
        <w:tc>
          <w:tcPr>
            <w:tcW w:w="60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2,967</w:t>
            </w:r>
          </w:p>
        </w:tc>
        <w:tc>
          <w:tcPr>
            <w:tcW w:w="60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3.2%</w:t>
            </w:r>
          </w:p>
        </w:tc>
        <w:tc>
          <w:tcPr>
            <w:tcW w:w="58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194,089</w:t>
            </w:r>
          </w:p>
        </w:tc>
        <w:tc>
          <w:tcPr>
            <w:tcW w:w="58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2,630</w:t>
            </w:r>
          </w:p>
        </w:tc>
        <w:tc>
          <w:tcPr>
            <w:tcW w:w="38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2.7%</w:t>
            </w:r>
          </w:p>
        </w:tc>
        <w:tc>
          <w:tcPr>
            <w:tcW w:w="0" w:type="dxa"/>
            <w:vAlign w:val="bottom"/>
          </w:tcPr>
          <w:p>
            <w:pPr>
              <w:spacing w:after="0"/>
              <w:rPr>
                <w:sz w:val="1"/>
                <w:szCs w:val="1"/>
                <w:color w:val="auto"/>
              </w:rPr>
            </w:pPr>
          </w:p>
        </w:tc>
      </w:tr>
      <w:tr>
        <w:trPr>
          <w:trHeight w:val="123"/>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49.7%</w:t>
            </w:r>
          </w:p>
        </w:tc>
        <w:tc>
          <w:tcPr>
            <w:tcW w:w="60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51.8%</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3.3%</w:t>
            </w:r>
          </w:p>
        </w:tc>
        <w:tc>
          <w:tcPr>
            <w:tcW w:w="5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51.1%</w:t>
            </w:r>
          </w:p>
        </w:tc>
        <w:tc>
          <w:tcPr>
            <w:tcW w:w="58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52.7%</w:t>
            </w:r>
          </w:p>
        </w:tc>
        <w:tc>
          <w:tcPr>
            <w:tcW w:w="3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2.8%</w:t>
            </w:r>
          </w:p>
        </w:tc>
        <w:tc>
          <w:tcPr>
            <w:tcW w:w="0" w:type="dxa"/>
            <w:vAlign w:val="bottom"/>
          </w:tcPr>
          <w:p>
            <w:pPr>
              <w:spacing w:after="0"/>
              <w:rPr>
                <w:sz w:val="1"/>
                <w:szCs w:val="1"/>
                <w:color w:val="auto"/>
              </w:rPr>
            </w:pPr>
          </w:p>
        </w:tc>
      </w:tr>
      <w:tr>
        <w:trPr>
          <w:trHeight w:val="123"/>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50.3%</w:t>
            </w:r>
          </w:p>
        </w:tc>
        <w:tc>
          <w:tcPr>
            <w:tcW w:w="60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48.2%</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3.0%</w:t>
            </w:r>
          </w:p>
        </w:tc>
        <w:tc>
          <w:tcPr>
            <w:tcW w:w="5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48.9%</w:t>
            </w:r>
          </w:p>
        </w:tc>
        <w:tc>
          <w:tcPr>
            <w:tcW w:w="58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47.3%</w:t>
            </w:r>
          </w:p>
        </w:tc>
        <w:tc>
          <w:tcPr>
            <w:tcW w:w="3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2.6%</w:t>
            </w:r>
          </w:p>
        </w:tc>
        <w:tc>
          <w:tcPr>
            <w:tcW w:w="0" w:type="dxa"/>
            <w:vAlign w:val="bottom"/>
          </w:tcPr>
          <w:p>
            <w:pPr>
              <w:spacing w:after="0"/>
              <w:rPr>
                <w:sz w:val="1"/>
                <w:szCs w:val="1"/>
                <w:color w:val="auto"/>
              </w:rPr>
            </w:pPr>
          </w:p>
        </w:tc>
      </w:tr>
      <w:tr>
        <w:trPr>
          <w:trHeight w:val="123"/>
        </w:trPr>
        <w:tc>
          <w:tcPr>
            <w:tcW w:w="5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226,443</w:t>
            </w:r>
          </w:p>
        </w:tc>
        <w:tc>
          <w:tcPr>
            <w:tcW w:w="60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6,893</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6.1%</w:t>
            </w:r>
          </w:p>
        </w:tc>
        <w:tc>
          <w:tcPr>
            <w:tcW w:w="5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236,038</w:t>
            </w:r>
          </w:p>
        </w:tc>
        <w:tc>
          <w:tcPr>
            <w:tcW w:w="5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7,187</w:t>
            </w:r>
          </w:p>
        </w:tc>
        <w:tc>
          <w:tcPr>
            <w:tcW w:w="3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6.1%</w:t>
            </w:r>
          </w:p>
        </w:tc>
        <w:tc>
          <w:tcPr>
            <w:tcW w:w="0" w:type="dxa"/>
            <w:vAlign w:val="bottom"/>
          </w:tcPr>
          <w:p>
            <w:pPr>
              <w:spacing w:after="0"/>
              <w:rPr>
                <w:sz w:val="1"/>
                <w:szCs w:val="1"/>
                <w:color w:val="auto"/>
              </w:rPr>
            </w:pPr>
          </w:p>
        </w:tc>
      </w:tr>
      <w:tr>
        <w:trPr>
          <w:trHeight w:val="123"/>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57.2%</w:t>
            </w:r>
          </w:p>
        </w:tc>
        <w:tc>
          <w:tcPr>
            <w:tcW w:w="60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77.3%</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8.2%</w:t>
            </w:r>
          </w:p>
        </w:tc>
        <w:tc>
          <w:tcPr>
            <w:tcW w:w="5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55.6%</w:t>
            </w:r>
          </w:p>
        </w:tc>
        <w:tc>
          <w:tcPr>
            <w:tcW w:w="58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77.4%</w:t>
            </w:r>
          </w:p>
        </w:tc>
        <w:tc>
          <w:tcPr>
            <w:tcW w:w="3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8.5%</w:t>
            </w:r>
          </w:p>
        </w:tc>
        <w:tc>
          <w:tcPr>
            <w:tcW w:w="0" w:type="dxa"/>
            <w:vAlign w:val="bottom"/>
          </w:tcPr>
          <w:p>
            <w:pPr>
              <w:spacing w:after="0"/>
              <w:rPr>
                <w:sz w:val="1"/>
                <w:szCs w:val="1"/>
                <w:color w:val="auto"/>
              </w:rPr>
            </w:pPr>
          </w:p>
        </w:tc>
      </w:tr>
      <w:tr>
        <w:trPr>
          <w:trHeight w:val="123"/>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42.8%</w:t>
            </w:r>
          </w:p>
        </w:tc>
        <w:tc>
          <w:tcPr>
            <w:tcW w:w="60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22.7%</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3.2%</w:t>
            </w:r>
          </w:p>
        </w:tc>
        <w:tc>
          <w:tcPr>
            <w:tcW w:w="5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44.4%</w:t>
            </w:r>
          </w:p>
        </w:tc>
        <w:tc>
          <w:tcPr>
            <w:tcW w:w="580" w:type="dxa"/>
            <w:vAlign w:val="bottom"/>
            <w:tcBorders>
              <w:bottom w:val="single" w:sz="8" w:color="auto"/>
            </w:tcBorders>
          </w:tcPr>
          <w:p>
            <w:pPr>
              <w:jc w:val="center"/>
              <w:ind w:left="4"/>
              <w:spacing w:after="0" w:line="124" w:lineRule="exact"/>
              <w:rPr>
                <w:sz w:val="20"/>
                <w:szCs w:val="20"/>
                <w:color w:val="auto"/>
              </w:rPr>
            </w:pPr>
            <w:r>
              <w:rPr>
                <w:rFonts w:ascii="Calibri" w:cs="Calibri" w:eastAsia="Calibri" w:hAnsi="Calibri"/>
                <w:sz w:val="11"/>
                <w:szCs w:val="11"/>
                <w:color w:val="auto"/>
              </w:rPr>
              <w:t>22.6%</w:t>
            </w:r>
          </w:p>
        </w:tc>
        <w:tc>
          <w:tcPr>
            <w:tcW w:w="3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rPr>
              <w:t>3.1%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840" w:space="100"/>
            <w:col w:w="3300"/>
          </w:cols>
          <w:pgMar w:left="320" w:top="444" w:right="339" w:bottom="1440" w:gutter="0" w:footer="0" w:header="0"/>
          <w:type w:val="continuous"/>
        </w:sectPr>
      </w:pPr>
    </w:p>
    <w:p>
      <w:pPr>
        <w:spacing w:after="0" w:line="212" w:lineRule="auto"/>
        <w:rPr>
          <w:sz w:val="20"/>
          <w:szCs w:val="20"/>
          <w:color w:val="auto"/>
        </w:rPr>
      </w:pPr>
      <w:r>
        <w:rPr>
          <w:rFonts w:ascii="Calibri" w:cs="Calibri" w:eastAsia="Calibri" w:hAnsi="Calibri"/>
          <w:sz w:val="11"/>
          <w:szCs w:val="11"/>
          <w:color w:val="auto"/>
        </w:rPr>
        <w:t>(1) Unlike the NIM fgure calculated according to the formula in Appendix 12.8, the NIM presented in this table includes “Financial Expense associated with the insurance and reinsurance actvity, net”.</w:t>
      </w:r>
    </w:p>
    <w:p>
      <w:pPr>
        <w:spacing w:after="0" w:line="184" w:lineRule="exact"/>
        <w:rPr>
          <w:sz w:val="20"/>
          <w:szCs w:val="20"/>
          <w:color w:val="auto"/>
        </w:rPr>
      </w:pPr>
    </w:p>
    <w:p>
      <w:pPr>
        <w:spacing w:after="0"/>
        <w:rPr>
          <w:sz w:val="20"/>
          <w:szCs w:val="20"/>
          <w:color w:val="auto"/>
        </w:rPr>
      </w:pPr>
      <w:r>
        <w:rPr>
          <w:rFonts w:ascii="Calibri" w:cs="Calibri" w:eastAsia="Calibri" w:hAnsi="Calibri"/>
          <w:sz w:val="17"/>
          <w:szCs w:val="17"/>
          <w:b w:val="1"/>
          <w:bCs w:val="1"/>
          <w:u w:val="single" w:color="auto"/>
          <w:color w:val="auto"/>
        </w:rPr>
        <w:t>QoQ Analysis</w:t>
      </w:r>
    </w:p>
    <w:p>
      <w:pPr>
        <w:spacing w:after="0" w:line="197"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QoQ, </w:t>
      </w:r>
      <w:r>
        <w:rPr>
          <w:rFonts w:ascii="Calibri" w:cs="Calibri" w:eastAsia="Calibri" w:hAnsi="Calibri"/>
          <w:sz w:val="17"/>
          <w:szCs w:val="17"/>
          <w:b w:val="1"/>
          <w:bCs w:val="1"/>
          <w:color w:val="auto"/>
        </w:rPr>
        <w:t>Net Interest Income (NII)</w:t>
      </w:r>
      <w:r>
        <w:rPr>
          <w:rFonts w:ascii="Calibri" w:cs="Calibri" w:eastAsia="Calibri" w:hAnsi="Calibri"/>
          <w:sz w:val="17"/>
          <w:szCs w:val="17"/>
          <w:color w:val="auto"/>
        </w:rPr>
        <w:t xml:space="preserve"> increased 1.2%, registering growth in NII in LC and a drop in NII in FC. IEA in LC represented 56.5% of total IEAs at the end of the quarter and accounted for 71.1% of Interest Income generated in 2Q25.</w:t>
      </w:r>
    </w:p>
    <w:p>
      <w:pPr>
        <w:spacing w:after="0" w:line="21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Local Currency Dynamics (LC)</w:t>
      </w:r>
    </w:p>
    <w:p>
      <w:pPr>
        <w:spacing w:after="0" w:line="210"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 xml:space="preserve">NII </w:t>
      </w:r>
      <w:r>
        <w:rPr>
          <w:rFonts w:ascii="Calibri" w:cs="Calibri" w:eastAsia="Calibri" w:hAnsi="Calibri"/>
          <w:sz w:val="17"/>
          <w:szCs w:val="17"/>
          <w:color w:val="auto"/>
        </w:rPr>
        <w:t>in</w:t>
      </w:r>
      <w:r>
        <w:rPr>
          <w:rFonts w:ascii="Calibri" w:cs="Calibri" w:eastAsia="Calibri" w:hAnsi="Calibri"/>
          <w:sz w:val="17"/>
          <w:szCs w:val="17"/>
          <w:b w:val="1"/>
          <w:bCs w:val="1"/>
          <w:color w:val="auto"/>
        </w:rPr>
        <w:t xml:space="preserve"> LC </w:t>
      </w:r>
      <w:r>
        <w:rPr>
          <w:rFonts w:ascii="Calibri" w:cs="Calibri" w:eastAsia="Calibri" w:hAnsi="Calibri"/>
          <w:sz w:val="17"/>
          <w:szCs w:val="17"/>
          <w:color w:val="auto"/>
        </w:rPr>
        <w:t>increased 2.7%, fueled by growth in interest income. This evoluton refected higher interest income on Loans, which was driven by an uptck in retail loans’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share of total loans. This dynamic was partally ofset by a reducton in income on Investments, which mainly refected a drop in investment dividends. Interest expenses, which fell afer a drop in market rates pressured expenses for Deposits downward, were a secondary contributor to growth in NII in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784225</wp:posOffset>
            </wp:positionV>
            <wp:extent cx="713740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140335</wp:posOffset>
            </wp:positionV>
            <wp:extent cx="6517640" cy="5041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17640" cy="50419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type w:val="continuous"/>
        </w:sectPr>
      </w:pPr>
    </w:p>
    <w:bookmarkStart w:id="27" w:name="page28"/>
    <w:bookmarkEnd w:id="27"/>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982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7400" cy="9829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9" w:lineRule="exact"/>
        <w:rPr>
          <w:sz w:val="20"/>
          <w:szCs w:val="20"/>
          <w:color w:val="auto"/>
        </w:rPr>
      </w:pPr>
    </w:p>
    <w:p>
      <w:pPr>
        <w:ind w:left="60" w:right="9160" w:hanging="4"/>
        <w:spacing w:after="0" w:line="238" w:lineRule="auto"/>
        <w:tabs>
          <w:tab w:leader="none" w:pos="374" w:val="left"/>
        </w:tabs>
        <w:numPr>
          <w:ilvl w:val="0"/>
          <w:numId w:val="25"/>
        </w:numPr>
        <w:rPr>
          <w:rFonts w:ascii="Calibri" w:cs="Calibri" w:eastAsia="Calibri" w:hAnsi="Calibri"/>
          <w:sz w:val="21"/>
          <w:szCs w:val="21"/>
          <w:b w:val="1"/>
          <w:bCs w:val="1"/>
          <w:color w:val="FFFFFF"/>
        </w:rPr>
      </w:pPr>
      <w:r>
        <w:rPr>
          <w:rFonts w:ascii="Calibri" w:cs="Calibri" w:eastAsia="Calibri" w:hAnsi="Calibri"/>
          <w:sz w:val="21"/>
          <w:szCs w:val="21"/>
          <w:b w:val="1"/>
          <w:bCs w:val="1"/>
          <w:color w:val="FFFFFF"/>
        </w:rPr>
        <w:t>Net Interest income (NII)</w:t>
      </w:r>
    </w:p>
    <w:p>
      <w:pPr>
        <w:spacing w:after="0" w:line="22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Foreign Currency Dynamics (FC)</w:t>
      </w:r>
    </w:p>
    <w:p>
      <w:pPr>
        <w:spacing w:after="0" w:line="210" w:lineRule="exact"/>
        <w:rPr>
          <w:sz w:val="20"/>
          <w:szCs w:val="20"/>
          <w:color w:val="auto"/>
        </w:rPr>
      </w:pPr>
    </w:p>
    <w:p>
      <w:pPr>
        <w:jc w:val="both"/>
        <w:spacing w:after="0"/>
        <w:rPr>
          <w:sz w:val="20"/>
          <w:szCs w:val="20"/>
          <w:color w:val="auto"/>
        </w:rPr>
      </w:pPr>
      <w:r>
        <w:rPr>
          <w:rFonts w:ascii="Calibri" w:cs="Calibri" w:eastAsia="Calibri" w:hAnsi="Calibri"/>
          <w:sz w:val="17"/>
          <w:szCs w:val="17"/>
          <w:b w:val="1"/>
          <w:bCs w:val="1"/>
          <w:color w:val="auto"/>
        </w:rPr>
        <w:t xml:space="preserve">NII </w:t>
      </w:r>
      <w:r>
        <w:rPr>
          <w:rFonts w:ascii="Calibri" w:cs="Calibri" w:eastAsia="Calibri" w:hAnsi="Calibri"/>
          <w:sz w:val="17"/>
          <w:szCs w:val="17"/>
          <w:color w:val="auto"/>
        </w:rPr>
        <w:t>in</w:t>
      </w:r>
      <w:r>
        <w:rPr>
          <w:rFonts w:ascii="Calibri" w:cs="Calibri" w:eastAsia="Calibri" w:hAnsi="Calibri"/>
          <w:sz w:val="17"/>
          <w:szCs w:val="17"/>
          <w:b w:val="1"/>
          <w:bCs w:val="1"/>
          <w:color w:val="auto"/>
        </w:rPr>
        <w:t xml:space="preserve"> FC </w:t>
      </w:r>
      <w:r>
        <w:rPr>
          <w:rFonts w:ascii="Calibri" w:cs="Calibri" w:eastAsia="Calibri" w:hAnsi="Calibri"/>
          <w:sz w:val="17"/>
          <w:szCs w:val="17"/>
          <w:color w:val="auto"/>
        </w:rPr>
        <w:t>dropped 3.6% QoQ, driven mainly by a reducton in interest income and growth in interest expenses. The reducton in interest income was atributable to 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contracton in interest on Loans, which was fueled primarily by a decrease in balances due to a drop in the exchange rate (depreciaton of the US Dollar) and secondarily by lower market rates. Interest expenses rose due to an uptck in interest on Bonds and notes. This increase was partally ofset by a drop in interest expenses on Deposits, driven by declining market rates.</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b w:val="1"/>
          <w:bCs w:val="1"/>
          <w:u w:val="single" w:color="auto"/>
          <w:color w:val="auto"/>
        </w:rPr>
        <w:t>YoY analysis</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YoY, </w:t>
      </w:r>
      <w:r>
        <w:rPr>
          <w:rFonts w:ascii="Calibri" w:cs="Calibri" w:eastAsia="Calibri" w:hAnsi="Calibri"/>
          <w:sz w:val="17"/>
          <w:szCs w:val="17"/>
          <w:b w:val="1"/>
          <w:bCs w:val="1"/>
          <w:color w:val="auto"/>
        </w:rPr>
        <w:t>NII</w:t>
      </w:r>
      <w:r>
        <w:rPr>
          <w:rFonts w:ascii="Calibri" w:cs="Calibri" w:eastAsia="Calibri" w:hAnsi="Calibri"/>
          <w:sz w:val="17"/>
          <w:szCs w:val="17"/>
          <w:color w:val="auto"/>
        </w:rPr>
        <w:t xml:space="preserve"> rose 4.2% fueled by LC NII and while FC NII contracted.</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Local Currency Dynamics (LC)</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NII </w:t>
      </w:r>
      <w:r>
        <w:rPr>
          <w:rFonts w:ascii="Calibri" w:cs="Calibri" w:eastAsia="Calibri" w:hAnsi="Calibri"/>
          <w:sz w:val="17"/>
          <w:szCs w:val="17"/>
          <w:color w:val="auto"/>
        </w:rPr>
        <w:t>in</w:t>
      </w:r>
      <w:r>
        <w:rPr>
          <w:rFonts w:ascii="Calibri" w:cs="Calibri" w:eastAsia="Calibri" w:hAnsi="Calibri"/>
          <w:sz w:val="17"/>
          <w:szCs w:val="17"/>
          <w:b w:val="1"/>
          <w:bCs w:val="1"/>
          <w:color w:val="auto"/>
        </w:rPr>
        <w:t xml:space="preserve"> LC </w:t>
      </w:r>
      <w:r>
        <w:rPr>
          <w:rFonts w:ascii="Calibri" w:cs="Calibri" w:eastAsia="Calibri" w:hAnsi="Calibri"/>
          <w:sz w:val="17"/>
          <w:szCs w:val="17"/>
          <w:color w:val="auto"/>
        </w:rPr>
        <w:t>rose 5.7% YoY, driven mainly by a drop in interest expenses, and to a lesser degree, by growth in interest income:</w:t>
      </w:r>
    </w:p>
    <w:p>
      <w:pPr>
        <w:spacing w:after="0" w:line="210"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Interest expenses dropped, due to a reducton in interest on Deposits, which was atributable to a downward trend in market rates. A secondary driver in the reducton in expenses was the drop in interest on Bonds and Subordinated Notes, which fell due to a negatve volume efect. In this context, the cost of funding in LC fell 56 bps to stand at 2.7%.</w:t>
      </w:r>
    </w:p>
    <w:p>
      <w:pPr>
        <w:spacing w:after="0" w:line="200"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Growth in interest income was fueled by an uptck in interest on Loans, which was spurred by an increase in loan volumes at Mibanco and BCP’s retail segments, which yield higher rates relatve to the total portolio. In this context, the yield on IEA in LC rose 8 bps to 10.6%.</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Foreign Currency Dynamics (FC)</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NII </w:t>
      </w:r>
      <w:r>
        <w:rPr>
          <w:rFonts w:ascii="Calibri" w:cs="Calibri" w:eastAsia="Calibri" w:hAnsi="Calibri"/>
          <w:sz w:val="17"/>
          <w:szCs w:val="17"/>
          <w:color w:val="auto"/>
        </w:rPr>
        <w:t>in</w:t>
      </w:r>
      <w:r>
        <w:rPr>
          <w:rFonts w:ascii="Calibri" w:cs="Calibri" w:eastAsia="Calibri" w:hAnsi="Calibri"/>
          <w:sz w:val="17"/>
          <w:szCs w:val="17"/>
          <w:b w:val="1"/>
          <w:bCs w:val="1"/>
          <w:color w:val="auto"/>
        </w:rPr>
        <w:t xml:space="preserve"> FC </w:t>
      </w:r>
      <w:r>
        <w:rPr>
          <w:rFonts w:ascii="Calibri" w:cs="Calibri" w:eastAsia="Calibri" w:hAnsi="Calibri"/>
          <w:sz w:val="17"/>
          <w:szCs w:val="17"/>
          <w:color w:val="auto"/>
        </w:rPr>
        <w:t>dropped 0.8% YoY due to the following dynamics:</w:t>
      </w:r>
    </w:p>
    <w:p>
      <w:pPr>
        <w:spacing w:after="0" w:line="197"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Interest income decreased, fueled mainly by a drop in interest on Loans, which fell on the back of the exchange rate efect mentoned in the QoQ analysis. In this context, the yield on IEA in FC fell 64 bps to stand at 5.6%.</w:t>
      </w:r>
    </w:p>
    <w:p>
      <w:pPr>
        <w:spacing w:after="0" w:line="211"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The decrease registered for interest expenses partally ofset the drop in interest income. This reducton was mainly driven by lower interest on Deposits, impacted by a downward trend in market rates, and to a lesser extent by a drop in the funding volume with BCRP + due to banks. In this scenario, the cost of funding in FC decreased 22 bps to stand at 2.8%.</w:t>
      </w:r>
    </w:p>
    <w:p>
      <w:pPr>
        <w:spacing w:after="0" w:line="198" w:lineRule="exact"/>
        <w:rPr>
          <w:sz w:val="20"/>
          <w:szCs w:val="20"/>
          <w:color w:val="auto"/>
        </w:rPr>
      </w:pPr>
    </w:p>
    <w:p>
      <w:pPr>
        <w:spacing w:after="0"/>
        <w:rPr>
          <w:sz w:val="20"/>
          <w:szCs w:val="20"/>
          <w:color w:val="auto"/>
        </w:rPr>
      </w:pPr>
      <w:r>
        <w:rPr>
          <w:rFonts w:ascii="Calibri" w:cs="Calibri" w:eastAsia="Calibri" w:hAnsi="Calibri"/>
          <w:sz w:val="17"/>
          <w:szCs w:val="17"/>
          <w:b w:val="1"/>
          <w:bCs w:val="1"/>
          <w:u w:val="single" w:color="auto"/>
          <w:color w:val="auto"/>
        </w:rPr>
        <w:t>YTD Analysis</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YTD, NII </w:t>
      </w:r>
      <w:r>
        <w:rPr>
          <w:rFonts w:ascii="Calibri" w:cs="Calibri" w:eastAsia="Calibri" w:hAnsi="Calibri"/>
          <w:sz w:val="17"/>
          <w:szCs w:val="17"/>
          <w:color w:val="auto"/>
        </w:rPr>
        <w:t>rose 4.2%, bolstered by growth in both LC and FC.</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Local Currency Dynamics (LC)</w:t>
      </w:r>
    </w:p>
    <w:p>
      <w:pPr>
        <w:spacing w:after="0" w:line="210"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 xml:space="preserve">NII </w:t>
      </w:r>
      <w:r>
        <w:rPr>
          <w:rFonts w:ascii="Calibri" w:cs="Calibri" w:eastAsia="Calibri" w:hAnsi="Calibri"/>
          <w:sz w:val="17"/>
          <w:szCs w:val="17"/>
          <w:color w:val="auto"/>
        </w:rPr>
        <w:t>in</w:t>
      </w:r>
      <w:r>
        <w:rPr>
          <w:rFonts w:ascii="Calibri" w:cs="Calibri" w:eastAsia="Calibri" w:hAnsi="Calibri"/>
          <w:sz w:val="17"/>
          <w:szCs w:val="17"/>
          <w:b w:val="1"/>
          <w:bCs w:val="1"/>
          <w:color w:val="auto"/>
        </w:rPr>
        <w:t xml:space="preserve"> LC </w:t>
      </w:r>
      <w:r>
        <w:rPr>
          <w:rFonts w:ascii="Calibri" w:cs="Calibri" w:eastAsia="Calibri" w:hAnsi="Calibri"/>
          <w:sz w:val="17"/>
          <w:szCs w:val="17"/>
          <w:color w:val="auto"/>
        </w:rPr>
        <w:t>increased 4.4%. This evoluton was driven primarily by a drop in interest expenses and secondarily by growth in interest income. As in the case of the YoY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analysis, expenses fell over the period, fueled mainly by a decrease in expenses on Deposits and to a lesser extent, by a drop in expenses for Bonds and notes. Interest income, in turn, rose on the back of the same portolio dynamics reported for interest on Loans from the YoY analysis.</w:t>
      </w:r>
    </w:p>
    <w:p>
      <w:pPr>
        <w:spacing w:after="0" w:line="19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Foreign Currency Dynamics (FC)</w:t>
      </w:r>
    </w:p>
    <w:p>
      <w:pPr>
        <w:spacing w:after="0" w:line="197"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 xml:space="preserve">NII </w:t>
      </w:r>
      <w:r>
        <w:rPr>
          <w:rFonts w:ascii="Calibri" w:cs="Calibri" w:eastAsia="Calibri" w:hAnsi="Calibri"/>
          <w:sz w:val="17"/>
          <w:szCs w:val="17"/>
          <w:color w:val="auto"/>
        </w:rPr>
        <w:t>in</w:t>
      </w:r>
      <w:r>
        <w:rPr>
          <w:rFonts w:ascii="Calibri" w:cs="Calibri" w:eastAsia="Calibri" w:hAnsi="Calibri"/>
          <w:sz w:val="17"/>
          <w:szCs w:val="17"/>
          <w:b w:val="1"/>
          <w:bCs w:val="1"/>
          <w:color w:val="auto"/>
        </w:rPr>
        <w:t xml:space="preserve"> FC </w:t>
      </w:r>
      <w:r>
        <w:rPr>
          <w:rFonts w:ascii="Calibri" w:cs="Calibri" w:eastAsia="Calibri" w:hAnsi="Calibri"/>
          <w:sz w:val="17"/>
          <w:szCs w:val="17"/>
          <w:color w:val="auto"/>
        </w:rPr>
        <w:t>increased 3.8% due to a drop in interest expenses; this result was partally ofset by a reducton in interest income. Expenses in FC decreased through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same dynamics that drove the YoY evolutons of Deposits and BCRP + due to banks. Interest income in FC was negatvely impacted by a drop in interest on Loans, which fell on the tails of the same market dynamics that drove the YoY evoluton of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908050</wp:posOffset>
            </wp:positionV>
            <wp:extent cx="713740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140335</wp:posOffset>
            </wp:positionV>
            <wp:extent cx="6517640" cy="628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17640" cy="62801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8" w:name="page29"/>
    <w:bookmarkEnd w:id="28"/>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05 </w:t>
      </w:r>
      <w:r>
        <w:rPr>
          <w:rFonts w:ascii="Calibri" w:cs="Calibri" w:eastAsia="Calibri" w:hAnsi="Calibri"/>
          <w:sz w:val="31"/>
          <w:szCs w:val="31"/>
          <w:color w:val="E93BAC"/>
        </w:rPr>
        <w:t>Portolio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137400" cy="1437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7400" cy="1437640"/>
                    </a:xfrm>
                    <a:prstGeom prst="rect">
                      <a:avLst/>
                    </a:prstGeom>
                    <a:noFill/>
                  </pic:spPr>
                </pic:pic>
              </a:graphicData>
            </a:graphic>
          </wp:anchor>
        </w:drawing>
      </w:r>
    </w:p>
    <w:p>
      <w:pPr>
        <w:spacing w:after="0" w:line="121"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Portolio quality ratos have reported substantal and contnuous improvements over the last year, driven by strengthened risk management measures and supported by improvements in payment performance and in the Peruvian economy.</w:t>
      </w:r>
    </w:p>
    <w:p>
      <w:pPr>
        <w:spacing w:after="0" w:line="263"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QoQ, the drop in NPLs at BCP Stand-alone was fueled primarily by debt payments in Wholesale. At Mibanco, the reducton in NPLs was driven by a decrease in overdue loans. In this context, the NPL rato dropped 14 bps and 102 bps QoQ and YoY respectvely to stand at 5.0% at quarter-end.</w:t>
      </w:r>
    </w:p>
    <w:p>
      <w:pPr>
        <w:spacing w:after="0" w:line="250"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QoQ, provisions dropped, fueled by BCP Stand-Alone and mainly through (i) an improvement in payment performance in Wholesale Banking, and secondarily (ii) through risk model calibratons in Individuals. This evoluton was partally ofset by growth in provisions at Mibanco, which reported a shif in the portolio mix. In this context, the cost of risk remained stable QoQ but fell 141 bps YoY to stand at 1.6% for 2Q25.</w:t>
      </w:r>
    </w:p>
    <w:p>
      <w:pPr>
        <w:spacing w:after="0" w:line="200" w:lineRule="exact"/>
        <w:rPr>
          <w:sz w:val="20"/>
          <w:szCs w:val="20"/>
          <w:color w:val="auto"/>
        </w:rPr>
      </w:pPr>
    </w:p>
    <w:p>
      <w:pPr>
        <w:spacing w:after="0" w:line="208"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Portolio quality metrics have registered substantal improvements over the last twelve months and contnue to strengthen across segments, led by Retail Banking, where results have improved on the back of fortfed risk management measures and supported by improvements in payment performance and in the Peruvian economy.</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400" w:type="dxa"/>
            <w:vAlign w:val="bottom"/>
          </w:tcPr>
          <w:p>
            <w:pPr>
              <w:spacing w:after="0"/>
              <w:rPr>
                <w:sz w:val="20"/>
                <w:szCs w:val="20"/>
                <w:color w:val="auto"/>
              </w:rPr>
            </w:pPr>
            <w:r>
              <w:rPr>
                <w:rFonts w:ascii="Calibri" w:cs="Calibri" w:eastAsia="Calibri" w:hAnsi="Calibri"/>
                <w:sz w:val="17"/>
                <w:szCs w:val="17"/>
                <w:b w:val="1"/>
                <w:bCs w:val="1"/>
                <w:color w:val="auto"/>
              </w:rPr>
              <w:t>5.1</w:t>
            </w:r>
          </w:p>
        </w:tc>
        <w:tc>
          <w:tcPr>
            <w:tcW w:w="2880" w:type="dxa"/>
            <w:vAlign w:val="bottom"/>
          </w:tcPr>
          <w:p>
            <w:pPr>
              <w:ind w:left="60"/>
              <w:spacing w:after="0"/>
              <w:rPr>
                <w:sz w:val="20"/>
                <w:szCs w:val="20"/>
                <w:color w:val="auto"/>
              </w:rPr>
            </w:pPr>
            <w:r>
              <w:rPr>
                <w:rFonts w:ascii="Calibri" w:cs="Calibri" w:eastAsia="Calibri" w:hAnsi="Calibri"/>
                <w:sz w:val="17"/>
                <w:szCs w:val="17"/>
                <w:b w:val="1"/>
                <w:bCs w:val="1"/>
                <w:color w:val="auto"/>
              </w:rPr>
              <w:t>Portolio Quality</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03"/>
        </w:trPr>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180" w:type="dxa"/>
            <w:vAlign w:val="bottom"/>
            <w:gridSpan w:val="3"/>
          </w:tcPr>
          <w:p>
            <w:pPr>
              <w:ind w:left="680"/>
              <w:spacing w:after="0"/>
              <w:rPr>
                <w:sz w:val="20"/>
                <w:szCs w:val="20"/>
                <w:color w:val="auto"/>
              </w:rPr>
            </w:pPr>
            <w:r>
              <w:rPr>
                <w:rFonts w:ascii="Calibri" w:cs="Calibri" w:eastAsia="Calibri" w:hAnsi="Calibri"/>
                <w:sz w:val="17"/>
                <w:szCs w:val="17"/>
                <w:b w:val="1"/>
                <w:bCs w:val="1"/>
                <w:color w:val="auto"/>
              </w:rPr>
              <w:t>Total Portolio Quality (in quarter-end balances)</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8"/>
        </w:trPr>
        <w:tc>
          <w:tcPr>
            <w:tcW w:w="32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159"/>
        </w:trPr>
        <w:tc>
          <w:tcPr>
            <w:tcW w:w="3280" w:type="dxa"/>
            <w:vAlign w:val="bottom"/>
            <w:tcBorders>
              <w:left w:val="single" w:sz="8" w:color="auto"/>
            </w:tcBorders>
            <w:gridSpan w:val="2"/>
            <w:shd w:val="clear" w:color="auto" w:fill="33CCCC"/>
          </w:tcPr>
          <w:p>
            <w:pPr>
              <w:ind w:left="20"/>
              <w:spacing w:after="0" w:line="159" w:lineRule="exact"/>
              <w:rPr>
                <w:sz w:val="20"/>
                <w:szCs w:val="20"/>
                <w:color w:val="auto"/>
              </w:rPr>
            </w:pPr>
            <w:r>
              <w:rPr>
                <w:rFonts w:ascii="Calibri" w:cs="Calibri" w:eastAsia="Calibri" w:hAnsi="Calibri"/>
                <w:sz w:val="14"/>
                <w:szCs w:val="14"/>
                <w:b w:val="1"/>
                <w:bCs w:val="1"/>
                <w:color w:val="FFFFFF"/>
              </w:rPr>
              <w:t>Loan Portolio quality and Delinquency ratos</w:t>
            </w:r>
          </w:p>
        </w:tc>
        <w:tc>
          <w:tcPr>
            <w:tcW w:w="1240" w:type="dxa"/>
            <w:vAlign w:val="bottom"/>
            <w:tcBorders>
              <w:right w:val="single" w:sz="8" w:color="auto"/>
            </w:tcBorders>
            <w:shd w:val="clear" w:color="auto" w:fill="33CCCC"/>
          </w:tcPr>
          <w:p>
            <w:pPr>
              <w:spacing w:after="0"/>
              <w:rPr>
                <w:sz w:val="13"/>
                <w:szCs w:val="13"/>
                <w:color w:val="auto"/>
              </w:rPr>
            </w:pPr>
          </w:p>
        </w:tc>
        <w:tc>
          <w:tcPr>
            <w:tcW w:w="1380" w:type="dxa"/>
            <w:vAlign w:val="bottom"/>
            <w:shd w:val="clear" w:color="auto" w:fill="33CCCC"/>
          </w:tcPr>
          <w:p>
            <w:pPr>
              <w:spacing w:after="0"/>
              <w:rPr>
                <w:sz w:val="13"/>
                <w:szCs w:val="13"/>
                <w:color w:val="auto"/>
              </w:rPr>
            </w:pPr>
          </w:p>
        </w:tc>
        <w:tc>
          <w:tcPr>
            <w:tcW w:w="1560" w:type="dxa"/>
            <w:vAlign w:val="bottom"/>
            <w:shd w:val="clear" w:color="auto" w:fill="33CCCC"/>
          </w:tcPr>
          <w:p>
            <w:pPr>
              <w:ind w:left="540"/>
              <w:spacing w:after="0" w:line="159" w:lineRule="exact"/>
              <w:rPr>
                <w:sz w:val="20"/>
                <w:szCs w:val="20"/>
                <w:color w:val="auto"/>
              </w:rPr>
            </w:pPr>
            <w:r>
              <w:rPr>
                <w:rFonts w:ascii="Calibri" w:cs="Calibri" w:eastAsia="Calibri" w:hAnsi="Calibri"/>
                <w:sz w:val="14"/>
                <w:szCs w:val="14"/>
                <w:b w:val="1"/>
                <w:bCs w:val="1"/>
                <w:color w:val="FFFFFF"/>
              </w:rPr>
              <w:t>As of</w:t>
            </w:r>
          </w:p>
        </w:tc>
        <w:tc>
          <w:tcPr>
            <w:tcW w:w="1220" w:type="dxa"/>
            <w:vAlign w:val="bottom"/>
            <w:tcBorders>
              <w:right w:val="single" w:sz="8" w:color="auto"/>
            </w:tcBorders>
            <w:shd w:val="clear" w:color="auto" w:fill="33CCCC"/>
          </w:tcPr>
          <w:p>
            <w:pPr>
              <w:spacing w:after="0"/>
              <w:rPr>
                <w:sz w:val="13"/>
                <w:szCs w:val="13"/>
                <w:color w:val="auto"/>
              </w:rPr>
            </w:pPr>
          </w:p>
        </w:tc>
        <w:tc>
          <w:tcPr>
            <w:tcW w:w="940" w:type="dxa"/>
            <w:vAlign w:val="bottom"/>
            <w:shd w:val="clear" w:color="auto" w:fill="33CCCC"/>
          </w:tcPr>
          <w:p>
            <w:pPr>
              <w:spacing w:after="0"/>
              <w:rPr>
                <w:sz w:val="13"/>
                <w:szCs w:val="13"/>
                <w:color w:val="auto"/>
              </w:rPr>
            </w:pPr>
          </w:p>
        </w:tc>
        <w:tc>
          <w:tcPr>
            <w:tcW w:w="1640" w:type="dxa"/>
            <w:vAlign w:val="bottom"/>
            <w:tcBorders>
              <w:right w:val="single" w:sz="8" w:color="auto"/>
            </w:tcBorders>
            <w:shd w:val="clear" w:color="auto" w:fill="33CCCC"/>
          </w:tcPr>
          <w:p>
            <w:pPr>
              <w:ind w:left="60"/>
              <w:spacing w:after="0" w:line="159" w:lineRule="exact"/>
              <w:rPr>
                <w:sz w:val="20"/>
                <w:szCs w:val="20"/>
                <w:color w:val="auto"/>
              </w:rPr>
            </w:pPr>
            <w:r>
              <w:rPr>
                <w:rFonts w:ascii="Calibri" w:cs="Calibri" w:eastAsia="Calibri" w:hAnsi="Calibri"/>
                <w:sz w:val="14"/>
                <w:szCs w:val="14"/>
                <w:b w:val="1"/>
                <w:bCs w:val="1"/>
                <w:color w:val="FFFFFF"/>
              </w:rPr>
              <w:t>% change</w:t>
            </w:r>
          </w:p>
        </w:tc>
      </w:tr>
      <w:tr>
        <w:trPr>
          <w:trHeight w:val="169"/>
        </w:trPr>
        <w:tc>
          <w:tcPr>
            <w:tcW w:w="400" w:type="dxa"/>
            <w:vAlign w:val="bottom"/>
            <w:tcBorders>
              <w:left w:val="single" w:sz="8" w:color="auto"/>
              <w:bottom w:val="single" w:sz="8" w:color="auto"/>
            </w:tcBorders>
            <w:shd w:val="clear" w:color="auto" w:fill="33CCCC"/>
          </w:tcPr>
          <w:p>
            <w:pPr>
              <w:ind w:left="20"/>
              <w:spacing w:after="0" w:line="166" w:lineRule="exact"/>
              <w:rPr>
                <w:sz w:val="20"/>
                <w:szCs w:val="20"/>
                <w:color w:val="auto"/>
              </w:rPr>
            </w:pPr>
            <w:r>
              <w:rPr>
                <w:rFonts w:ascii="Calibri" w:cs="Calibri" w:eastAsia="Calibri" w:hAnsi="Calibri"/>
                <w:sz w:val="14"/>
                <w:szCs w:val="14"/>
                <w:b w:val="1"/>
                <w:bCs w:val="1"/>
                <w:color w:val="FFFFFF"/>
              </w:rPr>
              <w:t>S/000</w:t>
            </w:r>
          </w:p>
        </w:tc>
        <w:tc>
          <w:tcPr>
            <w:tcW w:w="2880" w:type="dxa"/>
            <w:vAlign w:val="bottom"/>
            <w:tcBorders>
              <w:bottom w:val="single" w:sz="8" w:color="auto"/>
            </w:tcBorders>
            <w:shd w:val="clear" w:color="auto" w:fill="33CCCC"/>
          </w:tcPr>
          <w:p>
            <w:pPr>
              <w:spacing w:after="0"/>
              <w:rPr>
                <w:sz w:val="14"/>
                <w:szCs w:val="14"/>
                <w:color w:val="auto"/>
              </w:rPr>
            </w:pPr>
          </w:p>
        </w:tc>
        <w:tc>
          <w:tcPr>
            <w:tcW w:w="1240" w:type="dxa"/>
            <w:vAlign w:val="bottom"/>
            <w:tcBorders>
              <w:bottom w:val="single" w:sz="8" w:color="auto"/>
              <w:right w:val="single" w:sz="8" w:color="auto"/>
            </w:tcBorders>
            <w:shd w:val="clear" w:color="auto" w:fill="33CCCC"/>
          </w:tcPr>
          <w:p>
            <w:pPr>
              <w:spacing w:after="0"/>
              <w:rPr>
                <w:sz w:val="14"/>
                <w:szCs w:val="14"/>
                <w:color w:val="auto"/>
              </w:rPr>
            </w:pPr>
          </w:p>
        </w:tc>
        <w:tc>
          <w:tcPr>
            <w:tcW w:w="1380" w:type="dxa"/>
            <w:vAlign w:val="bottom"/>
            <w:tcBorders>
              <w:bottom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w w:val="96"/>
              </w:rPr>
              <w:t>2Q24</w:t>
            </w:r>
          </w:p>
        </w:tc>
        <w:tc>
          <w:tcPr>
            <w:tcW w:w="1560" w:type="dxa"/>
            <w:vAlign w:val="bottom"/>
            <w:tcBorders>
              <w:bottom w:val="single" w:sz="8" w:color="auto"/>
            </w:tcBorders>
            <w:shd w:val="clear" w:color="auto" w:fill="33CCCC"/>
          </w:tcPr>
          <w:p>
            <w:pPr>
              <w:jc w:val="center"/>
              <w:ind w:right="111"/>
              <w:spacing w:after="0" w:line="166" w:lineRule="exact"/>
              <w:rPr>
                <w:sz w:val="20"/>
                <w:szCs w:val="20"/>
                <w:color w:val="auto"/>
              </w:rPr>
            </w:pPr>
            <w:r>
              <w:rPr>
                <w:rFonts w:ascii="Calibri" w:cs="Calibri" w:eastAsia="Calibri" w:hAnsi="Calibri"/>
                <w:sz w:val="14"/>
                <w:szCs w:val="14"/>
                <w:b w:val="1"/>
                <w:bCs w:val="1"/>
                <w:color w:val="FFFFFF"/>
                <w:w w:val="96"/>
              </w:rPr>
              <w:t>1Q25</w:t>
            </w:r>
          </w:p>
        </w:tc>
        <w:tc>
          <w:tcPr>
            <w:tcW w:w="1220" w:type="dxa"/>
            <w:vAlign w:val="bottom"/>
            <w:tcBorders>
              <w:bottom w:val="single" w:sz="8" w:color="auto"/>
              <w:right w:val="single" w:sz="8" w:color="auto"/>
            </w:tcBorders>
            <w:shd w:val="clear" w:color="auto" w:fill="33CCCC"/>
          </w:tcPr>
          <w:p>
            <w:pPr>
              <w:jc w:val="center"/>
              <w:ind w:right="131"/>
              <w:spacing w:after="0" w:line="166" w:lineRule="exact"/>
              <w:rPr>
                <w:sz w:val="20"/>
                <w:szCs w:val="20"/>
                <w:color w:val="auto"/>
              </w:rPr>
            </w:pPr>
            <w:r>
              <w:rPr>
                <w:rFonts w:ascii="Calibri" w:cs="Calibri" w:eastAsia="Calibri" w:hAnsi="Calibri"/>
                <w:sz w:val="14"/>
                <w:szCs w:val="14"/>
                <w:b w:val="1"/>
                <w:bCs w:val="1"/>
                <w:color w:val="FFFFFF"/>
                <w:w w:val="96"/>
              </w:rPr>
              <w:t>2Q25</w:t>
            </w:r>
          </w:p>
        </w:tc>
        <w:tc>
          <w:tcPr>
            <w:tcW w:w="940" w:type="dxa"/>
            <w:vAlign w:val="bottom"/>
            <w:tcBorders>
              <w:bottom w:val="single" w:sz="8" w:color="auto"/>
            </w:tcBorders>
            <w:shd w:val="clear" w:color="auto" w:fill="33CCCC"/>
          </w:tcPr>
          <w:p>
            <w:pPr>
              <w:jc w:val="center"/>
              <w:ind w:left="331"/>
              <w:spacing w:after="0" w:line="166" w:lineRule="exact"/>
              <w:rPr>
                <w:sz w:val="20"/>
                <w:szCs w:val="20"/>
                <w:color w:val="auto"/>
              </w:rPr>
            </w:pPr>
            <w:r>
              <w:rPr>
                <w:rFonts w:ascii="Calibri" w:cs="Calibri" w:eastAsia="Calibri" w:hAnsi="Calibri"/>
                <w:sz w:val="14"/>
                <w:szCs w:val="14"/>
                <w:b w:val="1"/>
                <w:bCs w:val="1"/>
                <w:color w:val="FFFFFF"/>
                <w:w w:val="97"/>
              </w:rPr>
              <w:t>QoQ</w:t>
            </w:r>
          </w:p>
        </w:tc>
        <w:tc>
          <w:tcPr>
            <w:tcW w:w="1640" w:type="dxa"/>
            <w:vAlign w:val="bottom"/>
            <w:tcBorders>
              <w:bottom w:val="single" w:sz="8" w:color="auto"/>
              <w:right w:val="single" w:sz="8" w:color="auto"/>
            </w:tcBorders>
            <w:shd w:val="clear" w:color="auto" w:fill="33CCCC"/>
          </w:tcPr>
          <w:p>
            <w:pPr>
              <w:jc w:val="center"/>
              <w:ind w:left="311"/>
              <w:spacing w:after="0" w:line="166" w:lineRule="exact"/>
              <w:rPr>
                <w:sz w:val="20"/>
                <w:szCs w:val="20"/>
                <w:color w:val="auto"/>
              </w:rPr>
            </w:pPr>
            <w:r>
              <w:rPr>
                <w:rFonts w:ascii="Calibri" w:cs="Calibri" w:eastAsia="Calibri" w:hAnsi="Calibri"/>
                <w:sz w:val="14"/>
                <w:szCs w:val="14"/>
                <w:b w:val="1"/>
                <w:bCs w:val="1"/>
                <w:color w:val="FFFFFF"/>
                <w:w w:val="99"/>
              </w:rPr>
              <w:t>YoY</w:t>
            </w:r>
          </w:p>
        </w:tc>
      </w:tr>
      <w:tr>
        <w:trPr>
          <w:trHeight w:val="164"/>
        </w:trPr>
        <w:tc>
          <w:tcPr>
            <w:tcW w:w="3280" w:type="dxa"/>
            <w:vAlign w:val="bottom"/>
            <w:tcBorders>
              <w:left w:val="single" w:sz="8" w:color="auto"/>
              <w:bottom w:val="single" w:sz="8" w:color="auto"/>
            </w:tcBorders>
            <w:gridSpan w:val="2"/>
          </w:tcPr>
          <w:p>
            <w:pPr>
              <w:ind w:left="20"/>
              <w:spacing w:after="0" w:line="164" w:lineRule="exact"/>
              <w:rPr>
                <w:sz w:val="20"/>
                <w:szCs w:val="20"/>
                <w:color w:val="auto"/>
              </w:rPr>
            </w:pPr>
            <w:r>
              <w:rPr>
                <w:rFonts w:ascii="Calibri" w:cs="Calibri" w:eastAsia="Calibri" w:hAnsi="Calibri"/>
                <w:sz w:val="14"/>
                <w:szCs w:val="14"/>
                <w:b w:val="1"/>
                <w:bCs w:val="1"/>
                <w:color w:val="auto"/>
              </w:rPr>
              <w:t>Total loans (Quarter-end balance)</w:t>
            </w:r>
          </w:p>
        </w:tc>
        <w:tc>
          <w:tcPr>
            <w:tcW w:w="124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8"/>
              </w:rPr>
              <w:t>146,946,546</w:t>
            </w:r>
          </w:p>
        </w:tc>
        <w:tc>
          <w:tcPr>
            <w:tcW w:w="1560" w:type="dxa"/>
            <w:vAlign w:val="bottom"/>
            <w:tcBorders>
              <w:bottom w:val="single" w:sz="8" w:color="auto"/>
            </w:tcBorders>
          </w:tcPr>
          <w:p>
            <w:pPr>
              <w:jc w:val="center"/>
              <w:ind w:right="111"/>
              <w:spacing w:after="0" w:line="164" w:lineRule="exact"/>
              <w:rPr>
                <w:sz w:val="20"/>
                <w:szCs w:val="20"/>
                <w:color w:val="auto"/>
              </w:rPr>
            </w:pPr>
            <w:r>
              <w:rPr>
                <w:rFonts w:ascii="Calibri" w:cs="Calibri" w:eastAsia="Calibri" w:hAnsi="Calibri"/>
                <w:sz w:val="14"/>
                <w:szCs w:val="14"/>
                <w:b w:val="1"/>
                <w:bCs w:val="1"/>
                <w:color w:val="auto"/>
                <w:w w:val="98"/>
              </w:rPr>
              <w:t>141,196,646</w:t>
            </w:r>
          </w:p>
        </w:tc>
        <w:tc>
          <w:tcPr>
            <w:tcW w:w="1220" w:type="dxa"/>
            <w:vAlign w:val="bottom"/>
            <w:tcBorders>
              <w:bottom w:val="single" w:sz="8" w:color="auto"/>
              <w:right w:val="single" w:sz="8" w:color="auto"/>
            </w:tcBorders>
          </w:tcPr>
          <w:p>
            <w:pPr>
              <w:jc w:val="center"/>
              <w:ind w:right="131"/>
              <w:spacing w:after="0" w:line="164" w:lineRule="exact"/>
              <w:rPr>
                <w:sz w:val="20"/>
                <w:szCs w:val="20"/>
                <w:color w:val="auto"/>
              </w:rPr>
            </w:pPr>
            <w:r>
              <w:rPr>
                <w:rFonts w:ascii="Calibri" w:cs="Calibri" w:eastAsia="Calibri" w:hAnsi="Calibri"/>
                <w:sz w:val="14"/>
                <w:szCs w:val="14"/>
                <w:b w:val="1"/>
                <w:bCs w:val="1"/>
                <w:color w:val="auto"/>
                <w:w w:val="98"/>
              </w:rPr>
              <w:t>140,961,978</w:t>
            </w:r>
          </w:p>
        </w:tc>
        <w:tc>
          <w:tcPr>
            <w:tcW w:w="940" w:type="dxa"/>
            <w:vAlign w:val="bottom"/>
            <w:tcBorders>
              <w:bottom w:val="single" w:sz="8" w:color="auto"/>
            </w:tcBorders>
          </w:tcPr>
          <w:p>
            <w:pPr>
              <w:jc w:val="center"/>
              <w:ind w:left="351"/>
              <w:spacing w:after="0" w:line="164" w:lineRule="exact"/>
              <w:rPr>
                <w:sz w:val="20"/>
                <w:szCs w:val="20"/>
                <w:color w:val="auto"/>
              </w:rPr>
            </w:pPr>
            <w:r>
              <w:rPr>
                <w:rFonts w:ascii="Calibri" w:cs="Calibri" w:eastAsia="Calibri" w:hAnsi="Calibri"/>
                <w:sz w:val="14"/>
                <w:szCs w:val="14"/>
                <w:b w:val="1"/>
                <w:bCs w:val="1"/>
                <w:color w:val="auto"/>
                <w:w w:val="98"/>
              </w:rPr>
              <w:t>-0.2%</w:t>
            </w:r>
          </w:p>
        </w:tc>
        <w:tc>
          <w:tcPr>
            <w:tcW w:w="1640" w:type="dxa"/>
            <w:vAlign w:val="bottom"/>
            <w:tcBorders>
              <w:bottom w:val="single" w:sz="8" w:color="auto"/>
              <w:right w:val="single" w:sz="8" w:color="auto"/>
            </w:tcBorders>
          </w:tcPr>
          <w:p>
            <w:pPr>
              <w:jc w:val="center"/>
              <w:ind w:left="331"/>
              <w:spacing w:after="0" w:line="164" w:lineRule="exact"/>
              <w:rPr>
                <w:sz w:val="20"/>
                <w:szCs w:val="20"/>
                <w:color w:val="auto"/>
              </w:rPr>
            </w:pPr>
            <w:r>
              <w:rPr>
                <w:rFonts w:ascii="Calibri" w:cs="Calibri" w:eastAsia="Calibri" w:hAnsi="Calibri"/>
                <w:sz w:val="14"/>
                <w:szCs w:val="14"/>
                <w:b w:val="1"/>
                <w:bCs w:val="1"/>
                <w:color w:val="auto"/>
                <w:w w:val="98"/>
              </w:rPr>
              <w:t>-4.1%</w:t>
            </w:r>
          </w:p>
        </w:tc>
      </w:tr>
      <w:tr>
        <w:trPr>
          <w:trHeight w:val="162"/>
        </w:trPr>
        <w:tc>
          <w:tcPr>
            <w:tcW w:w="3280" w:type="dxa"/>
            <w:vAlign w:val="bottom"/>
            <w:tcBorders>
              <w:left w:val="single" w:sz="8" w:color="auto"/>
              <w:bottom w:val="single" w:sz="8" w:color="auto"/>
            </w:tcBorders>
            <w:gridSpan w:val="2"/>
          </w:tcPr>
          <w:p>
            <w:pPr>
              <w:ind w:left="20"/>
              <w:spacing w:after="0" w:line="162" w:lineRule="exact"/>
              <w:rPr>
                <w:sz w:val="20"/>
                <w:szCs w:val="20"/>
                <w:color w:val="auto"/>
              </w:rPr>
            </w:pPr>
            <w:r>
              <w:rPr>
                <w:rFonts w:ascii="Calibri" w:cs="Calibri" w:eastAsia="Calibri" w:hAnsi="Calibri"/>
                <w:sz w:val="14"/>
                <w:szCs w:val="14"/>
                <w:color w:val="auto"/>
              </w:rPr>
              <w:t>Write-ofs</w:t>
            </w:r>
          </w:p>
        </w:tc>
        <w:tc>
          <w:tcPr>
            <w:tcW w:w="124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9"/>
              </w:rPr>
              <w:t>994,556</w:t>
            </w:r>
          </w:p>
        </w:tc>
        <w:tc>
          <w:tcPr>
            <w:tcW w:w="1560" w:type="dxa"/>
            <w:vAlign w:val="bottom"/>
            <w:tcBorders>
              <w:bottom w:val="single" w:sz="8" w:color="auto"/>
            </w:tcBorders>
          </w:tcPr>
          <w:p>
            <w:pPr>
              <w:jc w:val="center"/>
              <w:ind w:right="111"/>
              <w:spacing w:after="0" w:line="162" w:lineRule="exact"/>
              <w:rPr>
                <w:sz w:val="20"/>
                <w:szCs w:val="20"/>
                <w:color w:val="auto"/>
              </w:rPr>
            </w:pPr>
            <w:r>
              <w:rPr>
                <w:rFonts w:ascii="Calibri" w:cs="Calibri" w:eastAsia="Calibri" w:hAnsi="Calibri"/>
                <w:sz w:val="14"/>
                <w:szCs w:val="14"/>
                <w:color w:val="auto"/>
                <w:w w:val="99"/>
              </w:rPr>
              <w:t>716,585</w:t>
            </w:r>
          </w:p>
        </w:tc>
        <w:tc>
          <w:tcPr>
            <w:tcW w:w="1220" w:type="dxa"/>
            <w:vAlign w:val="bottom"/>
            <w:tcBorders>
              <w:bottom w:val="single" w:sz="8" w:color="auto"/>
              <w:right w:val="single" w:sz="8" w:color="auto"/>
            </w:tcBorders>
          </w:tcPr>
          <w:p>
            <w:pPr>
              <w:jc w:val="center"/>
              <w:ind w:right="131"/>
              <w:spacing w:after="0" w:line="162" w:lineRule="exact"/>
              <w:rPr>
                <w:sz w:val="20"/>
                <w:szCs w:val="20"/>
                <w:color w:val="auto"/>
              </w:rPr>
            </w:pPr>
            <w:r>
              <w:rPr>
                <w:rFonts w:ascii="Calibri" w:cs="Calibri" w:eastAsia="Calibri" w:hAnsi="Calibri"/>
                <w:sz w:val="14"/>
                <w:szCs w:val="14"/>
                <w:color w:val="auto"/>
                <w:w w:val="99"/>
              </w:rPr>
              <w:t>581,373</w:t>
            </w:r>
          </w:p>
        </w:tc>
        <w:tc>
          <w:tcPr>
            <w:tcW w:w="940" w:type="dxa"/>
            <w:vAlign w:val="bottom"/>
            <w:tcBorders>
              <w:bottom w:val="single" w:sz="8" w:color="auto"/>
            </w:tcBorders>
          </w:tcPr>
          <w:p>
            <w:pPr>
              <w:jc w:val="center"/>
              <w:ind w:left="331"/>
              <w:spacing w:after="0" w:line="162" w:lineRule="exact"/>
              <w:rPr>
                <w:sz w:val="20"/>
                <w:szCs w:val="20"/>
                <w:color w:val="auto"/>
              </w:rPr>
            </w:pPr>
            <w:r>
              <w:rPr>
                <w:rFonts w:ascii="Calibri" w:cs="Calibri" w:eastAsia="Calibri" w:hAnsi="Calibri"/>
                <w:sz w:val="14"/>
                <w:szCs w:val="14"/>
                <w:color w:val="auto"/>
                <w:w w:val="97"/>
              </w:rPr>
              <w:t>-18.9%</w:t>
            </w:r>
          </w:p>
        </w:tc>
        <w:tc>
          <w:tcPr>
            <w:tcW w:w="1640" w:type="dxa"/>
            <w:vAlign w:val="bottom"/>
            <w:tcBorders>
              <w:bottom w:val="single" w:sz="8" w:color="auto"/>
              <w:right w:val="single" w:sz="8" w:color="auto"/>
            </w:tcBorders>
          </w:tcPr>
          <w:p>
            <w:pPr>
              <w:jc w:val="center"/>
              <w:ind w:left="311"/>
              <w:spacing w:after="0" w:line="162" w:lineRule="exact"/>
              <w:rPr>
                <w:sz w:val="20"/>
                <w:szCs w:val="20"/>
                <w:color w:val="auto"/>
              </w:rPr>
            </w:pPr>
            <w:r>
              <w:rPr>
                <w:rFonts w:ascii="Calibri" w:cs="Calibri" w:eastAsia="Calibri" w:hAnsi="Calibri"/>
                <w:sz w:val="14"/>
                <w:szCs w:val="14"/>
                <w:color w:val="auto"/>
                <w:w w:val="97"/>
              </w:rPr>
              <w:t>-41.5%</w:t>
            </w:r>
          </w:p>
        </w:tc>
      </w:tr>
      <w:tr>
        <w:trPr>
          <w:trHeight w:val="149"/>
        </w:trPr>
        <w:tc>
          <w:tcPr>
            <w:tcW w:w="3280" w:type="dxa"/>
            <w:vAlign w:val="bottom"/>
            <w:tcBorders>
              <w:left w:val="single" w:sz="8" w:color="auto"/>
            </w:tcBorders>
            <w:gridSpan w:val="2"/>
          </w:tcPr>
          <w:p>
            <w:pPr>
              <w:ind w:left="20"/>
              <w:spacing w:after="0" w:line="149" w:lineRule="exact"/>
              <w:rPr>
                <w:sz w:val="20"/>
                <w:szCs w:val="20"/>
                <w:color w:val="auto"/>
              </w:rPr>
            </w:pPr>
            <w:r>
              <w:rPr>
                <w:rFonts w:ascii="Calibri" w:cs="Calibri" w:eastAsia="Calibri" w:hAnsi="Calibri"/>
                <w:sz w:val="14"/>
                <w:szCs w:val="14"/>
                <w:color w:val="auto"/>
              </w:rPr>
              <w:t>Internal overdue loans (IOLs)</w:t>
            </w:r>
          </w:p>
        </w:tc>
        <w:tc>
          <w:tcPr>
            <w:tcW w:w="1240" w:type="dxa"/>
            <w:vAlign w:val="bottom"/>
            <w:tcBorders>
              <w:right w:val="single" w:sz="8" w:color="auto"/>
            </w:tcBorders>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Calibri" w:cs="Calibri" w:eastAsia="Calibri" w:hAnsi="Calibri"/>
                <w:sz w:val="14"/>
                <w:szCs w:val="14"/>
                <w:color w:val="auto"/>
                <w:w w:val="98"/>
              </w:rPr>
              <w:t>6,230,761</w:t>
            </w:r>
          </w:p>
        </w:tc>
        <w:tc>
          <w:tcPr>
            <w:tcW w:w="1560" w:type="dxa"/>
            <w:vAlign w:val="bottom"/>
          </w:tcPr>
          <w:p>
            <w:pPr>
              <w:jc w:val="center"/>
              <w:ind w:right="131"/>
              <w:spacing w:after="0" w:line="149" w:lineRule="exact"/>
              <w:rPr>
                <w:sz w:val="20"/>
                <w:szCs w:val="20"/>
                <w:color w:val="auto"/>
              </w:rPr>
            </w:pPr>
            <w:r>
              <w:rPr>
                <w:rFonts w:ascii="Calibri" w:cs="Calibri" w:eastAsia="Calibri" w:hAnsi="Calibri"/>
                <w:sz w:val="14"/>
                <w:szCs w:val="14"/>
                <w:color w:val="auto"/>
                <w:w w:val="98"/>
              </w:rPr>
              <w:t>5,206,395</w:t>
            </w:r>
          </w:p>
        </w:tc>
        <w:tc>
          <w:tcPr>
            <w:tcW w:w="1220" w:type="dxa"/>
            <w:vAlign w:val="bottom"/>
            <w:tcBorders>
              <w:right w:val="single" w:sz="8" w:color="auto"/>
            </w:tcBorders>
          </w:tcPr>
          <w:p>
            <w:pPr>
              <w:jc w:val="center"/>
              <w:ind w:right="151"/>
              <w:spacing w:after="0" w:line="149" w:lineRule="exact"/>
              <w:rPr>
                <w:sz w:val="20"/>
                <w:szCs w:val="20"/>
                <w:color w:val="auto"/>
              </w:rPr>
            </w:pPr>
            <w:r>
              <w:rPr>
                <w:rFonts w:ascii="Calibri" w:cs="Calibri" w:eastAsia="Calibri" w:hAnsi="Calibri"/>
                <w:sz w:val="14"/>
                <w:szCs w:val="14"/>
                <w:color w:val="auto"/>
                <w:w w:val="98"/>
              </w:rPr>
              <w:t>5,044,212</w:t>
            </w:r>
          </w:p>
        </w:tc>
        <w:tc>
          <w:tcPr>
            <w:tcW w:w="940" w:type="dxa"/>
            <w:vAlign w:val="bottom"/>
          </w:tcPr>
          <w:p>
            <w:pPr>
              <w:jc w:val="center"/>
              <w:ind w:left="331"/>
              <w:spacing w:after="0" w:line="149" w:lineRule="exact"/>
              <w:rPr>
                <w:sz w:val="20"/>
                <w:szCs w:val="20"/>
                <w:color w:val="auto"/>
              </w:rPr>
            </w:pPr>
            <w:r>
              <w:rPr>
                <w:rFonts w:ascii="Calibri" w:cs="Calibri" w:eastAsia="Calibri" w:hAnsi="Calibri"/>
                <w:sz w:val="14"/>
                <w:szCs w:val="14"/>
                <w:color w:val="auto"/>
                <w:w w:val="93"/>
              </w:rPr>
              <w:t>-3.1%</w:t>
            </w:r>
          </w:p>
        </w:tc>
        <w:tc>
          <w:tcPr>
            <w:tcW w:w="1640" w:type="dxa"/>
            <w:vAlign w:val="bottom"/>
            <w:tcBorders>
              <w:right w:val="single" w:sz="8" w:color="auto"/>
            </w:tcBorders>
          </w:tcPr>
          <w:p>
            <w:pPr>
              <w:jc w:val="center"/>
              <w:ind w:left="311"/>
              <w:spacing w:after="0" w:line="149" w:lineRule="exact"/>
              <w:rPr>
                <w:sz w:val="20"/>
                <w:szCs w:val="20"/>
                <w:color w:val="auto"/>
              </w:rPr>
            </w:pPr>
            <w:r>
              <w:rPr>
                <w:rFonts w:ascii="Calibri" w:cs="Calibri" w:eastAsia="Calibri" w:hAnsi="Calibri"/>
                <w:sz w:val="14"/>
                <w:szCs w:val="14"/>
                <w:color w:val="auto"/>
                <w:w w:val="97"/>
              </w:rPr>
              <w:t>-19.0%</w:t>
            </w:r>
          </w:p>
        </w:tc>
      </w:tr>
      <w:tr>
        <w:trPr>
          <w:trHeight w:val="166"/>
        </w:trPr>
        <w:tc>
          <w:tcPr>
            <w:tcW w:w="3280" w:type="dxa"/>
            <w:vAlign w:val="bottom"/>
            <w:tcBorders>
              <w:left w:val="single" w:sz="8" w:color="auto"/>
            </w:tcBorders>
            <w:gridSpan w:val="2"/>
          </w:tcPr>
          <w:p>
            <w:pPr>
              <w:ind w:left="20"/>
              <w:spacing w:after="0" w:line="166" w:lineRule="exact"/>
              <w:rPr>
                <w:sz w:val="20"/>
                <w:szCs w:val="20"/>
                <w:color w:val="auto"/>
              </w:rPr>
            </w:pPr>
            <w:r>
              <w:rPr>
                <w:rFonts w:ascii="Calibri" w:cs="Calibri" w:eastAsia="Calibri" w:hAnsi="Calibri"/>
                <w:sz w:val="14"/>
                <w:szCs w:val="14"/>
                <w:color w:val="auto"/>
              </w:rPr>
              <w:t>Internal overdue loans over 90-days</w:t>
            </w:r>
          </w:p>
        </w:tc>
        <w:tc>
          <w:tcPr>
            <w:tcW w:w="1240" w:type="dxa"/>
            <w:vAlign w:val="bottom"/>
            <w:tcBorders>
              <w:right w:val="single" w:sz="8" w:color="auto"/>
            </w:tcBorders>
          </w:tcPr>
          <w:p>
            <w:pPr>
              <w:spacing w:after="0"/>
              <w:rPr>
                <w:sz w:val="14"/>
                <w:szCs w:val="14"/>
                <w:color w:val="auto"/>
              </w:rPr>
            </w:pPr>
          </w:p>
        </w:tc>
        <w:tc>
          <w:tcPr>
            <w:tcW w:w="1380" w:type="dxa"/>
            <w:vAlign w:val="bottom"/>
          </w:tcPr>
          <w:p>
            <w:pPr>
              <w:jc w:val="center"/>
              <w:spacing w:after="0" w:line="166" w:lineRule="exact"/>
              <w:rPr>
                <w:sz w:val="20"/>
                <w:szCs w:val="20"/>
                <w:color w:val="auto"/>
              </w:rPr>
            </w:pPr>
            <w:r>
              <w:rPr>
                <w:rFonts w:ascii="Calibri" w:cs="Calibri" w:eastAsia="Calibri" w:hAnsi="Calibri"/>
                <w:sz w:val="14"/>
                <w:szCs w:val="14"/>
                <w:color w:val="auto"/>
                <w:w w:val="98"/>
              </w:rPr>
              <w:t>4,760,837</w:t>
            </w:r>
          </w:p>
        </w:tc>
        <w:tc>
          <w:tcPr>
            <w:tcW w:w="1560" w:type="dxa"/>
            <w:vAlign w:val="bottom"/>
          </w:tcPr>
          <w:p>
            <w:pPr>
              <w:jc w:val="center"/>
              <w:ind w:right="131"/>
              <w:spacing w:after="0" w:line="166" w:lineRule="exact"/>
              <w:rPr>
                <w:sz w:val="20"/>
                <w:szCs w:val="20"/>
                <w:color w:val="auto"/>
              </w:rPr>
            </w:pPr>
            <w:r>
              <w:rPr>
                <w:rFonts w:ascii="Calibri" w:cs="Calibri" w:eastAsia="Calibri" w:hAnsi="Calibri"/>
                <w:sz w:val="14"/>
                <w:szCs w:val="14"/>
                <w:color w:val="auto"/>
                <w:w w:val="98"/>
              </w:rPr>
              <w:t>4,232,843</w:t>
            </w:r>
          </w:p>
        </w:tc>
        <w:tc>
          <w:tcPr>
            <w:tcW w:w="1220" w:type="dxa"/>
            <w:vAlign w:val="bottom"/>
            <w:tcBorders>
              <w:right w:val="single" w:sz="8" w:color="auto"/>
            </w:tcBorders>
          </w:tcPr>
          <w:p>
            <w:pPr>
              <w:jc w:val="center"/>
              <w:ind w:right="151"/>
              <w:spacing w:after="0" w:line="166" w:lineRule="exact"/>
              <w:rPr>
                <w:sz w:val="20"/>
                <w:szCs w:val="20"/>
                <w:color w:val="auto"/>
              </w:rPr>
            </w:pPr>
            <w:r>
              <w:rPr>
                <w:rFonts w:ascii="Calibri" w:cs="Calibri" w:eastAsia="Calibri" w:hAnsi="Calibri"/>
                <w:sz w:val="14"/>
                <w:szCs w:val="14"/>
                <w:color w:val="auto"/>
                <w:w w:val="98"/>
              </w:rPr>
              <w:t>4,171,379</w:t>
            </w:r>
          </w:p>
        </w:tc>
        <w:tc>
          <w:tcPr>
            <w:tcW w:w="940" w:type="dxa"/>
            <w:vAlign w:val="bottom"/>
          </w:tcPr>
          <w:p>
            <w:pPr>
              <w:jc w:val="center"/>
              <w:ind w:left="331"/>
              <w:spacing w:after="0" w:line="166" w:lineRule="exact"/>
              <w:rPr>
                <w:sz w:val="20"/>
                <w:szCs w:val="20"/>
                <w:color w:val="auto"/>
              </w:rPr>
            </w:pPr>
            <w:r>
              <w:rPr>
                <w:rFonts w:ascii="Calibri" w:cs="Calibri" w:eastAsia="Calibri" w:hAnsi="Calibri"/>
                <w:sz w:val="14"/>
                <w:szCs w:val="14"/>
                <w:color w:val="auto"/>
                <w:w w:val="93"/>
              </w:rPr>
              <w:t>-1.5%</w:t>
            </w:r>
          </w:p>
        </w:tc>
        <w:tc>
          <w:tcPr>
            <w:tcW w:w="1640" w:type="dxa"/>
            <w:vAlign w:val="bottom"/>
            <w:tcBorders>
              <w:right w:val="single" w:sz="8" w:color="auto"/>
            </w:tcBorders>
          </w:tcPr>
          <w:p>
            <w:pPr>
              <w:jc w:val="center"/>
              <w:ind w:left="311"/>
              <w:spacing w:after="0" w:line="166" w:lineRule="exact"/>
              <w:rPr>
                <w:sz w:val="20"/>
                <w:szCs w:val="20"/>
                <w:color w:val="auto"/>
              </w:rPr>
            </w:pPr>
            <w:r>
              <w:rPr>
                <w:rFonts w:ascii="Calibri" w:cs="Calibri" w:eastAsia="Calibri" w:hAnsi="Calibri"/>
                <w:sz w:val="14"/>
                <w:szCs w:val="14"/>
                <w:color w:val="auto"/>
                <w:w w:val="97"/>
              </w:rPr>
              <w:t>-12.4%</w:t>
            </w:r>
          </w:p>
        </w:tc>
      </w:tr>
      <w:tr>
        <w:trPr>
          <w:trHeight w:val="169"/>
        </w:trPr>
        <w:tc>
          <w:tcPr>
            <w:tcW w:w="3280" w:type="dxa"/>
            <w:vAlign w:val="bottom"/>
            <w:tcBorders>
              <w:left w:val="single" w:sz="8" w:color="auto"/>
            </w:tcBorders>
            <w:gridSpan w:val="2"/>
          </w:tcPr>
          <w:p>
            <w:pPr>
              <w:ind w:left="20"/>
              <w:spacing w:after="0" w:line="169" w:lineRule="exact"/>
              <w:rPr>
                <w:sz w:val="20"/>
                <w:szCs w:val="20"/>
                <w:color w:val="auto"/>
              </w:rPr>
            </w:pPr>
            <w:r>
              <w:rPr>
                <w:rFonts w:ascii="Calibri" w:cs="Calibri" w:eastAsia="Calibri" w:hAnsi="Calibri"/>
                <w:sz w:val="14"/>
                <w:szCs w:val="14"/>
                <w:color w:val="auto"/>
              </w:rPr>
              <w:t>Refnanced loans</w:t>
            </w:r>
          </w:p>
        </w:tc>
        <w:tc>
          <w:tcPr>
            <w:tcW w:w="1240" w:type="dxa"/>
            <w:vAlign w:val="bottom"/>
            <w:tcBorders>
              <w:right w:val="single" w:sz="8" w:color="auto"/>
            </w:tcBorders>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2,555,135</w:t>
            </w:r>
          </w:p>
        </w:tc>
        <w:tc>
          <w:tcPr>
            <w:tcW w:w="1560" w:type="dxa"/>
            <w:vAlign w:val="bottom"/>
          </w:tcPr>
          <w:p>
            <w:pPr>
              <w:jc w:val="center"/>
              <w:ind w:right="131"/>
              <w:spacing w:after="0" w:line="169" w:lineRule="exact"/>
              <w:rPr>
                <w:sz w:val="20"/>
                <w:szCs w:val="20"/>
                <w:color w:val="auto"/>
              </w:rPr>
            </w:pPr>
            <w:r>
              <w:rPr>
                <w:rFonts w:ascii="Calibri" w:cs="Calibri" w:eastAsia="Calibri" w:hAnsi="Calibri"/>
                <w:sz w:val="14"/>
                <w:szCs w:val="14"/>
                <w:color w:val="auto"/>
                <w:w w:val="98"/>
              </w:rPr>
              <w:t>2,001,282</w:t>
            </w:r>
          </w:p>
        </w:tc>
        <w:tc>
          <w:tcPr>
            <w:tcW w:w="1220" w:type="dxa"/>
            <w:vAlign w:val="bottom"/>
            <w:tcBorders>
              <w:right w:val="single" w:sz="8" w:color="auto"/>
            </w:tcBorders>
          </w:tcPr>
          <w:p>
            <w:pPr>
              <w:jc w:val="center"/>
              <w:ind w:right="151"/>
              <w:spacing w:after="0" w:line="169" w:lineRule="exact"/>
              <w:rPr>
                <w:sz w:val="20"/>
                <w:szCs w:val="20"/>
                <w:color w:val="auto"/>
              </w:rPr>
            </w:pPr>
            <w:r>
              <w:rPr>
                <w:rFonts w:ascii="Calibri" w:cs="Calibri" w:eastAsia="Calibri" w:hAnsi="Calibri"/>
                <w:sz w:val="14"/>
                <w:szCs w:val="14"/>
                <w:color w:val="auto"/>
                <w:w w:val="98"/>
              </w:rPr>
              <w:t>1,947,709</w:t>
            </w:r>
          </w:p>
        </w:tc>
        <w:tc>
          <w:tcPr>
            <w:tcW w:w="940" w:type="dxa"/>
            <w:vAlign w:val="bottom"/>
          </w:tcPr>
          <w:p>
            <w:pPr>
              <w:jc w:val="center"/>
              <w:ind w:left="331"/>
              <w:spacing w:after="0" w:line="169" w:lineRule="exact"/>
              <w:rPr>
                <w:sz w:val="20"/>
                <w:szCs w:val="20"/>
                <w:color w:val="auto"/>
              </w:rPr>
            </w:pPr>
            <w:r>
              <w:rPr>
                <w:rFonts w:ascii="Calibri" w:cs="Calibri" w:eastAsia="Calibri" w:hAnsi="Calibri"/>
                <w:sz w:val="14"/>
                <w:szCs w:val="14"/>
                <w:color w:val="auto"/>
                <w:w w:val="93"/>
              </w:rPr>
              <w:t>-2.7%</w:t>
            </w:r>
          </w:p>
        </w:tc>
        <w:tc>
          <w:tcPr>
            <w:tcW w:w="1640" w:type="dxa"/>
            <w:vAlign w:val="bottom"/>
            <w:tcBorders>
              <w:right w:val="single" w:sz="8" w:color="auto"/>
            </w:tcBorders>
          </w:tcPr>
          <w:p>
            <w:pPr>
              <w:jc w:val="center"/>
              <w:ind w:left="311"/>
              <w:spacing w:after="0" w:line="169" w:lineRule="exact"/>
              <w:rPr>
                <w:sz w:val="20"/>
                <w:szCs w:val="20"/>
                <w:color w:val="auto"/>
              </w:rPr>
            </w:pPr>
            <w:r>
              <w:rPr>
                <w:rFonts w:ascii="Calibri" w:cs="Calibri" w:eastAsia="Calibri" w:hAnsi="Calibri"/>
                <w:sz w:val="14"/>
                <w:szCs w:val="14"/>
                <w:color w:val="auto"/>
                <w:w w:val="97"/>
              </w:rPr>
              <w:t>-23.8%</w:t>
            </w:r>
          </w:p>
        </w:tc>
      </w:tr>
      <w:tr>
        <w:trPr>
          <w:trHeight w:val="180"/>
        </w:trPr>
        <w:tc>
          <w:tcPr>
            <w:tcW w:w="3280" w:type="dxa"/>
            <w:vAlign w:val="bottom"/>
            <w:tcBorders>
              <w:left w:val="single" w:sz="8" w:color="auto"/>
              <w:bottom w:val="single" w:sz="8" w:color="auto"/>
            </w:tcBorders>
            <w:gridSpan w:val="2"/>
          </w:tcPr>
          <w:p>
            <w:pPr>
              <w:ind w:left="20"/>
              <w:spacing w:after="0" w:line="169" w:lineRule="exact"/>
              <w:rPr>
                <w:sz w:val="20"/>
                <w:szCs w:val="20"/>
                <w:color w:val="auto"/>
              </w:rPr>
            </w:pPr>
            <w:r>
              <w:rPr>
                <w:rFonts w:ascii="Calibri" w:cs="Calibri" w:eastAsia="Calibri" w:hAnsi="Calibri"/>
                <w:sz w:val="14"/>
                <w:szCs w:val="14"/>
                <w:color w:val="auto"/>
              </w:rPr>
              <w:t>Non-performing loans (NPLs)</w:t>
            </w: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8,785,896</w:t>
            </w:r>
          </w:p>
        </w:tc>
        <w:tc>
          <w:tcPr>
            <w:tcW w:w="1560" w:type="dxa"/>
            <w:vAlign w:val="bottom"/>
            <w:tcBorders>
              <w:bottom w:val="single" w:sz="8" w:color="auto"/>
            </w:tcBorders>
          </w:tcPr>
          <w:p>
            <w:pPr>
              <w:jc w:val="center"/>
              <w:ind w:right="131"/>
              <w:spacing w:after="0" w:line="169" w:lineRule="exact"/>
              <w:rPr>
                <w:sz w:val="20"/>
                <w:szCs w:val="20"/>
                <w:color w:val="auto"/>
              </w:rPr>
            </w:pPr>
            <w:r>
              <w:rPr>
                <w:rFonts w:ascii="Calibri" w:cs="Calibri" w:eastAsia="Calibri" w:hAnsi="Calibri"/>
                <w:sz w:val="14"/>
                <w:szCs w:val="14"/>
                <w:color w:val="auto"/>
                <w:w w:val="98"/>
              </w:rPr>
              <w:t>7,207,677</w:t>
            </w:r>
          </w:p>
        </w:tc>
        <w:tc>
          <w:tcPr>
            <w:tcW w:w="1220" w:type="dxa"/>
            <w:vAlign w:val="bottom"/>
            <w:tcBorders>
              <w:bottom w:val="single" w:sz="8" w:color="auto"/>
              <w:right w:val="single" w:sz="8" w:color="auto"/>
            </w:tcBorders>
          </w:tcPr>
          <w:p>
            <w:pPr>
              <w:jc w:val="center"/>
              <w:ind w:right="151"/>
              <w:spacing w:after="0" w:line="169" w:lineRule="exact"/>
              <w:rPr>
                <w:sz w:val="20"/>
                <w:szCs w:val="20"/>
                <w:color w:val="auto"/>
              </w:rPr>
            </w:pPr>
            <w:r>
              <w:rPr>
                <w:rFonts w:ascii="Calibri" w:cs="Calibri" w:eastAsia="Calibri" w:hAnsi="Calibri"/>
                <w:sz w:val="14"/>
                <w:szCs w:val="14"/>
                <w:color w:val="auto"/>
                <w:w w:val="98"/>
              </w:rPr>
              <w:t>6,991,921</w:t>
            </w:r>
          </w:p>
        </w:tc>
        <w:tc>
          <w:tcPr>
            <w:tcW w:w="940" w:type="dxa"/>
            <w:vAlign w:val="bottom"/>
            <w:tcBorders>
              <w:bottom w:val="single" w:sz="8" w:color="auto"/>
            </w:tcBorders>
          </w:tcPr>
          <w:p>
            <w:pPr>
              <w:jc w:val="center"/>
              <w:ind w:left="331"/>
              <w:spacing w:after="0" w:line="169" w:lineRule="exact"/>
              <w:rPr>
                <w:sz w:val="20"/>
                <w:szCs w:val="20"/>
                <w:color w:val="auto"/>
              </w:rPr>
            </w:pPr>
            <w:r>
              <w:rPr>
                <w:rFonts w:ascii="Calibri" w:cs="Calibri" w:eastAsia="Calibri" w:hAnsi="Calibri"/>
                <w:sz w:val="14"/>
                <w:szCs w:val="14"/>
                <w:color w:val="auto"/>
                <w:w w:val="93"/>
              </w:rPr>
              <w:t>-3.0%</w:t>
            </w:r>
          </w:p>
        </w:tc>
        <w:tc>
          <w:tcPr>
            <w:tcW w:w="1640" w:type="dxa"/>
            <w:vAlign w:val="bottom"/>
            <w:tcBorders>
              <w:bottom w:val="single" w:sz="8" w:color="auto"/>
              <w:right w:val="single" w:sz="8" w:color="auto"/>
            </w:tcBorders>
          </w:tcPr>
          <w:p>
            <w:pPr>
              <w:jc w:val="center"/>
              <w:ind w:left="311"/>
              <w:spacing w:after="0" w:line="169" w:lineRule="exact"/>
              <w:rPr>
                <w:sz w:val="20"/>
                <w:szCs w:val="20"/>
                <w:color w:val="auto"/>
              </w:rPr>
            </w:pPr>
            <w:r>
              <w:rPr>
                <w:rFonts w:ascii="Calibri" w:cs="Calibri" w:eastAsia="Calibri" w:hAnsi="Calibri"/>
                <w:sz w:val="14"/>
                <w:szCs w:val="14"/>
                <w:color w:val="auto"/>
                <w:w w:val="97"/>
              </w:rPr>
              <w:t>-20.4%</w:t>
            </w:r>
          </w:p>
        </w:tc>
      </w:tr>
      <w:tr>
        <w:trPr>
          <w:trHeight w:val="154"/>
        </w:trPr>
        <w:tc>
          <w:tcPr>
            <w:tcW w:w="3280" w:type="dxa"/>
            <w:vAlign w:val="bottom"/>
            <w:tcBorders>
              <w:left w:val="single" w:sz="8" w:color="auto"/>
            </w:tcBorders>
            <w:gridSpan w:val="2"/>
          </w:tcPr>
          <w:p>
            <w:pPr>
              <w:ind w:left="20"/>
              <w:spacing w:after="0" w:line="154" w:lineRule="exact"/>
              <w:rPr>
                <w:sz w:val="20"/>
                <w:szCs w:val="20"/>
                <w:color w:val="auto"/>
              </w:rPr>
            </w:pPr>
            <w:r>
              <w:rPr>
                <w:rFonts w:ascii="Calibri" w:cs="Calibri" w:eastAsia="Calibri" w:hAnsi="Calibri"/>
                <w:sz w:val="14"/>
                <w:szCs w:val="14"/>
                <w:b w:val="1"/>
                <w:bCs w:val="1"/>
                <w:color w:val="auto"/>
              </w:rPr>
              <w:t>IOL rato</w:t>
            </w:r>
          </w:p>
        </w:tc>
        <w:tc>
          <w:tcPr>
            <w:tcW w:w="1240" w:type="dxa"/>
            <w:vAlign w:val="bottom"/>
            <w:tcBorders>
              <w:right w:val="single" w:sz="8" w:color="auto"/>
            </w:tcBorders>
          </w:tcPr>
          <w:p>
            <w:pPr>
              <w:spacing w:after="0"/>
              <w:rPr>
                <w:sz w:val="13"/>
                <w:szCs w:val="13"/>
                <w:color w:val="auto"/>
              </w:rPr>
            </w:pPr>
          </w:p>
        </w:tc>
        <w:tc>
          <w:tcPr>
            <w:tcW w:w="138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w w:val="99"/>
              </w:rPr>
              <w:t>4.2%</w:t>
            </w:r>
          </w:p>
        </w:tc>
        <w:tc>
          <w:tcPr>
            <w:tcW w:w="1560" w:type="dxa"/>
            <w:vAlign w:val="bottom"/>
          </w:tcPr>
          <w:p>
            <w:pPr>
              <w:jc w:val="center"/>
              <w:ind w:right="131"/>
              <w:spacing w:after="0" w:line="154" w:lineRule="exact"/>
              <w:rPr>
                <w:sz w:val="20"/>
                <w:szCs w:val="20"/>
                <w:color w:val="auto"/>
              </w:rPr>
            </w:pPr>
            <w:r>
              <w:rPr>
                <w:rFonts w:ascii="Calibri" w:cs="Calibri" w:eastAsia="Calibri" w:hAnsi="Calibri"/>
                <w:sz w:val="14"/>
                <w:szCs w:val="14"/>
                <w:b w:val="1"/>
                <w:bCs w:val="1"/>
                <w:color w:val="auto"/>
                <w:w w:val="99"/>
              </w:rPr>
              <w:t>3.7%</w:t>
            </w:r>
          </w:p>
        </w:tc>
        <w:tc>
          <w:tcPr>
            <w:tcW w:w="1220" w:type="dxa"/>
            <w:vAlign w:val="bottom"/>
            <w:tcBorders>
              <w:right w:val="single" w:sz="8" w:color="auto"/>
            </w:tcBorders>
          </w:tcPr>
          <w:p>
            <w:pPr>
              <w:jc w:val="center"/>
              <w:ind w:right="151"/>
              <w:spacing w:after="0" w:line="154" w:lineRule="exact"/>
              <w:rPr>
                <w:sz w:val="20"/>
                <w:szCs w:val="20"/>
                <w:color w:val="auto"/>
              </w:rPr>
            </w:pPr>
            <w:r>
              <w:rPr>
                <w:rFonts w:ascii="Calibri" w:cs="Calibri" w:eastAsia="Calibri" w:hAnsi="Calibri"/>
                <w:sz w:val="14"/>
                <w:szCs w:val="14"/>
                <w:b w:val="1"/>
                <w:bCs w:val="1"/>
                <w:color w:val="auto"/>
                <w:w w:val="99"/>
              </w:rPr>
              <w:t>3.6%</w:t>
            </w:r>
          </w:p>
        </w:tc>
        <w:tc>
          <w:tcPr>
            <w:tcW w:w="940" w:type="dxa"/>
            <w:vAlign w:val="bottom"/>
          </w:tcPr>
          <w:p>
            <w:pPr>
              <w:jc w:val="center"/>
              <w:ind w:left="331"/>
              <w:spacing w:after="0" w:line="154" w:lineRule="exact"/>
              <w:rPr>
                <w:sz w:val="20"/>
                <w:szCs w:val="20"/>
                <w:color w:val="auto"/>
              </w:rPr>
            </w:pPr>
            <w:r>
              <w:rPr>
                <w:rFonts w:ascii="Calibri" w:cs="Calibri" w:eastAsia="Calibri" w:hAnsi="Calibri"/>
                <w:sz w:val="14"/>
                <w:szCs w:val="14"/>
                <w:b w:val="1"/>
                <w:bCs w:val="1"/>
                <w:color w:val="auto"/>
                <w:w w:val="99"/>
              </w:rPr>
              <w:t>-11 bps</w:t>
            </w:r>
          </w:p>
        </w:tc>
        <w:tc>
          <w:tcPr>
            <w:tcW w:w="1640" w:type="dxa"/>
            <w:vAlign w:val="bottom"/>
            <w:tcBorders>
              <w:right w:val="single" w:sz="8" w:color="auto"/>
            </w:tcBorders>
          </w:tcPr>
          <w:p>
            <w:pPr>
              <w:jc w:val="center"/>
              <w:ind w:left="311"/>
              <w:spacing w:after="0" w:line="154" w:lineRule="exact"/>
              <w:rPr>
                <w:sz w:val="20"/>
                <w:szCs w:val="20"/>
                <w:color w:val="auto"/>
              </w:rPr>
            </w:pPr>
            <w:r>
              <w:rPr>
                <w:rFonts w:ascii="Calibri" w:cs="Calibri" w:eastAsia="Calibri" w:hAnsi="Calibri"/>
                <w:sz w:val="14"/>
                <w:szCs w:val="14"/>
                <w:b w:val="1"/>
                <w:bCs w:val="1"/>
                <w:color w:val="auto"/>
                <w:w w:val="99"/>
              </w:rPr>
              <w:t>-66 bps</w:t>
            </w:r>
          </w:p>
        </w:tc>
      </w:tr>
      <w:tr>
        <w:trPr>
          <w:trHeight w:val="166"/>
        </w:trPr>
        <w:tc>
          <w:tcPr>
            <w:tcW w:w="3280" w:type="dxa"/>
            <w:vAlign w:val="bottom"/>
            <w:tcBorders>
              <w:left w:val="single" w:sz="8" w:color="auto"/>
            </w:tcBorders>
            <w:gridSpan w:val="2"/>
          </w:tcPr>
          <w:p>
            <w:pPr>
              <w:ind w:left="20"/>
              <w:spacing w:after="0" w:line="166" w:lineRule="exact"/>
              <w:rPr>
                <w:sz w:val="20"/>
                <w:szCs w:val="20"/>
                <w:color w:val="auto"/>
              </w:rPr>
            </w:pPr>
            <w:r>
              <w:rPr>
                <w:rFonts w:ascii="Calibri" w:cs="Calibri" w:eastAsia="Calibri" w:hAnsi="Calibri"/>
                <w:sz w:val="14"/>
                <w:szCs w:val="14"/>
                <w:b w:val="1"/>
                <w:bCs w:val="1"/>
                <w:color w:val="auto"/>
              </w:rPr>
              <w:t>IOL over 90-days rato</w:t>
            </w:r>
          </w:p>
        </w:tc>
        <w:tc>
          <w:tcPr>
            <w:tcW w:w="1240" w:type="dxa"/>
            <w:vAlign w:val="bottom"/>
            <w:tcBorders>
              <w:right w:val="single" w:sz="8" w:color="auto"/>
            </w:tcBorders>
          </w:tcPr>
          <w:p>
            <w:pPr>
              <w:spacing w:after="0"/>
              <w:rPr>
                <w:sz w:val="14"/>
                <w:szCs w:val="14"/>
                <w:color w:val="auto"/>
              </w:rPr>
            </w:pPr>
          </w:p>
        </w:tc>
        <w:tc>
          <w:tcPr>
            <w:tcW w:w="13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3.2%</w:t>
            </w:r>
          </w:p>
        </w:tc>
        <w:tc>
          <w:tcPr>
            <w:tcW w:w="1560" w:type="dxa"/>
            <w:vAlign w:val="bottom"/>
          </w:tcPr>
          <w:p>
            <w:pPr>
              <w:jc w:val="center"/>
              <w:ind w:right="131"/>
              <w:spacing w:after="0" w:line="166" w:lineRule="exact"/>
              <w:rPr>
                <w:sz w:val="20"/>
                <w:szCs w:val="20"/>
                <w:color w:val="auto"/>
              </w:rPr>
            </w:pPr>
            <w:r>
              <w:rPr>
                <w:rFonts w:ascii="Calibri" w:cs="Calibri" w:eastAsia="Calibri" w:hAnsi="Calibri"/>
                <w:sz w:val="14"/>
                <w:szCs w:val="14"/>
                <w:b w:val="1"/>
                <w:bCs w:val="1"/>
                <w:color w:val="auto"/>
                <w:w w:val="99"/>
              </w:rPr>
              <w:t>3.0%</w:t>
            </w:r>
          </w:p>
        </w:tc>
        <w:tc>
          <w:tcPr>
            <w:tcW w:w="1220" w:type="dxa"/>
            <w:vAlign w:val="bottom"/>
            <w:tcBorders>
              <w:right w:val="single" w:sz="8" w:color="auto"/>
            </w:tcBorders>
          </w:tcPr>
          <w:p>
            <w:pPr>
              <w:jc w:val="center"/>
              <w:ind w:right="151"/>
              <w:spacing w:after="0" w:line="166" w:lineRule="exact"/>
              <w:rPr>
                <w:sz w:val="20"/>
                <w:szCs w:val="20"/>
                <w:color w:val="auto"/>
              </w:rPr>
            </w:pPr>
            <w:r>
              <w:rPr>
                <w:rFonts w:ascii="Calibri" w:cs="Calibri" w:eastAsia="Calibri" w:hAnsi="Calibri"/>
                <w:sz w:val="14"/>
                <w:szCs w:val="14"/>
                <w:b w:val="1"/>
                <w:bCs w:val="1"/>
                <w:color w:val="auto"/>
                <w:w w:val="99"/>
              </w:rPr>
              <w:t>3.0%</w:t>
            </w:r>
          </w:p>
        </w:tc>
        <w:tc>
          <w:tcPr>
            <w:tcW w:w="940" w:type="dxa"/>
            <w:vAlign w:val="bottom"/>
          </w:tcPr>
          <w:p>
            <w:pPr>
              <w:jc w:val="center"/>
              <w:ind w:left="331"/>
              <w:spacing w:after="0" w:line="166" w:lineRule="exact"/>
              <w:rPr>
                <w:sz w:val="20"/>
                <w:szCs w:val="20"/>
                <w:color w:val="auto"/>
              </w:rPr>
            </w:pPr>
            <w:r>
              <w:rPr>
                <w:rFonts w:ascii="Calibri" w:cs="Calibri" w:eastAsia="Calibri" w:hAnsi="Calibri"/>
                <w:sz w:val="14"/>
                <w:szCs w:val="14"/>
                <w:b w:val="1"/>
                <w:bCs w:val="1"/>
                <w:color w:val="auto"/>
                <w:w w:val="96"/>
              </w:rPr>
              <w:t>-4 bps</w:t>
            </w:r>
          </w:p>
        </w:tc>
        <w:tc>
          <w:tcPr>
            <w:tcW w:w="1640" w:type="dxa"/>
            <w:vAlign w:val="bottom"/>
            <w:tcBorders>
              <w:right w:val="single" w:sz="8" w:color="auto"/>
            </w:tcBorders>
          </w:tcPr>
          <w:p>
            <w:pPr>
              <w:jc w:val="center"/>
              <w:ind w:left="311"/>
              <w:spacing w:after="0" w:line="166" w:lineRule="exact"/>
              <w:rPr>
                <w:sz w:val="20"/>
                <w:szCs w:val="20"/>
                <w:color w:val="auto"/>
              </w:rPr>
            </w:pPr>
            <w:r>
              <w:rPr>
                <w:rFonts w:ascii="Calibri" w:cs="Calibri" w:eastAsia="Calibri" w:hAnsi="Calibri"/>
                <w:sz w:val="14"/>
                <w:szCs w:val="14"/>
                <w:b w:val="1"/>
                <w:bCs w:val="1"/>
                <w:color w:val="auto"/>
                <w:w w:val="99"/>
              </w:rPr>
              <w:t>-28 bps</w:t>
            </w:r>
          </w:p>
        </w:tc>
      </w:tr>
      <w:tr>
        <w:trPr>
          <w:trHeight w:val="180"/>
        </w:trPr>
        <w:tc>
          <w:tcPr>
            <w:tcW w:w="3280" w:type="dxa"/>
            <w:vAlign w:val="bottom"/>
            <w:tcBorders>
              <w:left w:val="single" w:sz="8" w:color="auto"/>
              <w:bottom w:val="single" w:sz="8" w:color="auto"/>
            </w:tcBorders>
            <w:gridSpan w:val="2"/>
          </w:tcPr>
          <w:p>
            <w:pPr>
              <w:ind w:left="20"/>
              <w:spacing w:after="0" w:line="169" w:lineRule="exact"/>
              <w:rPr>
                <w:sz w:val="20"/>
                <w:szCs w:val="20"/>
                <w:color w:val="auto"/>
              </w:rPr>
            </w:pPr>
            <w:r>
              <w:rPr>
                <w:rFonts w:ascii="Calibri" w:cs="Calibri" w:eastAsia="Calibri" w:hAnsi="Calibri"/>
                <w:sz w:val="14"/>
                <w:szCs w:val="14"/>
                <w:b w:val="1"/>
                <w:bCs w:val="1"/>
                <w:color w:val="auto"/>
              </w:rPr>
              <w:t>NPL rato</w:t>
            </w: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9"/>
              </w:rPr>
              <w:t>6.0%</w:t>
            </w:r>
          </w:p>
        </w:tc>
        <w:tc>
          <w:tcPr>
            <w:tcW w:w="1560" w:type="dxa"/>
            <w:vAlign w:val="bottom"/>
            <w:tcBorders>
              <w:bottom w:val="single" w:sz="8" w:color="auto"/>
            </w:tcBorders>
          </w:tcPr>
          <w:p>
            <w:pPr>
              <w:jc w:val="center"/>
              <w:ind w:right="131"/>
              <w:spacing w:after="0" w:line="169" w:lineRule="exact"/>
              <w:rPr>
                <w:sz w:val="20"/>
                <w:szCs w:val="20"/>
                <w:color w:val="auto"/>
              </w:rPr>
            </w:pPr>
            <w:r>
              <w:rPr>
                <w:rFonts w:ascii="Calibri" w:cs="Calibri" w:eastAsia="Calibri" w:hAnsi="Calibri"/>
                <w:sz w:val="14"/>
                <w:szCs w:val="14"/>
                <w:b w:val="1"/>
                <w:bCs w:val="1"/>
                <w:color w:val="auto"/>
                <w:w w:val="99"/>
              </w:rPr>
              <w:t>5.1%</w:t>
            </w:r>
          </w:p>
        </w:tc>
        <w:tc>
          <w:tcPr>
            <w:tcW w:w="1220" w:type="dxa"/>
            <w:vAlign w:val="bottom"/>
            <w:tcBorders>
              <w:bottom w:val="single" w:sz="8" w:color="auto"/>
              <w:right w:val="single" w:sz="8" w:color="auto"/>
            </w:tcBorders>
          </w:tcPr>
          <w:p>
            <w:pPr>
              <w:jc w:val="center"/>
              <w:ind w:right="151"/>
              <w:spacing w:after="0" w:line="169" w:lineRule="exact"/>
              <w:rPr>
                <w:sz w:val="20"/>
                <w:szCs w:val="20"/>
                <w:color w:val="auto"/>
              </w:rPr>
            </w:pPr>
            <w:r>
              <w:rPr>
                <w:rFonts w:ascii="Calibri" w:cs="Calibri" w:eastAsia="Calibri" w:hAnsi="Calibri"/>
                <w:sz w:val="14"/>
                <w:szCs w:val="14"/>
                <w:b w:val="1"/>
                <w:bCs w:val="1"/>
                <w:color w:val="auto"/>
                <w:w w:val="99"/>
              </w:rPr>
              <w:t>5.0%</w:t>
            </w:r>
          </w:p>
        </w:tc>
        <w:tc>
          <w:tcPr>
            <w:tcW w:w="940" w:type="dxa"/>
            <w:vAlign w:val="bottom"/>
            <w:tcBorders>
              <w:bottom w:val="single" w:sz="8" w:color="auto"/>
            </w:tcBorders>
          </w:tcPr>
          <w:p>
            <w:pPr>
              <w:jc w:val="center"/>
              <w:ind w:left="331"/>
              <w:spacing w:after="0" w:line="169" w:lineRule="exact"/>
              <w:rPr>
                <w:sz w:val="20"/>
                <w:szCs w:val="20"/>
                <w:color w:val="auto"/>
              </w:rPr>
            </w:pPr>
            <w:r>
              <w:rPr>
                <w:rFonts w:ascii="Calibri" w:cs="Calibri" w:eastAsia="Calibri" w:hAnsi="Calibri"/>
                <w:sz w:val="14"/>
                <w:szCs w:val="14"/>
                <w:b w:val="1"/>
                <w:bCs w:val="1"/>
                <w:color w:val="auto"/>
                <w:w w:val="99"/>
              </w:rPr>
              <w:t>-14 bps</w:t>
            </w:r>
          </w:p>
        </w:tc>
        <w:tc>
          <w:tcPr>
            <w:tcW w:w="1640" w:type="dxa"/>
            <w:vAlign w:val="bottom"/>
            <w:tcBorders>
              <w:bottom w:val="single" w:sz="8" w:color="auto"/>
              <w:right w:val="single" w:sz="8" w:color="auto"/>
            </w:tcBorders>
          </w:tcPr>
          <w:p>
            <w:pPr>
              <w:jc w:val="center"/>
              <w:ind w:left="311"/>
              <w:spacing w:after="0" w:line="169" w:lineRule="exact"/>
              <w:rPr>
                <w:sz w:val="20"/>
                <w:szCs w:val="20"/>
                <w:color w:val="auto"/>
              </w:rPr>
            </w:pPr>
            <w:r>
              <w:rPr>
                <w:rFonts w:ascii="Calibri" w:cs="Calibri" w:eastAsia="Calibri" w:hAnsi="Calibri"/>
                <w:sz w:val="14"/>
                <w:szCs w:val="14"/>
                <w:b w:val="1"/>
                <w:bCs w:val="1"/>
                <w:color w:val="auto"/>
              </w:rPr>
              <w:t>-102 bps</w:t>
            </w:r>
          </w:p>
        </w:tc>
      </w:tr>
    </w:tbl>
    <w:p>
      <w:pPr>
        <w:spacing w:after="0" w:line="174"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 NPLs dropped 3.0%, led primarily by</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and secondarily by</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Write-ofs declined 18.9%, mainly on the back of an uptck in the share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new vintages with lower risk levels within the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portolio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at </w:t>
      </w:r>
      <w:r>
        <w:rPr>
          <w:rFonts w:ascii="Calibri" w:cs="Calibri" w:eastAsia="Calibri" w:hAnsi="Calibri"/>
          <w:sz w:val="17"/>
          <w:szCs w:val="17"/>
          <w:b w:val="1"/>
          <w:bCs w:val="1"/>
          <w:color w:val="auto"/>
        </w:rPr>
        <w:t>Mibanco.</w:t>
      </w:r>
    </w:p>
    <w:p>
      <w:pPr>
        <w:spacing w:after="0" w:line="211" w:lineRule="exact"/>
        <w:rPr>
          <w:sz w:val="20"/>
          <w:szCs w:val="20"/>
          <w:color w:val="auto"/>
        </w:rPr>
      </w:pPr>
    </w:p>
    <w:p>
      <w:pPr>
        <w:jc w:val="both"/>
        <w:spacing w:after="0"/>
        <w:rPr>
          <w:sz w:val="20"/>
          <w:szCs w:val="20"/>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the reducton in NPLs was mainly driven by</w:t>
      </w:r>
      <w:r>
        <w:rPr>
          <w:rFonts w:ascii="Calibri" w:cs="Calibri" w:eastAsia="Calibri" w:hAnsi="Calibri"/>
          <w:sz w:val="17"/>
          <w:szCs w:val="17"/>
          <w:b w:val="1"/>
          <w:bCs w:val="1"/>
          <w:color w:val="auto"/>
        </w:rPr>
        <w:t xml:space="preserve"> Wholesale</w:t>
      </w:r>
      <w:r>
        <w:rPr>
          <w:rFonts w:ascii="Calibri" w:cs="Calibri" w:eastAsia="Calibri" w:hAnsi="Calibri"/>
          <w:sz w:val="17"/>
          <w:szCs w:val="17"/>
          <w:color w:val="auto"/>
        </w:rPr>
        <w:t>, which refected debt payment by an overdue client in the commercial real estate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sector. In </w:t>
      </w:r>
      <w:r>
        <w:rPr>
          <w:rFonts w:ascii="Calibri" w:cs="Calibri" w:eastAsia="Calibri" w:hAnsi="Calibri"/>
          <w:sz w:val="17"/>
          <w:szCs w:val="17"/>
          <w:b w:val="1"/>
          <w:bCs w:val="1"/>
          <w:color w:val="auto"/>
        </w:rPr>
        <w:t>Retail Banking,</w:t>
      </w:r>
      <w:r>
        <w:rPr>
          <w:rFonts w:ascii="Calibri" w:cs="Calibri" w:eastAsia="Calibri" w:hAnsi="Calibri"/>
          <w:sz w:val="17"/>
          <w:szCs w:val="17"/>
          <w:color w:val="auto"/>
        </w:rPr>
        <w:t xml:space="preserve"> NPL volumes remained relatvely stable both in </w:t>
      </w:r>
      <w:r>
        <w:rPr>
          <w:rFonts w:ascii="Calibri" w:cs="Calibri" w:eastAsia="Calibri" w:hAnsi="Calibri"/>
          <w:sz w:val="17"/>
          <w:szCs w:val="17"/>
          <w:b w:val="1"/>
          <w:bCs w:val="1"/>
          <w:color w:val="auto"/>
        </w:rPr>
        <w:t>Individuals</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SMEs</w:t>
      </w:r>
      <w:r>
        <w:rPr>
          <w:rFonts w:ascii="Calibri" w:cs="Calibri" w:eastAsia="Calibri" w:hAnsi="Calibri"/>
          <w:sz w:val="17"/>
          <w:szCs w:val="17"/>
          <w:color w:val="auto"/>
        </w:rPr>
        <w:t xml:space="preserve">.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the decline in NPLs was fueled by a reducton in overdue loans, which fell on the back of eforts insttuted last year to tghten originaton guidelines and improve debt collectons management. Thanks to these measures, 70% of the loan portolio is currently comprised of new, healthier loans that were issued under these policies.</w:t>
      </w:r>
    </w:p>
    <w:p>
      <w:pPr>
        <w:spacing w:after="0" w:line="198" w:lineRule="exact"/>
        <w:rPr>
          <w:sz w:val="20"/>
          <w:szCs w:val="20"/>
          <w:color w:val="auto"/>
        </w:rPr>
      </w:pPr>
    </w:p>
    <w:p>
      <w:pPr>
        <w:jc w:val="both"/>
        <w:spacing w:after="0"/>
        <w:rPr>
          <w:sz w:val="20"/>
          <w:szCs w:val="20"/>
          <w:color w:val="auto"/>
        </w:rPr>
      </w:pPr>
      <w:r>
        <w:rPr>
          <w:rFonts w:ascii="Calibri" w:cs="Calibri" w:eastAsia="Calibri" w:hAnsi="Calibri"/>
          <w:sz w:val="17"/>
          <w:szCs w:val="17"/>
          <w:b w:val="1"/>
          <w:bCs w:val="1"/>
          <w:color w:val="auto"/>
        </w:rPr>
        <w:t>YoY</w:t>
      </w:r>
      <w:r>
        <w:rPr>
          <w:rFonts w:ascii="Calibri" w:cs="Calibri" w:eastAsia="Calibri" w:hAnsi="Calibri"/>
          <w:sz w:val="17"/>
          <w:szCs w:val="17"/>
          <w:color w:val="auto"/>
        </w:rPr>
        <w:t>, NPLs dropped 20.4%, led primarily by</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and secondarily by</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The decline in write-ofs (-41.5%) was driven by the same dynamics 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those seen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and by an improvement in the quality of loan originaton in the </w:t>
      </w:r>
      <w:r>
        <w:rPr>
          <w:rFonts w:ascii="Calibri" w:cs="Calibri" w:eastAsia="Calibri" w:hAnsi="Calibri"/>
          <w:sz w:val="17"/>
          <w:szCs w:val="17"/>
          <w:b w:val="1"/>
          <w:bCs w:val="1"/>
          <w:color w:val="auto"/>
        </w:rPr>
        <w:t>Individuals</w:t>
      </w:r>
      <w:r>
        <w:rPr>
          <w:rFonts w:ascii="Calibri" w:cs="Calibri" w:eastAsia="Calibri" w:hAnsi="Calibri"/>
          <w:sz w:val="17"/>
          <w:szCs w:val="17"/>
          <w:color w:val="auto"/>
        </w:rPr>
        <w:t xml:space="preserve"> segment. </w:t>
      </w:r>
      <w:r>
        <w:rPr>
          <w:rFonts w:ascii="Calibri" w:cs="Calibri" w:eastAsia="Calibri" w:hAnsi="Calibri"/>
          <w:sz w:val="17"/>
          <w:szCs w:val="17"/>
          <w:b w:val="1"/>
          <w:bCs w:val="1"/>
          <w:color w:val="auto"/>
        </w:rPr>
        <w:t>YoY</w:t>
      </w:r>
      <w:r>
        <w:rPr>
          <w:rFonts w:ascii="Calibri" w:cs="Calibri" w:eastAsia="Calibri" w:hAnsi="Calibri"/>
          <w:sz w:val="17"/>
          <w:szCs w:val="17"/>
          <w:color w:val="auto"/>
        </w:rPr>
        <w:t xml:space="preserve">,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the reducton in NPLs was fueled mainly by </w:t>
      </w:r>
      <w:r>
        <w:rPr>
          <w:rFonts w:ascii="Calibri" w:cs="Calibri" w:eastAsia="Calibri" w:hAnsi="Calibri"/>
          <w:sz w:val="17"/>
          <w:szCs w:val="17"/>
          <w:b w:val="1"/>
          <w:bCs w:val="1"/>
          <w:color w:val="auto"/>
        </w:rPr>
        <w:t>Wholesale</w:t>
      </w:r>
      <w:r>
        <w:rPr>
          <w:rFonts w:ascii="Calibri" w:cs="Calibri" w:eastAsia="Calibri" w:hAnsi="Calibri"/>
          <w:sz w:val="17"/>
          <w:szCs w:val="17"/>
          <w:color w:val="auto"/>
        </w:rPr>
        <w:t xml:space="preserve"> and secondarily by </w:t>
      </w:r>
      <w:r>
        <w:rPr>
          <w:rFonts w:ascii="Calibri" w:cs="Calibri" w:eastAsia="Calibri" w:hAnsi="Calibri"/>
          <w:sz w:val="17"/>
          <w:szCs w:val="17"/>
          <w:b w:val="1"/>
          <w:bCs w:val="1"/>
          <w:color w:val="auto"/>
        </w:rPr>
        <w:t>Retail Banking</w:t>
      </w:r>
      <w:r>
        <w:rPr>
          <w:rFonts w:ascii="Calibri" w:cs="Calibri" w:eastAsia="Calibri" w:hAnsi="Calibri"/>
          <w:sz w:val="17"/>
          <w:szCs w:val="17"/>
          <w:color w:val="auto"/>
        </w:rPr>
        <w:t xml:space="preserve">. In </w:t>
      </w:r>
      <w:r>
        <w:rPr>
          <w:rFonts w:ascii="Calibri" w:cs="Calibri" w:eastAsia="Calibri" w:hAnsi="Calibri"/>
          <w:sz w:val="17"/>
          <w:szCs w:val="17"/>
          <w:b w:val="1"/>
          <w:bCs w:val="1"/>
          <w:color w:val="auto"/>
        </w:rPr>
        <w:t>Wholesale,</w:t>
      </w:r>
      <w:r>
        <w:rPr>
          <w:rFonts w:ascii="Calibri" w:cs="Calibri" w:eastAsia="Calibri" w:hAnsi="Calibri"/>
          <w:sz w:val="17"/>
          <w:szCs w:val="17"/>
          <w:color w:val="auto"/>
        </w:rPr>
        <w:t xml:space="preserve"> the reducton in NPLs was driven primarily due to debt cancellaton by a refnanced client in the commercial real estate sector; while in </w:t>
      </w:r>
      <w:r>
        <w:rPr>
          <w:rFonts w:ascii="Calibri" w:cs="Calibri" w:eastAsia="Calibri" w:hAnsi="Calibri"/>
          <w:sz w:val="17"/>
          <w:szCs w:val="17"/>
          <w:b w:val="1"/>
          <w:bCs w:val="1"/>
          <w:color w:val="auto"/>
        </w:rPr>
        <w:t>Retail Banking</w:t>
      </w:r>
      <w:r>
        <w:rPr>
          <w:rFonts w:ascii="Calibri" w:cs="Calibri" w:eastAsia="Calibri" w:hAnsi="Calibri"/>
          <w:sz w:val="17"/>
          <w:szCs w:val="17"/>
          <w:color w:val="auto"/>
        </w:rPr>
        <w:t xml:space="preserve">, it was fueled mainly by (i)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due primarily to drop in overdue loans, which was mainly concentrated in medium-sized, lower-risk tckets (&gt; S/ 150 thousand) and secondarily by an uptck in honoring of loan guarantees under Reactva; and (ii) </w:t>
      </w:r>
      <w:r>
        <w:rPr>
          <w:rFonts w:ascii="Calibri" w:cs="Calibri" w:eastAsia="Calibri" w:hAnsi="Calibri"/>
          <w:sz w:val="17"/>
          <w:szCs w:val="17"/>
          <w:b w:val="1"/>
          <w:bCs w:val="1"/>
          <w:color w:val="auto"/>
        </w:rPr>
        <w:t>Consumer</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and Credit Cards</w:t>
      </w:r>
      <w:r>
        <w:rPr>
          <w:rFonts w:ascii="Calibri" w:cs="Calibri" w:eastAsia="Calibri" w:hAnsi="Calibri"/>
          <w:sz w:val="17"/>
          <w:szCs w:val="17"/>
          <w:color w:val="auto"/>
        </w:rPr>
        <w:t>, driven mainly by an uptck in debt cancellatons amid a high-liquidity context following pension fund withdrawals in the last half of 2024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secondarily by an improvement in the quality of loan originaton and debt collectons management.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the drop in NPLs was atributable to the same dynamics in play </w:t>
      </w:r>
      <w:r>
        <w:rPr>
          <w:rFonts w:ascii="Calibri" w:cs="Calibri" w:eastAsia="Calibri" w:hAnsi="Calibri"/>
          <w:sz w:val="17"/>
          <w:szCs w:val="17"/>
          <w:b w:val="1"/>
          <w:bCs w:val="1"/>
          <w:color w:val="auto"/>
        </w:rPr>
        <w:t>QoQ</w:t>
      </w: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867410</wp:posOffset>
            </wp:positionV>
            <wp:extent cx="713740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140335</wp:posOffset>
            </wp:positionV>
            <wp:extent cx="6501130" cy="586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01130" cy="58674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9" w:name="page30"/>
    <w:bookmarkEnd w:id="29"/>
    <w:p>
      <w:pPr>
        <w:ind w:left="2500"/>
        <w:spacing w:after="0"/>
        <w:tabs>
          <w:tab w:leader="none" w:pos="2920" w:val="left"/>
          <w:tab w:leader="none" w:pos="760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285115</wp:posOffset>
            </wp:positionV>
            <wp:extent cx="7137400" cy="2311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FFFFFF"/>
        </w:rPr>
        <w:t>05. Portolio Quality and Provisions</w:t>
      </w:r>
    </w:p>
    <w:p>
      <w:pPr>
        <w:spacing w:after="0" w:line="251" w:lineRule="exact"/>
        <w:rPr>
          <w:sz w:val="20"/>
          <w:szCs w:val="20"/>
          <w:color w:val="auto"/>
        </w:rPr>
      </w:pPr>
    </w:p>
    <w:p>
      <w:pPr>
        <w:ind w:left="2260"/>
        <w:spacing w:after="0"/>
        <w:rPr>
          <w:sz w:val="20"/>
          <w:szCs w:val="20"/>
          <w:color w:val="auto"/>
        </w:rPr>
      </w:pPr>
      <w:r>
        <w:rPr>
          <w:rFonts w:ascii="Calibri" w:cs="Calibri" w:eastAsia="Calibri" w:hAnsi="Calibri"/>
          <w:sz w:val="17"/>
          <w:szCs w:val="17"/>
          <w:b w:val="1"/>
          <w:bCs w:val="1"/>
          <w:color w:val="auto"/>
        </w:rPr>
        <w:t>NPL Rato for Total Loans</w:t>
      </w:r>
    </w:p>
    <w:p>
      <w:pPr>
        <w:spacing w:after="0" w:line="197" w:lineRule="exact"/>
        <w:rPr>
          <w:sz w:val="20"/>
          <w:szCs w:val="20"/>
          <w:color w:val="auto"/>
        </w:rPr>
      </w:pPr>
    </w:p>
    <w:p>
      <w:pPr>
        <w:jc w:val="both"/>
        <w:ind w:left="5760" w:right="140"/>
        <w:spacing w:after="0" w:line="239" w:lineRule="auto"/>
        <w:rPr>
          <w:sz w:val="20"/>
          <w:szCs w:val="20"/>
          <w:color w:val="auto"/>
        </w:rPr>
      </w:pPr>
      <w:r>
        <w:rPr>
          <w:rFonts w:ascii="Calibri" w:cs="Calibri" w:eastAsia="Calibri" w:hAnsi="Calibri"/>
          <w:sz w:val="17"/>
          <w:szCs w:val="17"/>
          <w:color w:val="auto"/>
        </w:rPr>
        <w:t xml:space="preserve">The NPL rato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fell 14 bps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to stand at 5.0%. This decline was driven mainly by the same dynamics that fueled the evoluton of NPLs in the </w:t>
      </w:r>
      <w:r>
        <w:rPr>
          <w:rFonts w:ascii="Calibri" w:cs="Calibri" w:eastAsia="Calibri" w:hAnsi="Calibri"/>
          <w:sz w:val="17"/>
          <w:szCs w:val="17"/>
          <w:b w:val="1"/>
          <w:bCs w:val="1"/>
          <w:color w:val="auto"/>
        </w:rPr>
        <w:t xml:space="preserve">QoQ </w:t>
      </w:r>
      <w:r>
        <w:rPr>
          <w:rFonts w:ascii="Calibri" w:cs="Calibri" w:eastAsia="Calibri" w:hAnsi="Calibri"/>
          <w:sz w:val="17"/>
          <w:szCs w:val="17"/>
          <w:color w:val="auto"/>
        </w:rPr>
        <w:t>analysis and partally ofset by a reducton in the loan portolio.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-379730</wp:posOffset>
            </wp:positionV>
            <wp:extent cx="2750820" cy="15284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50820" cy="1528445"/>
                    </a:xfrm>
                    <a:prstGeom prst="rect">
                      <a:avLst/>
                    </a:prstGeom>
                    <a:noFill/>
                  </pic:spPr>
                </pic:pic>
              </a:graphicData>
            </a:graphic>
          </wp:anchor>
        </w:drawing>
      </w:r>
    </w:p>
    <w:p>
      <w:pPr>
        <w:spacing w:after="0" w:line="217" w:lineRule="exact"/>
        <w:rPr>
          <w:sz w:val="20"/>
          <w:szCs w:val="20"/>
          <w:color w:val="auto"/>
        </w:rPr>
      </w:pPr>
    </w:p>
    <w:p>
      <w:pPr>
        <w:ind w:left="5760"/>
        <w:spacing w:after="0"/>
        <w:rPr>
          <w:sz w:val="20"/>
          <w:szCs w:val="20"/>
          <w:color w:val="auto"/>
        </w:rPr>
      </w:pPr>
      <w:r>
        <w:rPr>
          <w:rFonts w:ascii="Calibri" w:cs="Calibri" w:eastAsia="Calibri" w:hAnsi="Calibri"/>
          <w:sz w:val="17"/>
          <w:szCs w:val="17"/>
          <w:b w:val="1"/>
          <w:bCs w:val="1"/>
          <w:color w:val="auto"/>
        </w:rPr>
        <w:t>If we analyze the QoQ evoluton of the NPL rato by Subsidiary, we see:</w:t>
      </w:r>
    </w:p>
    <w:p>
      <w:pPr>
        <w:spacing w:after="0" w:line="210" w:lineRule="exact"/>
        <w:rPr>
          <w:sz w:val="20"/>
          <w:szCs w:val="20"/>
          <w:color w:val="auto"/>
        </w:rPr>
      </w:pPr>
    </w:p>
    <w:p>
      <w:pPr>
        <w:jc w:val="both"/>
        <w:ind w:left="5760"/>
        <w:spacing w:after="0"/>
        <w:rPr>
          <w:sz w:val="20"/>
          <w:szCs w:val="20"/>
          <w:color w:val="auto"/>
        </w:rPr>
      </w:pP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where the NPL rato dropped 17 bps. In the case of </w:t>
      </w:r>
      <w:r>
        <w:rPr>
          <w:rFonts w:ascii="Calibri" w:cs="Calibri" w:eastAsia="Calibri" w:hAnsi="Calibri"/>
          <w:sz w:val="17"/>
          <w:szCs w:val="17"/>
          <w:b w:val="1"/>
          <w:bCs w:val="1"/>
          <w:color w:val="auto"/>
        </w:rPr>
        <w:t xml:space="preserve">Wholesale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SME-Business</w:t>
      </w:r>
      <w:r>
        <w:rPr>
          <w:rFonts w:ascii="Calibri" w:cs="Calibri" w:eastAsia="Calibri" w:hAnsi="Calibri"/>
          <w:sz w:val="17"/>
          <w:szCs w:val="17"/>
          <w:color w:val="auto"/>
        </w:rPr>
        <w:t>, the reducton was fueled mainly by a decline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NPL volumes. In the case of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Individuals</w:t>
      </w:r>
      <w:r>
        <w:rPr>
          <w:rFonts w:ascii="Calibri" w:cs="Calibri" w:eastAsia="Calibri" w:hAnsi="Calibri"/>
          <w:sz w:val="17"/>
          <w:szCs w:val="17"/>
          <w:color w:val="auto"/>
        </w:rPr>
        <w:t>, the decline was spurred mainly by loan growth.</w:t>
      </w:r>
    </w:p>
    <w:p>
      <w:pPr>
        <w:spacing w:after="0" w:line="200" w:lineRule="exact"/>
        <w:rPr>
          <w:sz w:val="20"/>
          <w:szCs w:val="20"/>
          <w:color w:val="auto"/>
        </w:rPr>
      </w:pPr>
    </w:p>
    <w:p>
      <w:pPr>
        <w:spacing w:after="0" w:line="360" w:lineRule="exact"/>
        <w:rPr>
          <w:sz w:val="20"/>
          <w:szCs w:val="20"/>
          <w:color w:val="auto"/>
        </w:rPr>
      </w:pPr>
    </w:p>
    <w:p>
      <w:pPr>
        <w:ind w:left="620" w:hanging="384"/>
        <w:spacing w:after="0"/>
        <w:tabs>
          <w:tab w:leader="none" w:pos="620" w:val="left"/>
        </w:tabs>
        <w:numPr>
          <w:ilvl w:val="0"/>
          <w:numId w:val="26"/>
        </w:numPr>
        <w:rPr>
          <w:rFonts w:ascii="Calibri" w:cs="Calibri" w:eastAsia="Calibri" w:hAnsi="Calibri"/>
          <w:sz w:val="17"/>
          <w:szCs w:val="17"/>
          <w:color w:val="auto"/>
        </w:rPr>
      </w:pPr>
      <w:r>
        <w:rPr>
          <w:rFonts w:ascii="Calibri" w:cs="Calibri" w:eastAsia="Calibri" w:hAnsi="Calibri"/>
          <w:sz w:val="17"/>
          <w:szCs w:val="17"/>
          <w:b w:val="1"/>
          <w:bCs w:val="1"/>
          <w:color w:val="auto"/>
        </w:rPr>
        <w:t>Mibanco</w:t>
      </w:r>
      <w:r>
        <w:rPr>
          <w:rFonts w:ascii="Calibri" w:cs="Calibri" w:eastAsia="Calibri" w:hAnsi="Calibri"/>
          <w:sz w:val="17"/>
          <w:szCs w:val="17"/>
          <w:color w:val="auto"/>
        </w:rPr>
        <w:t>, where the NPL rato fell 32 bps, driven mainly by a drop in NPL loan volumes and secondarily by loan growth.</w:t>
      </w:r>
    </w:p>
    <w:p>
      <w:pPr>
        <w:spacing w:after="0" w:line="192" w:lineRule="exact"/>
        <w:rPr>
          <w:rFonts w:ascii="Calibri" w:cs="Calibri" w:eastAsia="Calibri" w:hAnsi="Calibri"/>
          <w:sz w:val="17"/>
          <w:szCs w:val="17"/>
          <w:color w:val="auto"/>
        </w:rPr>
      </w:pPr>
    </w:p>
    <w:p>
      <w:pPr>
        <w:ind w:left="2260"/>
        <w:spacing w:after="0"/>
        <w:rPr>
          <w:rFonts w:ascii="Calibri" w:cs="Calibri" w:eastAsia="Calibri" w:hAnsi="Calibri"/>
          <w:sz w:val="17"/>
          <w:szCs w:val="17"/>
          <w:color w:val="auto"/>
        </w:rPr>
      </w:pPr>
      <w:r>
        <w:rPr>
          <w:rFonts w:ascii="Calibri" w:cs="Calibri" w:eastAsia="Calibri" w:hAnsi="Calibri"/>
          <w:sz w:val="17"/>
          <w:szCs w:val="17"/>
          <w:b w:val="1"/>
          <w:bCs w:val="1"/>
          <w:color w:val="auto"/>
        </w:rPr>
        <w:t xml:space="preserve">NPL Rato for Total Loans at BCP </w:t>
      </w:r>
      <w:r>
        <w:rPr>
          <w:rFonts w:ascii="Calibri" w:cs="Calibri" w:eastAsia="Calibri" w:hAnsi="Calibri"/>
          <w:sz w:val="28"/>
          <w:szCs w:val="28"/>
          <w:b w:val="1"/>
          <w:bCs w:val="1"/>
          <w:color w:val="auto"/>
          <w:vertAlign w:val="superscript"/>
        </w:rPr>
        <w:t>(1)</w:t>
      </w:r>
    </w:p>
    <w:p>
      <w:pPr>
        <w:spacing w:after="0" w:line="262" w:lineRule="exact"/>
        <w:rPr>
          <w:sz w:val="20"/>
          <w:szCs w:val="20"/>
          <w:color w:val="auto"/>
        </w:rPr>
      </w:pPr>
    </w:p>
    <w:p>
      <w:pPr>
        <w:jc w:val="both"/>
        <w:ind w:left="5760"/>
        <w:spacing w:after="0" w:line="239" w:lineRule="auto"/>
        <w:rPr>
          <w:sz w:val="20"/>
          <w:szCs w:val="20"/>
          <w:color w:val="auto"/>
        </w:rPr>
      </w:pPr>
      <w:r>
        <w:rPr>
          <w:rFonts w:ascii="Calibri" w:cs="Calibri" w:eastAsia="Calibri" w:hAnsi="Calibri"/>
          <w:sz w:val="17"/>
          <w:szCs w:val="17"/>
          <w:color w:val="auto"/>
        </w:rPr>
        <w:t xml:space="preserve">The NPL rato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fell 102 bps </w:t>
      </w:r>
      <w:r>
        <w:rPr>
          <w:rFonts w:ascii="Calibri" w:cs="Calibri" w:eastAsia="Calibri" w:hAnsi="Calibri"/>
          <w:sz w:val="17"/>
          <w:szCs w:val="17"/>
          <w:b w:val="1"/>
          <w:bCs w:val="1"/>
          <w:color w:val="auto"/>
        </w:rPr>
        <w:t>YoY</w:t>
      </w:r>
      <w:r>
        <w:rPr>
          <w:rFonts w:ascii="Calibri" w:cs="Calibri" w:eastAsia="Calibri" w:hAnsi="Calibri"/>
          <w:sz w:val="17"/>
          <w:szCs w:val="17"/>
          <w:color w:val="auto"/>
        </w:rPr>
        <w:t xml:space="preserve"> to stand at 5.0%. This decline was fueled primarily by the same dynamics that drove the evoluton of NPLs in the YoY analysis and was partally ofset by a drop in loan portolio.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-379730</wp:posOffset>
            </wp:positionV>
            <wp:extent cx="2998470" cy="1833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98470" cy="1833880"/>
                    </a:xfrm>
                    <a:prstGeom prst="rect">
                      <a:avLst/>
                    </a:prstGeom>
                    <a:noFill/>
                  </pic:spPr>
                </pic:pic>
              </a:graphicData>
            </a:graphic>
          </wp:anchor>
        </w:drawing>
      </w:r>
    </w:p>
    <w:p>
      <w:pPr>
        <w:spacing w:after="0" w:line="191" w:lineRule="exact"/>
        <w:rPr>
          <w:sz w:val="20"/>
          <w:szCs w:val="20"/>
          <w:color w:val="auto"/>
        </w:rPr>
      </w:pPr>
    </w:p>
    <w:p>
      <w:pPr>
        <w:ind w:left="5760"/>
        <w:spacing w:after="0"/>
        <w:rPr>
          <w:sz w:val="20"/>
          <w:szCs w:val="20"/>
          <w:color w:val="auto"/>
        </w:rPr>
      </w:pPr>
      <w:r>
        <w:rPr>
          <w:rFonts w:ascii="Calibri" w:cs="Calibri" w:eastAsia="Calibri" w:hAnsi="Calibri"/>
          <w:sz w:val="17"/>
          <w:szCs w:val="17"/>
          <w:b w:val="1"/>
          <w:bCs w:val="1"/>
          <w:color w:val="auto"/>
        </w:rPr>
        <w:t>If we analyze the YoY evoluton of the NPL rato by Subsidiary, we see:</w:t>
      </w:r>
    </w:p>
    <w:p>
      <w:pPr>
        <w:spacing w:after="0" w:line="210" w:lineRule="exact"/>
        <w:rPr>
          <w:sz w:val="20"/>
          <w:szCs w:val="20"/>
          <w:color w:val="auto"/>
        </w:rPr>
      </w:pPr>
    </w:p>
    <w:p>
      <w:pPr>
        <w:jc w:val="both"/>
        <w:ind w:left="5760"/>
        <w:spacing w:after="0"/>
        <w:rPr>
          <w:sz w:val="20"/>
          <w:szCs w:val="20"/>
          <w:color w:val="auto"/>
        </w:rPr>
      </w:pP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where the NPL rato dropped 117 bps. In the case of all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segments, except </w:t>
      </w:r>
      <w:r>
        <w:rPr>
          <w:rFonts w:ascii="Calibri" w:cs="Calibri" w:eastAsia="Calibri" w:hAnsi="Calibri"/>
          <w:sz w:val="17"/>
          <w:szCs w:val="17"/>
          <w:b w:val="1"/>
          <w:bCs w:val="1"/>
          <w:color w:val="auto"/>
        </w:rPr>
        <w:t>Mortgage,</w:t>
      </w:r>
      <w:r>
        <w:rPr>
          <w:rFonts w:ascii="Calibri" w:cs="Calibri" w:eastAsia="Calibri" w:hAnsi="Calibri"/>
          <w:sz w:val="17"/>
          <w:szCs w:val="17"/>
          <w:color w:val="auto"/>
        </w:rPr>
        <w:t xml:space="preserve"> the decline was primarily atributable to a drop in NPL volumes. In the case of </w:t>
      </w:r>
      <w:r>
        <w:rPr>
          <w:rFonts w:ascii="Calibri" w:cs="Calibri" w:eastAsia="Calibri" w:hAnsi="Calibri"/>
          <w:sz w:val="17"/>
          <w:szCs w:val="17"/>
          <w:b w:val="1"/>
          <w:bCs w:val="1"/>
          <w:color w:val="auto"/>
        </w:rPr>
        <w:t>Mortgage,</w:t>
      </w:r>
      <w:r>
        <w:rPr>
          <w:rFonts w:ascii="Calibri" w:cs="Calibri" w:eastAsia="Calibri" w:hAnsi="Calibri"/>
          <w:sz w:val="17"/>
          <w:szCs w:val="17"/>
          <w:color w:val="auto"/>
        </w:rPr>
        <w:t xml:space="preserve"> the rato fell mainly due to loan growth and secondarily, due to a reducton in NPL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hanging="384"/>
        <w:spacing w:after="0"/>
        <w:tabs>
          <w:tab w:leader="none" w:pos="620" w:val="left"/>
        </w:tabs>
        <w:numPr>
          <w:ilvl w:val="0"/>
          <w:numId w:val="27"/>
        </w:numPr>
        <w:rPr>
          <w:rFonts w:ascii="Calibri" w:cs="Calibri" w:eastAsia="Calibri" w:hAnsi="Calibri"/>
          <w:sz w:val="17"/>
          <w:szCs w:val="17"/>
          <w:color w:val="auto"/>
        </w:rPr>
      </w:pPr>
      <w:r>
        <w:rPr>
          <w:rFonts w:ascii="Calibri" w:cs="Calibri" w:eastAsia="Calibri" w:hAnsi="Calibri"/>
          <w:sz w:val="17"/>
          <w:szCs w:val="17"/>
          <w:b w:val="1"/>
          <w:bCs w:val="1"/>
          <w:color w:val="auto"/>
        </w:rPr>
        <w:t>Mibanco</w:t>
      </w:r>
      <w:r>
        <w:rPr>
          <w:rFonts w:ascii="Calibri" w:cs="Calibri" w:eastAsia="Calibri" w:hAnsi="Calibri"/>
          <w:sz w:val="17"/>
          <w:szCs w:val="17"/>
          <w:color w:val="auto"/>
        </w:rPr>
        <w:t>, where the NPL rato decreased 202 bps, driven mainly by a reducton in NPL volumes and secondarily by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725170</wp:posOffset>
            </wp:positionV>
            <wp:extent cx="713740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138430</wp:posOffset>
            </wp:positionV>
            <wp:extent cx="6484620" cy="4457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84620" cy="445770"/>
                    </a:xfrm>
                    <a:prstGeom prst="rect">
                      <a:avLst/>
                    </a:prstGeom>
                    <a:noFill/>
                  </pic:spPr>
                </pic:pic>
              </a:graphicData>
            </a:graphic>
          </wp:anchor>
        </w:drawing>
      </w:r>
    </w:p>
    <w:p>
      <w:pPr>
        <w:sectPr>
          <w:pgSz w:w="11900" w:h="16838" w:orient="portrait"/>
          <w:cols w:equalWidth="0" w:num="1">
            <w:col w:w="11160"/>
          </w:cols>
          <w:pgMar w:left="400" w:top="483" w:right="339" w:bottom="1440" w:gutter="0" w:footer="0" w:header="0"/>
        </w:sectPr>
      </w:pPr>
    </w:p>
    <w:bookmarkStart w:id="30" w:name="page31"/>
    <w:bookmarkEnd w:id="30"/>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05. Portolio Quality and Provisions</w:t>
      </w:r>
    </w:p>
    <w:p>
      <w:pPr>
        <w:spacing w:after="0" w:line="2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5.2 Provisions and Cost of Risk of the Total Portolio</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374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0"/>
                <w:szCs w:val="10"/>
                <w:b w:val="1"/>
                <w:bCs w:val="1"/>
                <w:color w:val="FFFFFF"/>
              </w:rPr>
              <w:t>Loan Portolio Provisions</w:t>
            </w:r>
          </w:p>
        </w:tc>
        <w:tc>
          <w:tcPr>
            <w:tcW w:w="940" w:type="dxa"/>
            <w:vAlign w:val="bottom"/>
            <w:tcBorders>
              <w:top w:val="single" w:sz="8" w:color="auto"/>
            </w:tcBorders>
            <w:shd w:val="clear" w:color="auto" w:fill="33CCCC"/>
          </w:tcPr>
          <w:p>
            <w:pPr>
              <w:spacing w:after="0"/>
              <w:rPr>
                <w:sz w:val="11"/>
                <w:szCs w:val="11"/>
                <w:color w:val="auto"/>
              </w:rPr>
            </w:pPr>
          </w:p>
        </w:tc>
        <w:tc>
          <w:tcPr>
            <w:tcW w:w="96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0"/>
                <w:szCs w:val="10"/>
                <w:b w:val="1"/>
                <w:bCs w:val="1"/>
                <w:color w:val="FFFFFF"/>
              </w:rPr>
              <w:t>Quarter</w:t>
            </w:r>
          </w:p>
        </w:tc>
        <w:tc>
          <w:tcPr>
            <w:tcW w:w="1000" w:type="dxa"/>
            <w:vAlign w:val="bottom"/>
            <w:tcBorders>
              <w:top w:val="single" w:sz="8" w:color="auto"/>
              <w:right w:val="single" w:sz="8" w:color="auto"/>
            </w:tcBorders>
            <w:shd w:val="clear" w:color="auto" w:fill="33CCCC"/>
          </w:tcPr>
          <w:p>
            <w:pPr>
              <w:spacing w:after="0"/>
              <w:rPr>
                <w:sz w:val="11"/>
                <w:szCs w:val="11"/>
                <w:color w:val="auto"/>
              </w:rPr>
            </w:pPr>
          </w:p>
        </w:tc>
        <w:tc>
          <w:tcPr>
            <w:tcW w:w="560" w:type="dxa"/>
            <w:vAlign w:val="bottom"/>
            <w:tcBorders>
              <w:top w:val="single" w:sz="8" w:color="auto"/>
            </w:tcBorders>
            <w:shd w:val="clear" w:color="auto" w:fill="33CCCC"/>
          </w:tcPr>
          <w:p>
            <w:pPr>
              <w:spacing w:after="0"/>
              <w:rPr>
                <w:sz w:val="11"/>
                <w:szCs w:val="11"/>
                <w:color w:val="auto"/>
              </w:rPr>
            </w:pPr>
          </w:p>
        </w:tc>
        <w:tc>
          <w:tcPr>
            <w:tcW w:w="106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0"/>
                <w:szCs w:val="10"/>
                <w:b w:val="1"/>
                <w:bCs w:val="1"/>
                <w:color w:val="FFFFFF"/>
              </w:rPr>
              <w:t>% change</w:t>
            </w:r>
          </w:p>
        </w:tc>
        <w:tc>
          <w:tcPr>
            <w:tcW w:w="760" w:type="dxa"/>
            <w:vAlign w:val="bottom"/>
            <w:tcBorders>
              <w:top w:val="single" w:sz="8" w:color="auto"/>
            </w:tcBorders>
            <w:shd w:val="clear" w:color="auto" w:fill="33CCCC"/>
          </w:tcPr>
          <w:p>
            <w:pPr>
              <w:spacing w:after="0"/>
              <w:rPr>
                <w:sz w:val="11"/>
                <w:szCs w:val="11"/>
                <w:color w:val="auto"/>
              </w:rPr>
            </w:pPr>
          </w:p>
        </w:tc>
        <w:tc>
          <w:tcPr>
            <w:tcW w:w="114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0"/>
                <w:szCs w:val="10"/>
                <w:b w:val="1"/>
                <w:bCs w:val="1"/>
                <w:color w:val="FFFFFF"/>
              </w:rPr>
              <w:t>Up to</w:t>
            </w:r>
          </w:p>
        </w:tc>
        <w:tc>
          <w:tcPr>
            <w:tcW w:w="11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 change</w:t>
            </w:r>
          </w:p>
        </w:tc>
      </w:tr>
      <w:tr>
        <w:trPr>
          <w:trHeight w:val="130"/>
        </w:trPr>
        <w:tc>
          <w:tcPr>
            <w:tcW w:w="374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0"/>
                <w:szCs w:val="10"/>
                <w:b w:val="1"/>
                <w:bCs w:val="1"/>
                <w:color w:val="FFFFFF"/>
              </w:rPr>
              <w:t>S/000</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9"/>
              </w:rPr>
              <w:t>2Q24</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1Q25</w:t>
            </w:r>
          </w:p>
        </w:tc>
        <w:tc>
          <w:tcPr>
            <w:tcW w:w="10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9"/>
              </w:rPr>
              <w:t>2Q25</w:t>
            </w:r>
          </w:p>
        </w:tc>
        <w:tc>
          <w:tcPr>
            <w:tcW w:w="560" w:type="dxa"/>
            <w:vAlign w:val="bottom"/>
            <w:tcBorders>
              <w:bottom w:val="single" w:sz="8" w:color="auto"/>
            </w:tcBorders>
            <w:shd w:val="clear" w:color="auto" w:fill="33CCCC"/>
          </w:tcPr>
          <w:p>
            <w:pPr>
              <w:jc w:val="center"/>
              <w:ind w:left="188"/>
              <w:spacing w:after="0"/>
              <w:rPr>
                <w:sz w:val="20"/>
                <w:szCs w:val="20"/>
                <w:color w:val="auto"/>
              </w:rPr>
            </w:pPr>
            <w:r>
              <w:rPr>
                <w:rFonts w:ascii="Calibri" w:cs="Calibri" w:eastAsia="Calibri" w:hAnsi="Calibri"/>
                <w:sz w:val="10"/>
                <w:szCs w:val="10"/>
                <w:b w:val="1"/>
                <w:bCs w:val="1"/>
                <w:color w:val="FFFFFF"/>
              </w:rPr>
              <w:t>QoQ</w:t>
            </w:r>
          </w:p>
        </w:tc>
        <w:tc>
          <w:tcPr>
            <w:tcW w:w="1060" w:type="dxa"/>
            <w:vAlign w:val="bottom"/>
            <w:tcBorders>
              <w:bottom w:val="single" w:sz="8" w:color="auto"/>
              <w:right w:val="single" w:sz="8" w:color="auto"/>
            </w:tcBorders>
            <w:shd w:val="clear" w:color="auto" w:fill="33CCCC"/>
          </w:tcPr>
          <w:p>
            <w:pPr>
              <w:jc w:val="center"/>
              <w:ind w:left="168"/>
              <w:spacing w:after="0"/>
              <w:rPr>
                <w:sz w:val="20"/>
                <w:szCs w:val="20"/>
                <w:color w:val="auto"/>
              </w:rPr>
            </w:pPr>
            <w:r>
              <w:rPr>
                <w:rFonts w:ascii="Calibri" w:cs="Calibri" w:eastAsia="Calibri" w:hAnsi="Calibri"/>
                <w:sz w:val="10"/>
                <w:szCs w:val="10"/>
                <w:b w:val="1"/>
                <w:bCs w:val="1"/>
                <w:color w:val="FFFFFF"/>
              </w:rPr>
              <w:t>YoY</w:t>
            </w:r>
          </w:p>
        </w:tc>
        <w:tc>
          <w:tcPr>
            <w:tcW w:w="760" w:type="dxa"/>
            <w:vAlign w:val="bottom"/>
            <w:tcBorders>
              <w:bottom w:val="single" w:sz="8" w:color="auto"/>
            </w:tcBorders>
            <w:shd w:val="clear" w:color="auto" w:fill="33CCCC"/>
          </w:tcPr>
          <w:p>
            <w:pPr>
              <w:ind w:left="320"/>
              <w:spacing w:after="0"/>
              <w:rPr>
                <w:sz w:val="20"/>
                <w:szCs w:val="20"/>
                <w:color w:val="auto"/>
              </w:rPr>
            </w:pPr>
            <w:r>
              <w:rPr>
                <w:rFonts w:ascii="Calibri" w:cs="Calibri" w:eastAsia="Calibri" w:hAnsi="Calibri"/>
                <w:sz w:val="10"/>
                <w:szCs w:val="10"/>
                <w:b w:val="1"/>
                <w:bCs w:val="1"/>
                <w:color w:val="FFFFFF"/>
              </w:rPr>
              <w:t>Jun 24</w:t>
            </w:r>
          </w:p>
        </w:tc>
        <w:tc>
          <w:tcPr>
            <w:tcW w:w="1140" w:type="dxa"/>
            <w:vAlign w:val="bottom"/>
            <w:tcBorders>
              <w:bottom w:val="single" w:sz="8" w:color="auto"/>
              <w:right w:val="single" w:sz="8" w:color="auto"/>
            </w:tcBorders>
            <w:shd w:val="clear" w:color="auto" w:fill="33CCCC"/>
          </w:tcPr>
          <w:p>
            <w:pPr>
              <w:ind w:left="520"/>
              <w:spacing w:after="0"/>
              <w:rPr>
                <w:sz w:val="20"/>
                <w:szCs w:val="20"/>
                <w:color w:val="auto"/>
              </w:rPr>
            </w:pPr>
            <w:r>
              <w:rPr>
                <w:rFonts w:ascii="Calibri" w:cs="Calibri" w:eastAsia="Calibri" w:hAnsi="Calibri"/>
                <w:sz w:val="10"/>
                <w:szCs w:val="10"/>
                <w:b w:val="1"/>
                <w:bCs w:val="1"/>
                <w:color w:val="FFFFFF"/>
              </w:rPr>
              <w:t>Jun 25</w:t>
            </w:r>
          </w:p>
        </w:tc>
        <w:tc>
          <w:tcPr>
            <w:tcW w:w="11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Jun 25 / Jun 24</w:t>
            </w:r>
          </w:p>
        </w:tc>
      </w:tr>
      <w:tr>
        <w:trPr>
          <w:trHeight w:val="122"/>
        </w:trPr>
        <w:tc>
          <w:tcPr>
            <w:tcW w:w="3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Gross provision for credit losses on loan portolio</w:t>
            </w:r>
          </w:p>
        </w:tc>
        <w:tc>
          <w:tcPr>
            <w:tcW w:w="940" w:type="dxa"/>
            <w:vAlign w:val="bottom"/>
          </w:tcPr>
          <w:p>
            <w:pPr>
              <w:jc w:val="center"/>
              <w:spacing w:after="0"/>
              <w:rPr>
                <w:sz w:val="20"/>
                <w:szCs w:val="20"/>
                <w:color w:val="auto"/>
              </w:rPr>
            </w:pPr>
            <w:r>
              <w:rPr>
                <w:rFonts w:ascii="Calibri" w:cs="Calibri" w:eastAsia="Calibri" w:hAnsi="Calibri"/>
                <w:sz w:val="10"/>
                <w:szCs w:val="10"/>
                <w:color w:val="auto"/>
              </w:rPr>
              <w:t>(1,193,548)</w:t>
            </w:r>
          </w:p>
        </w:tc>
        <w:tc>
          <w:tcPr>
            <w:tcW w:w="960" w:type="dxa"/>
            <w:vAlign w:val="bottom"/>
          </w:tcPr>
          <w:p>
            <w:pPr>
              <w:jc w:val="center"/>
              <w:spacing w:after="0"/>
              <w:rPr>
                <w:sz w:val="20"/>
                <w:szCs w:val="20"/>
                <w:color w:val="auto"/>
              </w:rPr>
            </w:pPr>
            <w:r>
              <w:rPr>
                <w:rFonts w:ascii="Calibri" w:cs="Calibri" w:eastAsia="Calibri" w:hAnsi="Calibri"/>
                <w:sz w:val="10"/>
                <w:szCs w:val="10"/>
                <w:color w:val="auto"/>
              </w:rPr>
              <w:t>(695,733)</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(683,965)</w:t>
            </w:r>
          </w:p>
        </w:tc>
        <w:tc>
          <w:tcPr>
            <w:tcW w:w="560" w:type="dxa"/>
            <w:vAlign w:val="bottom"/>
          </w:tcPr>
          <w:p>
            <w:pPr>
              <w:jc w:val="center"/>
              <w:ind w:left="188"/>
              <w:spacing w:after="0"/>
              <w:rPr>
                <w:sz w:val="20"/>
                <w:szCs w:val="20"/>
                <w:color w:val="auto"/>
              </w:rPr>
            </w:pPr>
            <w:r>
              <w:rPr>
                <w:rFonts w:ascii="Calibri" w:cs="Calibri" w:eastAsia="Calibri" w:hAnsi="Calibri"/>
                <w:sz w:val="10"/>
                <w:szCs w:val="10"/>
                <w:color w:val="auto"/>
              </w:rPr>
              <w:t>-1.7%</w:t>
            </w:r>
          </w:p>
        </w:tc>
        <w:tc>
          <w:tcPr>
            <w:tcW w:w="106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-42.7%</w:t>
            </w:r>
          </w:p>
        </w:tc>
        <w:tc>
          <w:tcPr>
            <w:tcW w:w="760" w:type="dxa"/>
            <w:vAlign w:val="bottom"/>
          </w:tcPr>
          <w:p>
            <w:pPr>
              <w:jc w:val="center"/>
              <w:ind w:left="108"/>
              <w:spacing w:after="0"/>
              <w:rPr>
                <w:sz w:val="20"/>
                <w:szCs w:val="20"/>
                <w:color w:val="auto"/>
              </w:rPr>
            </w:pPr>
            <w:r>
              <w:rPr>
                <w:rFonts w:ascii="Calibri" w:cs="Calibri" w:eastAsia="Calibri" w:hAnsi="Calibri"/>
                <w:sz w:val="10"/>
                <w:szCs w:val="10"/>
                <w:color w:val="auto"/>
              </w:rPr>
              <w:t>(2,103,737)</w:t>
            </w:r>
          </w:p>
        </w:tc>
        <w:tc>
          <w:tcPr>
            <w:tcW w:w="114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(1,379,698)</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-34.4%</w:t>
            </w:r>
          </w:p>
        </w:tc>
      </w:tr>
      <w:tr>
        <w:trPr>
          <w:trHeight w:val="124"/>
        </w:trPr>
        <w:tc>
          <w:tcPr>
            <w:tcW w:w="3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Recoveries of writen-of loans</w:t>
            </w:r>
          </w:p>
        </w:tc>
        <w:tc>
          <w:tcPr>
            <w:tcW w:w="940" w:type="dxa"/>
            <w:vAlign w:val="bottom"/>
          </w:tcPr>
          <w:p>
            <w:pPr>
              <w:jc w:val="center"/>
              <w:spacing w:after="0"/>
              <w:rPr>
                <w:sz w:val="20"/>
                <w:szCs w:val="20"/>
                <w:color w:val="auto"/>
              </w:rPr>
            </w:pPr>
            <w:r>
              <w:rPr>
                <w:rFonts w:ascii="Calibri" w:cs="Calibri" w:eastAsia="Calibri" w:hAnsi="Calibri"/>
                <w:sz w:val="10"/>
                <w:szCs w:val="10"/>
                <w:color w:val="auto"/>
              </w:rPr>
              <w:t>100,177</w:t>
            </w:r>
          </w:p>
        </w:tc>
        <w:tc>
          <w:tcPr>
            <w:tcW w:w="960" w:type="dxa"/>
            <w:vAlign w:val="bottom"/>
          </w:tcPr>
          <w:p>
            <w:pPr>
              <w:jc w:val="center"/>
              <w:spacing w:after="0"/>
              <w:rPr>
                <w:sz w:val="20"/>
                <w:szCs w:val="20"/>
                <w:color w:val="auto"/>
              </w:rPr>
            </w:pPr>
            <w:r>
              <w:rPr>
                <w:rFonts w:ascii="Calibri" w:cs="Calibri" w:eastAsia="Calibri" w:hAnsi="Calibri"/>
                <w:sz w:val="10"/>
                <w:szCs w:val="10"/>
                <w:color w:val="auto"/>
              </w:rPr>
              <w:t>113,840</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108,806</w:t>
            </w:r>
          </w:p>
        </w:tc>
        <w:tc>
          <w:tcPr>
            <w:tcW w:w="560" w:type="dxa"/>
            <w:vAlign w:val="bottom"/>
          </w:tcPr>
          <w:p>
            <w:pPr>
              <w:jc w:val="center"/>
              <w:ind w:left="188"/>
              <w:spacing w:after="0"/>
              <w:rPr>
                <w:sz w:val="20"/>
                <w:szCs w:val="20"/>
                <w:color w:val="auto"/>
              </w:rPr>
            </w:pPr>
            <w:r>
              <w:rPr>
                <w:rFonts w:ascii="Calibri" w:cs="Calibri" w:eastAsia="Calibri" w:hAnsi="Calibri"/>
                <w:sz w:val="10"/>
                <w:szCs w:val="10"/>
                <w:color w:val="auto"/>
              </w:rPr>
              <w:t>-4.4%</w:t>
            </w:r>
          </w:p>
        </w:tc>
        <w:tc>
          <w:tcPr>
            <w:tcW w:w="106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8.6%</w:t>
            </w:r>
          </w:p>
        </w:tc>
        <w:tc>
          <w:tcPr>
            <w:tcW w:w="760" w:type="dxa"/>
            <w:vAlign w:val="bottom"/>
          </w:tcPr>
          <w:p>
            <w:pPr>
              <w:jc w:val="center"/>
              <w:ind w:left="128"/>
              <w:spacing w:after="0"/>
              <w:rPr>
                <w:sz w:val="20"/>
                <w:szCs w:val="20"/>
                <w:color w:val="auto"/>
              </w:rPr>
            </w:pPr>
            <w:r>
              <w:rPr>
                <w:rFonts w:ascii="Calibri" w:cs="Calibri" w:eastAsia="Calibri" w:hAnsi="Calibri"/>
                <w:sz w:val="10"/>
                <w:szCs w:val="10"/>
                <w:color w:val="auto"/>
              </w:rPr>
              <w:t>195,667</w:t>
            </w:r>
          </w:p>
        </w:tc>
        <w:tc>
          <w:tcPr>
            <w:tcW w:w="114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222,646</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13.8%</w:t>
            </w:r>
          </w:p>
        </w:tc>
      </w:tr>
      <w:tr>
        <w:trPr>
          <w:trHeight w:val="137"/>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Provision for credit losses on loan portolio, net of recoveries</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(1,093,371)</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(581,893)</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(575,159)</w:t>
            </w:r>
          </w:p>
        </w:tc>
        <w:tc>
          <w:tcPr>
            <w:tcW w:w="560" w:type="dxa"/>
            <w:vAlign w:val="bottom"/>
            <w:tcBorders>
              <w:bottom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-1.2%</w:t>
            </w:r>
          </w:p>
        </w:tc>
        <w:tc>
          <w:tcPr>
            <w:tcW w:w="1060" w:type="dxa"/>
            <w:vAlign w:val="bottom"/>
            <w:tcBorders>
              <w:bottom w:val="single" w:sz="8" w:color="auto"/>
              <w:right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rPr>
              <w:t>-47.4%</w:t>
            </w:r>
          </w:p>
        </w:tc>
        <w:tc>
          <w:tcPr>
            <w:tcW w:w="760" w:type="dxa"/>
            <w:vAlign w:val="bottom"/>
            <w:tcBorders>
              <w:bottom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(1,908,070)</w:t>
            </w:r>
          </w:p>
        </w:tc>
        <w:tc>
          <w:tcPr>
            <w:tcW w:w="1140" w:type="dxa"/>
            <w:vAlign w:val="bottom"/>
            <w:tcBorders>
              <w:bottom w:val="single" w:sz="8" w:color="auto"/>
              <w:right w:val="single" w:sz="8" w:color="auto"/>
            </w:tcBorders>
          </w:tcPr>
          <w:p>
            <w:pPr>
              <w:jc w:val="center"/>
              <w:ind w:left="108"/>
              <w:spacing w:after="0"/>
              <w:rPr>
                <w:sz w:val="20"/>
                <w:szCs w:val="20"/>
                <w:color w:val="auto"/>
              </w:rPr>
            </w:pPr>
            <w:r>
              <w:rPr>
                <w:rFonts w:ascii="Calibri" w:cs="Calibri" w:eastAsia="Calibri" w:hAnsi="Calibri"/>
                <w:sz w:val="10"/>
                <w:szCs w:val="10"/>
                <w:b w:val="1"/>
                <w:bCs w:val="1"/>
                <w:color w:val="auto"/>
              </w:rPr>
              <w:t>(1,157,052)</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-39.4%</w:t>
            </w:r>
          </w:p>
        </w:tc>
      </w:tr>
      <w:tr>
        <w:trPr>
          <w:trHeight w:val="130"/>
        </w:trPr>
        <w:tc>
          <w:tcPr>
            <w:tcW w:w="3740" w:type="dxa"/>
            <w:vAlign w:val="bottom"/>
            <w:tcBorders>
              <w:left w:val="single" w:sz="8" w:color="auto"/>
              <w:bottom w:val="single" w:sz="8" w:color="auto"/>
              <w:right w:val="single" w:sz="8" w:color="auto"/>
            </w:tcBorders>
          </w:tcPr>
          <w:p>
            <w:pPr>
              <w:ind w:left="20"/>
              <w:spacing w:after="0" w:line="130" w:lineRule="exact"/>
              <w:rPr>
                <w:sz w:val="20"/>
                <w:szCs w:val="20"/>
                <w:color w:val="auto"/>
              </w:rPr>
            </w:pPr>
            <w:r>
              <w:rPr>
                <w:rFonts w:ascii="Calibri" w:cs="Calibri" w:eastAsia="Calibri" w:hAnsi="Calibri"/>
                <w:sz w:val="9"/>
                <w:szCs w:val="9"/>
                <w:color w:val="auto"/>
              </w:rPr>
              <w:t xml:space="preserve">Cost of risk </w:t>
            </w:r>
            <w:r>
              <w:rPr>
                <w:rFonts w:ascii="Calibri" w:cs="Calibri" w:eastAsia="Calibri" w:hAnsi="Calibri"/>
                <w:sz w:val="14"/>
                <w:szCs w:val="14"/>
                <w:color w:val="auto"/>
                <w:vertAlign w:val="superscript"/>
              </w:rPr>
              <w:t>(1)</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3.0%</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1.6%</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1.6%</w:t>
            </w:r>
          </w:p>
        </w:tc>
        <w:tc>
          <w:tcPr>
            <w:tcW w:w="560" w:type="dxa"/>
            <w:vAlign w:val="bottom"/>
            <w:tcBorders>
              <w:bottom w:val="single" w:sz="8" w:color="auto"/>
            </w:tcBorders>
          </w:tcPr>
          <w:p>
            <w:pPr>
              <w:jc w:val="center"/>
              <w:ind w:left="168"/>
              <w:spacing w:after="0"/>
              <w:rPr>
                <w:sz w:val="20"/>
                <w:szCs w:val="20"/>
                <w:color w:val="auto"/>
              </w:rPr>
            </w:pPr>
            <w:r>
              <w:rPr>
                <w:rFonts w:ascii="Calibri" w:cs="Calibri" w:eastAsia="Calibri" w:hAnsi="Calibri"/>
                <w:sz w:val="10"/>
                <w:szCs w:val="10"/>
                <w:color w:val="auto"/>
              </w:rPr>
              <w:t>1 bps</w:t>
            </w:r>
          </w:p>
        </w:tc>
        <w:tc>
          <w:tcPr>
            <w:tcW w:w="1060" w:type="dxa"/>
            <w:vAlign w:val="bottom"/>
            <w:tcBorders>
              <w:bottom w:val="single" w:sz="8" w:color="auto"/>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-141 bps</w:t>
            </w:r>
          </w:p>
        </w:tc>
        <w:tc>
          <w:tcPr>
            <w:tcW w:w="760" w:type="dxa"/>
            <w:vAlign w:val="bottom"/>
            <w:tcBorders>
              <w:bottom w:val="single" w:sz="8" w:color="auto"/>
            </w:tcBorders>
          </w:tcPr>
          <w:p>
            <w:pPr>
              <w:jc w:val="center"/>
              <w:ind w:left="108"/>
              <w:spacing w:after="0"/>
              <w:rPr>
                <w:sz w:val="20"/>
                <w:szCs w:val="20"/>
                <w:color w:val="auto"/>
              </w:rPr>
            </w:pPr>
            <w:r>
              <w:rPr>
                <w:rFonts w:ascii="Calibri" w:cs="Calibri" w:eastAsia="Calibri" w:hAnsi="Calibri"/>
                <w:sz w:val="10"/>
                <w:szCs w:val="10"/>
                <w:color w:val="auto"/>
              </w:rPr>
              <w:t>2.6%</w:t>
            </w:r>
          </w:p>
        </w:tc>
        <w:tc>
          <w:tcPr>
            <w:tcW w:w="1140" w:type="dxa"/>
            <w:vAlign w:val="bottom"/>
            <w:tcBorders>
              <w:bottom w:val="single" w:sz="8" w:color="auto"/>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1.6%</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-100 bps</w:t>
            </w:r>
          </w:p>
        </w:tc>
      </w:tr>
    </w:tbl>
    <w:p>
      <w:pPr>
        <w:spacing w:after="0" w:line="212" w:lineRule="auto"/>
        <w:rPr>
          <w:sz w:val="20"/>
          <w:szCs w:val="20"/>
          <w:color w:val="auto"/>
        </w:rPr>
      </w:pPr>
      <w:r>
        <w:rPr>
          <w:rFonts w:ascii="Calibri" w:cs="Calibri" w:eastAsia="Calibri" w:hAnsi="Calibri"/>
          <w:sz w:val="14"/>
          <w:szCs w:val="14"/>
          <w:color w:val="auto"/>
        </w:rPr>
        <w:t>(1) Provisions for credit losses on loan portolio, net of annualized recoveries / Average Total Loans. It includes reversal of provisions for “El Niño” Phenomenon in 1Q24.</w:t>
      </w:r>
    </w:p>
    <w:p>
      <w:pPr>
        <w:spacing w:after="0" w:line="192" w:lineRule="exact"/>
        <w:rPr>
          <w:sz w:val="20"/>
          <w:szCs w:val="20"/>
          <w:color w:val="auto"/>
        </w:rPr>
      </w:pPr>
    </w:p>
    <w:p>
      <w:pPr>
        <w:jc w:val="both"/>
        <w:spacing w:after="0"/>
        <w:rPr>
          <w:sz w:val="20"/>
          <w:szCs w:val="20"/>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 provisions dropped 1.2% on the back of the evoluton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and partally ofset by the result at</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BCP Stand-alone</w:t>
      </w:r>
      <w:r>
        <w:rPr>
          <w:rFonts w:ascii="Calibri" w:cs="Calibri" w:eastAsia="Calibri" w:hAnsi="Calibri"/>
          <w:sz w:val="17"/>
          <w:szCs w:val="17"/>
          <w:color w:val="auto"/>
        </w:rPr>
        <w:t>, the reducton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provisions was atributable to </w:t>
      </w:r>
      <w:r>
        <w:rPr>
          <w:rFonts w:ascii="Calibri" w:cs="Calibri" w:eastAsia="Calibri" w:hAnsi="Calibri"/>
          <w:sz w:val="17"/>
          <w:szCs w:val="17"/>
          <w:b w:val="1"/>
          <w:bCs w:val="1"/>
          <w:color w:val="auto"/>
        </w:rPr>
        <w:t>Wholesale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Individuals</w:t>
      </w:r>
      <w:r>
        <w:rPr>
          <w:rFonts w:ascii="Calibri" w:cs="Calibri" w:eastAsia="Calibri" w:hAnsi="Calibri"/>
          <w:sz w:val="17"/>
          <w:szCs w:val="17"/>
          <w:color w:val="auto"/>
        </w:rPr>
        <w:t xml:space="preserve"> segments. In </w:t>
      </w:r>
      <w:r>
        <w:rPr>
          <w:rFonts w:ascii="Calibri" w:cs="Calibri" w:eastAsia="Calibri" w:hAnsi="Calibri"/>
          <w:sz w:val="17"/>
          <w:szCs w:val="17"/>
          <w:b w:val="1"/>
          <w:bCs w:val="1"/>
          <w:color w:val="auto"/>
        </w:rPr>
        <w:t>Wholesale</w:t>
      </w:r>
      <w:r>
        <w:rPr>
          <w:rFonts w:ascii="Calibri" w:cs="Calibri" w:eastAsia="Calibri" w:hAnsi="Calibri"/>
          <w:sz w:val="17"/>
          <w:szCs w:val="17"/>
          <w:color w:val="auto"/>
        </w:rPr>
        <w:t xml:space="preserve">, provisions fell due to an improvement in payment performance. In </w:t>
      </w:r>
      <w:r>
        <w:rPr>
          <w:rFonts w:ascii="Calibri" w:cs="Calibri" w:eastAsia="Calibri" w:hAnsi="Calibri"/>
          <w:sz w:val="17"/>
          <w:szCs w:val="17"/>
          <w:b w:val="1"/>
          <w:bCs w:val="1"/>
          <w:color w:val="auto"/>
        </w:rPr>
        <w:t>Individuals</w:t>
      </w:r>
      <w:r>
        <w:rPr>
          <w:rFonts w:ascii="Calibri" w:cs="Calibri" w:eastAsia="Calibri" w:hAnsi="Calibri"/>
          <w:sz w:val="17"/>
          <w:szCs w:val="17"/>
          <w:color w:val="auto"/>
        </w:rPr>
        <w:t xml:space="preserve">, provisions dropped mainly on the back of a reducton in </w:t>
      </w:r>
      <w:r>
        <w:rPr>
          <w:rFonts w:ascii="Calibri" w:cs="Calibri" w:eastAsia="Calibri" w:hAnsi="Calibri"/>
          <w:sz w:val="17"/>
          <w:szCs w:val="17"/>
          <w:b w:val="1"/>
          <w:bCs w:val="1"/>
          <w:color w:val="auto"/>
        </w:rPr>
        <w:t>Credit Cards</w:t>
      </w:r>
      <w:r>
        <w:rPr>
          <w:rFonts w:ascii="Calibri" w:cs="Calibri" w:eastAsia="Calibri" w:hAnsi="Calibri"/>
          <w:sz w:val="17"/>
          <w:szCs w:val="17"/>
          <w:color w:val="auto"/>
        </w:rPr>
        <w:t xml:space="preserve">, which was mainly spurred by a base efect due to calibratons to our risk models and secondarily by an improvement in payment performance as lower-risk vintages contnued to gain tracton in the portolio mix. This evoluton was partally ofset by an increase in provisions in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which was driven by an uptck in short-term disbursements, primarily for small-tcket and higher-yield loans.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the increase in provisions was atributable to a shif in the mix toward small tcket, higher-yield loans. In this context, the CofR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remained stable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to stand at a low level of 1.6%, in line with results in recent quarters. This result was impacted by initatves this year to shore up risk management and bolstered by favorable macro conditons in Peru.</w:t>
      </w:r>
    </w:p>
    <w:p>
      <w:pPr>
        <w:spacing w:after="0" w:line="101" w:lineRule="exact"/>
        <w:rPr>
          <w:sz w:val="20"/>
          <w:szCs w:val="20"/>
          <w:color w:val="auto"/>
        </w:rPr>
      </w:pPr>
    </w:p>
    <w:p>
      <w:pPr>
        <w:ind w:left="7160"/>
        <w:spacing w:after="0"/>
        <w:rPr>
          <w:sz w:val="20"/>
          <w:szCs w:val="20"/>
          <w:color w:val="auto"/>
        </w:rPr>
      </w:pPr>
      <w:r>
        <w:rPr>
          <w:rFonts w:ascii="Calibri" w:cs="Calibri" w:eastAsia="Calibri" w:hAnsi="Calibri"/>
          <w:sz w:val="17"/>
          <w:szCs w:val="17"/>
          <w:b w:val="1"/>
          <w:bCs w:val="1"/>
          <w:color w:val="auto"/>
        </w:rPr>
        <w:t xml:space="preserve">Cost of Risk by Subsidiary </w:t>
      </w:r>
      <w:r>
        <w:rPr>
          <w:rFonts w:ascii="Calibri" w:cs="Calibri" w:eastAsia="Calibri" w:hAnsi="Calibri"/>
          <w:sz w:val="28"/>
          <w:szCs w:val="28"/>
          <w:b w:val="1"/>
          <w:bCs w:val="1"/>
          <w:color w:val="auto"/>
          <w:vertAlign w:val="superscript"/>
        </w:rPr>
        <w:t>(1)</w:t>
      </w:r>
    </w:p>
    <w:p>
      <w:pPr>
        <w:jc w:val="both"/>
        <w:ind w:right="5940"/>
        <w:spacing w:after="0" w:line="238" w:lineRule="auto"/>
        <w:rPr>
          <w:sz w:val="20"/>
          <w:szCs w:val="20"/>
          <w:color w:val="auto"/>
        </w:rPr>
      </w:pPr>
      <w:r>
        <w:rPr>
          <w:rFonts w:ascii="Calibri" w:cs="Calibri" w:eastAsia="Calibri" w:hAnsi="Calibri"/>
          <w:sz w:val="19"/>
          <w:szCs w:val="19"/>
          <w:b w:val="1"/>
          <w:bCs w:val="1"/>
          <w:color w:val="auto"/>
        </w:rPr>
        <w:t>YoY</w:t>
      </w:r>
      <w:r>
        <w:rPr>
          <w:rFonts w:ascii="Calibri" w:cs="Calibri" w:eastAsia="Calibri" w:hAnsi="Calibri"/>
          <w:sz w:val="19"/>
          <w:szCs w:val="19"/>
          <w:color w:val="auto"/>
        </w:rPr>
        <w:t>, provisions dropped 47.4%, driven by</w:t>
      </w:r>
      <w:r>
        <w:rPr>
          <w:rFonts w:ascii="Calibri" w:cs="Calibri" w:eastAsia="Calibri" w:hAnsi="Calibri"/>
          <w:sz w:val="19"/>
          <w:szCs w:val="19"/>
          <w:b w:val="1"/>
          <w:bCs w:val="1"/>
          <w:color w:val="auto"/>
        </w:rPr>
        <w:t xml:space="preserve"> BCP Stand-alone </w:t>
      </w:r>
      <w:r>
        <w:rPr>
          <w:rFonts w:ascii="Calibri" w:cs="Calibri" w:eastAsia="Calibri" w:hAnsi="Calibri"/>
          <w:sz w:val="19"/>
          <w:szCs w:val="19"/>
          <w:color w:val="auto"/>
        </w:rPr>
        <w:t>and</w:t>
      </w:r>
      <w:r>
        <w:rPr>
          <w:rFonts w:ascii="Calibri" w:cs="Calibri" w:eastAsia="Calibri" w:hAnsi="Calibri"/>
          <w:sz w:val="19"/>
          <w:szCs w:val="19"/>
          <w:b w:val="1"/>
          <w:bCs w:val="1"/>
          <w:color w:val="auto"/>
        </w:rPr>
        <w:t xml:space="preserve"> Mibanco</w:t>
      </w:r>
      <w:r>
        <w:rPr>
          <w:rFonts w:ascii="Calibri" w:cs="Calibri" w:eastAsia="Calibri" w:hAnsi="Calibri"/>
          <w:sz w:val="19"/>
          <w:szCs w:val="19"/>
          <w:color w:val="auto"/>
        </w:rPr>
        <w:t>, which reported improvements in payment performance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in a context of economic recovery. At </w:t>
      </w:r>
      <w:r>
        <w:rPr>
          <w:rFonts w:ascii="Calibri" w:cs="Calibri" w:eastAsia="Calibri" w:hAnsi="Calibri"/>
          <w:sz w:val="19"/>
          <w:szCs w:val="19"/>
          <w:b w:val="1"/>
          <w:bCs w:val="1"/>
          <w:color w:val="auto"/>
        </w:rPr>
        <w:t>BCP Stand-alone,</w:t>
      </w:r>
      <w:r>
        <w:rPr>
          <w:rFonts w:ascii="Calibri" w:cs="Calibri" w:eastAsia="Calibri" w:hAnsi="Calibri"/>
          <w:sz w:val="19"/>
          <w:szCs w:val="19"/>
          <w:color w:val="auto"/>
        </w:rPr>
        <w:t xml:space="preserve"> the decrease in provisions was fueled by the </w:t>
      </w:r>
      <w:r>
        <w:rPr>
          <w:rFonts w:ascii="Calibri" w:cs="Calibri" w:eastAsia="Calibri" w:hAnsi="Calibri"/>
          <w:sz w:val="19"/>
          <w:szCs w:val="19"/>
          <w:b w:val="1"/>
          <w:bCs w:val="1"/>
          <w:color w:val="auto"/>
        </w:rPr>
        <w:t>Individuals</w:t>
      </w:r>
      <w:r>
        <w:rPr>
          <w:rFonts w:ascii="Calibri" w:cs="Calibri" w:eastAsia="Calibri" w:hAnsi="Calibri"/>
          <w:sz w:val="19"/>
          <w:szCs w:val="19"/>
          <w:color w:val="auto"/>
        </w:rPr>
        <w:t xml:space="preserve"> and </w:t>
      </w:r>
      <w:r>
        <w:rPr>
          <w:rFonts w:ascii="Calibri" w:cs="Calibri" w:eastAsia="Calibri" w:hAnsi="Calibri"/>
          <w:sz w:val="19"/>
          <w:szCs w:val="19"/>
          <w:b w:val="1"/>
          <w:bCs w:val="1"/>
          <w:color w:val="auto"/>
        </w:rPr>
        <w:t xml:space="preserve">SME-Pyme </w:t>
      </w:r>
      <w:r>
        <w:rPr>
          <w:rFonts w:ascii="Calibri" w:cs="Calibri" w:eastAsia="Calibri" w:hAnsi="Calibri"/>
          <w:sz w:val="19"/>
          <w:szCs w:val="19"/>
          <w:color w:val="auto"/>
        </w:rPr>
        <w:t>segments, which registered an increase in lower-risk</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vintages’ share of total loans. This evoluton was partally ofset by growth in provisions in </w:t>
      </w:r>
      <w:r>
        <w:rPr>
          <w:rFonts w:ascii="Calibri" w:cs="Calibri" w:eastAsia="Calibri" w:hAnsi="Calibri"/>
          <w:sz w:val="19"/>
          <w:szCs w:val="19"/>
          <w:b w:val="1"/>
          <w:bCs w:val="1"/>
          <w:color w:val="auto"/>
        </w:rPr>
        <w:t>Wholesale,</w:t>
      </w:r>
      <w:r>
        <w:rPr>
          <w:rFonts w:ascii="Calibri" w:cs="Calibri" w:eastAsia="Calibri" w:hAnsi="Calibri"/>
          <w:sz w:val="19"/>
          <w:szCs w:val="19"/>
          <w:color w:val="auto"/>
        </w:rPr>
        <w:t xml:space="preserve"> which registered an increased in its balance due to a drop in repayments this quarter. At </w:t>
      </w:r>
      <w:r>
        <w:rPr>
          <w:rFonts w:ascii="Calibri" w:cs="Calibri" w:eastAsia="Calibri" w:hAnsi="Calibri"/>
          <w:sz w:val="19"/>
          <w:szCs w:val="19"/>
          <w:b w:val="1"/>
          <w:bCs w:val="1"/>
          <w:color w:val="auto"/>
        </w:rPr>
        <w:t xml:space="preserve">Mibanco, </w:t>
      </w:r>
      <w:r>
        <w:rPr>
          <w:rFonts w:ascii="Calibri" w:cs="Calibri" w:eastAsia="Calibri" w:hAnsi="Calibri"/>
          <w:sz w:val="19"/>
          <w:szCs w:val="19"/>
          <w:color w:val="auto"/>
        </w:rPr>
        <w:t>the reducton was fueled by an improvement in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underlying risk as lower-risk vintages gained tracton and currently represent 70% of the portolio. In this context, the </w:t>
      </w:r>
      <w:r>
        <w:rPr>
          <w:rFonts w:ascii="Calibri" w:cs="Calibri" w:eastAsia="Calibri" w:hAnsi="Calibri"/>
          <w:sz w:val="19"/>
          <w:szCs w:val="19"/>
          <w:b w:val="1"/>
          <w:bCs w:val="1"/>
          <w:color w:val="auto"/>
        </w:rPr>
        <w:t>CofR</w:t>
      </w:r>
      <w:r>
        <w:rPr>
          <w:rFonts w:ascii="Calibri" w:cs="Calibri" w:eastAsia="Calibri" w:hAnsi="Calibri"/>
          <w:sz w:val="19"/>
          <w:szCs w:val="19"/>
          <w:color w:val="auto"/>
        </w:rPr>
        <w:t xml:space="preserve"> at </w:t>
      </w:r>
      <w:r>
        <w:rPr>
          <w:rFonts w:ascii="Calibri" w:cs="Calibri" w:eastAsia="Calibri" w:hAnsi="Calibri"/>
          <w:sz w:val="19"/>
          <w:szCs w:val="19"/>
          <w:b w:val="1"/>
          <w:bCs w:val="1"/>
          <w:color w:val="auto"/>
        </w:rPr>
        <w:t xml:space="preserve">Credicorp </w:t>
      </w:r>
      <w:r>
        <w:rPr>
          <w:rFonts w:ascii="Calibri" w:cs="Calibri" w:eastAsia="Calibri" w:hAnsi="Calibri"/>
          <w:sz w:val="19"/>
          <w:szCs w:val="19"/>
          <w:color w:val="auto"/>
        </w:rPr>
        <w:t>dropped 141 bps</w:t>
      </w:r>
      <w:r>
        <w:rPr>
          <w:rFonts w:ascii="Calibri" w:cs="Calibri" w:eastAsia="Calibri" w:hAnsi="Calibri"/>
          <w:sz w:val="19"/>
          <w:szCs w:val="19"/>
          <w:b w:val="1"/>
          <w:bCs w:val="1"/>
          <w:color w:val="auto"/>
        </w:rPr>
        <w:t xml:space="preserve"> YoY </w:t>
      </w:r>
      <w:r>
        <w:rPr>
          <w:rFonts w:ascii="Calibri" w:cs="Calibri" w:eastAsia="Calibri" w:hAnsi="Calibri"/>
          <w:sz w:val="19"/>
          <w:szCs w:val="19"/>
          <w:color w:val="auto"/>
        </w:rPr>
        <w:t>to stand at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-1529080</wp:posOffset>
            </wp:positionV>
            <wp:extent cx="2412365" cy="18091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12365" cy="18091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On a Full-Year basis, </w:t>
      </w:r>
      <w:r>
        <w:rPr>
          <w:rFonts w:ascii="Calibri" w:cs="Calibri" w:eastAsia="Calibri" w:hAnsi="Calibri"/>
          <w:sz w:val="17"/>
          <w:szCs w:val="17"/>
          <w:color w:val="auto"/>
        </w:rPr>
        <w:t>provisions fell 39.4%, driven by</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and</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Mibanco </w:t>
      </w:r>
      <w:r>
        <w:rPr>
          <w:rFonts w:ascii="Calibri" w:cs="Calibri" w:eastAsia="Calibri" w:hAnsi="Calibri"/>
          <w:sz w:val="17"/>
          <w:szCs w:val="17"/>
          <w:color w:val="auto"/>
        </w:rPr>
        <w:t>and on the tails of the same dynamics seen</w:t>
      </w:r>
      <w:r>
        <w:rPr>
          <w:rFonts w:ascii="Calibri" w:cs="Calibri" w:eastAsia="Calibri" w:hAnsi="Calibri"/>
          <w:sz w:val="17"/>
          <w:szCs w:val="17"/>
          <w:b w:val="1"/>
          <w:bCs w:val="1"/>
          <w:color w:val="auto"/>
        </w:rPr>
        <w:t xml:space="preserve"> YoY</w:t>
      </w:r>
      <w:r>
        <w:rPr>
          <w:rFonts w:ascii="Calibri" w:cs="Calibri" w:eastAsia="Calibri" w:hAnsi="Calibri"/>
          <w:sz w:val="17"/>
          <w:szCs w:val="17"/>
          <w:color w:val="auto"/>
        </w:rPr>
        <w:t>. The cost of risk at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Credicorp </w:t>
      </w:r>
      <w:r>
        <w:rPr>
          <w:rFonts w:ascii="Calibri" w:cs="Calibri" w:eastAsia="Calibri" w:hAnsi="Calibri"/>
          <w:sz w:val="17"/>
          <w:szCs w:val="17"/>
          <w:color w:val="auto"/>
        </w:rPr>
        <w:t>fell 100 bps to stand at 1.6%.</w:t>
      </w:r>
    </w:p>
    <w:p>
      <w:pPr>
        <w:spacing w:after="0" w:line="187" w:lineRule="exact"/>
        <w:rPr>
          <w:sz w:val="20"/>
          <w:szCs w:val="20"/>
          <w:color w:val="auto"/>
        </w:rPr>
      </w:pPr>
    </w:p>
    <w:p>
      <w:pPr>
        <w:ind w:left="1780"/>
        <w:spacing w:after="0"/>
        <w:tabs>
          <w:tab w:leader="none" w:pos="7240" w:val="left"/>
        </w:tabs>
        <w:rPr>
          <w:sz w:val="20"/>
          <w:szCs w:val="20"/>
          <w:color w:val="auto"/>
        </w:rPr>
      </w:pPr>
      <w:r>
        <w:rPr>
          <w:rFonts w:ascii="Calibri" w:cs="Calibri" w:eastAsia="Calibri" w:hAnsi="Calibri"/>
          <w:sz w:val="16"/>
          <w:szCs w:val="16"/>
          <w:b w:val="1"/>
          <w:bCs w:val="1"/>
          <w:color w:val="auto"/>
        </w:rPr>
        <w:t>QoQ Cost of Risk Evoluton</w:t>
      </w:r>
      <w:r>
        <w:rPr>
          <w:sz w:val="20"/>
          <w:szCs w:val="20"/>
          <w:color w:val="auto"/>
        </w:rPr>
        <w:tab/>
      </w:r>
      <w:r>
        <w:rPr>
          <w:rFonts w:ascii="Calibri" w:cs="Calibri" w:eastAsia="Calibri" w:hAnsi="Calibri"/>
          <w:sz w:val="17"/>
          <w:szCs w:val="17"/>
          <w:b w:val="1"/>
          <w:bCs w:val="1"/>
          <w:color w:val="auto"/>
        </w:rPr>
        <w:t>YoY Cost of Risk Evoluton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14605</wp:posOffset>
            </wp:positionV>
            <wp:extent cx="6047105" cy="1016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47105" cy="101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11"/>
          <w:szCs w:val="11"/>
          <w:color w:val="auto"/>
        </w:rPr>
        <w:t>(1) Others include BCP Bolivia, Mibanco Colombia, ASB and eliminatons.</w:t>
      </w:r>
    </w:p>
    <w:p>
      <w:pPr>
        <w:ind w:left="5680"/>
        <w:spacing w:after="0" w:line="201" w:lineRule="auto"/>
        <w:rPr>
          <w:sz w:val="20"/>
          <w:szCs w:val="20"/>
          <w:color w:val="auto"/>
        </w:rPr>
      </w:pPr>
      <w:r>
        <w:rPr>
          <w:rFonts w:ascii="Calibri" w:cs="Calibri" w:eastAsia="Calibri" w:hAnsi="Calibri"/>
          <w:sz w:val="11"/>
          <w:szCs w:val="11"/>
          <w:color w:val="auto"/>
        </w:rPr>
        <w:t>(1) Others include BCP Bolivia, Mibanco Colombia, ASB and eliminatons.</w:t>
      </w: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YTD Cost of Risk Evoluton*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22860</wp:posOffset>
            </wp:positionV>
            <wp:extent cx="2866390" cy="11315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6639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140" w:hanging="148"/>
        <w:spacing w:after="0"/>
        <w:tabs>
          <w:tab w:leader="none" w:pos="4140" w:val="left"/>
        </w:tabs>
        <w:numPr>
          <w:ilvl w:val="1"/>
          <w:numId w:val="28"/>
        </w:numPr>
        <w:rPr>
          <w:rFonts w:ascii="Calibri" w:cs="Calibri" w:eastAsia="Calibri" w:hAnsi="Calibri"/>
          <w:sz w:val="11"/>
          <w:szCs w:val="11"/>
          <w:color w:val="auto"/>
        </w:rPr>
      </w:pPr>
      <w:r>
        <w:rPr>
          <w:rFonts w:ascii="Calibri" w:cs="Calibri" w:eastAsia="Calibri" w:hAnsi="Calibri"/>
          <w:sz w:val="11"/>
          <w:szCs w:val="11"/>
          <w:color w:val="auto"/>
        </w:rPr>
        <w:t>It includes reversal of provisions for “El Niño” Phenomenon in 1Q24.</w:t>
      </w:r>
    </w:p>
    <w:p>
      <w:pPr>
        <w:ind w:left="4120" w:hanging="150"/>
        <w:spacing w:after="0" w:line="232" w:lineRule="auto"/>
        <w:tabs>
          <w:tab w:leader="none" w:pos="4120" w:val="left"/>
        </w:tabs>
        <w:numPr>
          <w:ilvl w:val="0"/>
          <w:numId w:val="28"/>
        </w:numPr>
        <w:rPr>
          <w:rFonts w:ascii="Calibri" w:cs="Calibri" w:eastAsia="Calibri" w:hAnsi="Calibri"/>
          <w:sz w:val="11"/>
          <w:szCs w:val="11"/>
          <w:color w:val="auto"/>
        </w:rPr>
      </w:pPr>
      <w:r>
        <w:rPr>
          <w:rFonts w:ascii="Calibri" w:cs="Calibri" w:eastAsia="Calibri" w:hAnsi="Calibri"/>
          <w:sz w:val="11"/>
          <w:szCs w:val="11"/>
          <w:color w:val="auto"/>
        </w:rPr>
        <w:t>Others include BCP Bolivia, Mibanco Colombia, ASB and eliminatons.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841375</wp:posOffset>
            </wp:positionV>
            <wp:extent cx="713740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130810</wp:posOffset>
            </wp:positionV>
            <wp:extent cx="6484620" cy="4457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84620" cy="445770"/>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31" w:name="page32"/>
    <w:bookmarkEnd w:id="31"/>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05. Portolio Quality and Provisions</w:t>
      </w:r>
    </w:p>
    <w:p>
      <w:pPr>
        <w:spacing w:after="0" w:line="2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NPL Coverage Rato (in Quarter-end balances)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45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Loan Portolio Quality and Delinquency Ratos</w:t>
            </w:r>
          </w:p>
        </w:tc>
        <w:tc>
          <w:tcPr>
            <w:tcW w:w="1340" w:type="dxa"/>
            <w:vAlign w:val="bottom"/>
            <w:tcBorders>
              <w:top w:val="single" w:sz="8" w:color="auto"/>
            </w:tcBorders>
            <w:shd w:val="clear" w:color="auto" w:fill="33CCCC"/>
          </w:tcPr>
          <w:p>
            <w:pPr>
              <w:spacing w:after="0"/>
              <w:rPr>
                <w:sz w:val="15"/>
                <w:szCs w:val="15"/>
                <w:color w:val="auto"/>
              </w:rPr>
            </w:pPr>
          </w:p>
        </w:tc>
        <w:tc>
          <w:tcPr>
            <w:tcW w:w="1340" w:type="dxa"/>
            <w:vAlign w:val="bottom"/>
            <w:tcBorders>
              <w:top w:val="single" w:sz="8" w:color="auto"/>
            </w:tcBorders>
            <w:shd w:val="clear" w:color="auto" w:fill="33CCCC"/>
          </w:tcPr>
          <w:p>
            <w:pPr>
              <w:ind w:left="540"/>
              <w:spacing w:after="0"/>
              <w:rPr>
                <w:sz w:val="20"/>
                <w:szCs w:val="20"/>
                <w:color w:val="auto"/>
              </w:rPr>
            </w:pPr>
            <w:r>
              <w:rPr>
                <w:rFonts w:ascii="Calibri" w:cs="Calibri" w:eastAsia="Calibri" w:hAnsi="Calibri"/>
                <w:sz w:val="14"/>
                <w:szCs w:val="14"/>
                <w:b w:val="1"/>
                <w:bCs w:val="1"/>
                <w:color w:val="FFFFFF"/>
              </w:rPr>
              <w:t>As of</w:t>
            </w:r>
          </w:p>
        </w:tc>
        <w:tc>
          <w:tcPr>
            <w:tcW w:w="1380" w:type="dxa"/>
            <w:vAlign w:val="bottom"/>
            <w:tcBorders>
              <w:top w:val="single" w:sz="8" w:color="auto"/>
              <w:right w:val="single" w:sz="8" w:color="auto"/>
            </w:tcBorders>
            <w:shd w:val="clear" w:color="auto" w:fill="33CCCC"/>
          </w:tcPr>
          <w:p>
            <w:pPr>
              <w:spacing w:after="0"/>
              <w:rPr>
                <w:sz w:val="15"/>
                <w:szCs w:val="15"/>
                <w:color w:val="auto"/>
              </w:rPr>
            </w:pPr>
          </w:p>
        </w:tc>
        <w:tc>
          <w:tcPr>
            <w:tcW w:w="960" w:type="dxa"/>
            <w:vAlign w:val="bottom"/>
            <w:tcBorders>
              <w:top w:val="single" w:sz="8" w:color="auto"/>
            </w:tcBorders>
            <w:shd w:val="clear" w:color="auto" w:fill="33CCCC"/>
          </w:tcPr>
          <w:p>
            <w:pPr>
              <w:spacing w:after="0"/>
              <w:rPr>
                <w:sz w:val="15"/>
                <w:szCs w:val="15"/>
                <w:color w:val="auto"/>
              </w:rPr>
            </w:pPr>
          </w:p>
        </w:tc>
        <w:tc>
          <w:tcPr>
            <w:tcW w:w="172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4"/>
                <w:szCs w:val="14"/>
                <w:b w:val="1"/>
                <w:bCs w:val="1"/>
                <w:color w:val="FFFFFF"/>
              </w:rPr>
              <w:t>% change</w:t>
            </w:r>
          </w:p>
        </w:tc>
      </w:tr>
      <w:tr>
        <w:trPr>
          <w:trHeight w:val="169"/>
        </w:trPr>
        <w:tc>
          <w:tcPr>
            <w:tcW w:w="4520" w:type="dxa"/>
            <w:vAlign w:val="bottom"/>
            <w:tcBorders>
              <w:left w:val="single" w:sz="8" w:color="auto"/>
              <w:bottom w:val="single" w:sz="8" w:color="auto"/>
              <w:right w:val="single" w:sz="8" w:color="auto"/>
            </w:tcBorders>
            <w:shd w:val="clear" w:color="auto" w:fill="33CCCC"/>
          </w:tcPr>
          <w:p>
            <w:pPr>
              <w:ind w:left="20"/>
              <w:spacing w:after="0" w:line="166" w:lineRule="exact"/>
              <w:rPr>
                <w:sz w:val="20"/>
                <w:szCs w:val="20"/>
                <w:color w:val="auto"/>
              </w:rPr>
            </w:pPr>
            <w:r>
              <w:rPr>
                <w:rFonts w:ascii="Calibri" w:cs="Calibri" w:eastAsia="Calibri" w:hAnsi="Calibri"/>
                <w:sz w:val="14"/>
                <w:szCs w:val="14"/>
                <w:b w:val="1"/>
                <w:bCs w:val="1"/>
                <w:color w:val="FFFFFF"/>
              </w:rPr>
              <w:t>S/000</w:t>
            </w:r>
          </w:p>
        </w:tc>
        <w:tc>
          <w:tcPr>
            <w:tcW w:w="1340" w:type="dxa"/>
            <w:vAlign w:val="bottom"/>
            <w:tcBorders>
              <w:bottom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w w:val="96"/>
              </w:rPr>
              <w:t>2Q24</w:t>
            </w:r>
          </w:p>
        </w:tc>
        <w:tc>
          <w:tcPr>
            <w:tcW w:w="1340" w:type="dxa"/>
            <w:vAlign w:val="bottom"/>
            <w:tcBorders>
              <w:bottom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w w:val="96"/>
              </w:rPr>
              <w:t>1Q25</w:t>
            </w:r>
          </w:p>
        </w:tc>
        <w:tc>
          <w:tcPr>
            <w:tcW w:w="1380" w:type="dxa"/>
            <w:vAlign w:val="bottom"/>
            <w:tcBorders>
              <w:bottom w:val="single" w:sz="8" w:color="auto"/>
              <w:right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rPr>
              <w:t>2Q25</w:t>
            </w:r>
          </w:p>
        </w:tc>
        <w:tc>
          <w:tcPr>
            <w:tcW w:w="960" w:type="dxa"/>
            <w:vAlign w:val="bottom"/>
            <w:tcBorders>
              <w:bottom w:val="single" w:sz="8" w:color="auto"/>
            </w:tcBorders>
            <w:shd w:val="clear" w:color="auto" w:fill="33CCCC"/>
          </w:tcPr>
          <w:p>
            <w:pPr>
              <w:jc w:val="center"/>
              <w:ind w:left="271"/>
              <w:spacing w:after="0" w:line="166" w:lineRule="exact"/>
              <w:rPr>
                <w:sz w:val="20"/>
                <w:szCs w:val="20"/>
                <w:color w:val="auto"/>
              </w:rPr>
            </w:pPr>
            <w:r>
              <w:rPr>
                <w:rFonts w:ascii="Calibri" w:cs="Calibri" w:eastAsia="Calibri" w:hAnsi="Calibri"/>
                <w:sz w:val="14"/>
                <w:szCs w:val="14"/>
                <w:b w:val="1"/>
                <w:bCs w:val="1"/>
                <w:color w:val="FFFFFF"/>
                <w:w w:val="97"/>
              </w:rPr>
              <w:t>QoQ</w:t>
            </w:r>
          </w:p>
        </w:tc>
        <w:tc>
          <w:tcPr>
            <w:tcW w:w="1720" w:type="dxa"/>
            <w:vAlign w:val="bottom"/>
            <w:tcBorders>
              <w:bottom w:val="single" w:sz="8" w:color="auto"/>
              <w:right w:val="single" w:sz="8" w:color="auto"/>
            </w:tcBorders>
            <w:shd w:val="clear" w:color="auto" w:fill="33CCCC"/>
          </w:tcPr>
          <w:p>
            <w:pPr>
              <w:jc w:val="center"/>
              <w:ind w:left="251"/>
              <w:spacing w:after="0" w:line="166" w:lineRule="exact"/>
              <w:rPr>
                <w:sz w:val="20"/>
                <w:szCs w:val="20"/>
                <w:color w:val="auto"/>
              </w:rPr>
            </w:pPr>
            <w:r>
              <w:rPr>
                <w:rFonts w:ascii="Calibri" w:cs="Calibri" w:eastAsia="Calibri" w:hAnsi="Calibri"/>
                <w:sz w:val="14"/>
                <w:szCs w:val="14"/>
                <w:b w:val="1"/>
                <w:bCs w:val="1"/>
                <w:color w:val="FFFFFF"/>
                <w:w w:val="90"/>
              </w:rPr>
              <w:t>YoY</w:t>
            </w:r>
          </w:p>
        </w:tc>
      </w:tr>
      <w:tr>
        <w:trPr>
          <w:trHeight w:val="164"/>
        </w:trPr>
        <w:tc>
          <w:tcPr>
            <w:tcW w:w="452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Total loans (Quarter-end balance)</w:t>
            </w:r>
          </w:p>
        </w:tc>
        <w:tc>
          <w:tcPr>
            <w:tcW w:w="1340" w:type="dxa"/>
            <w:vAlign w:val="bottom"/>
            <w:tcBorders>
              <w:bottom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146,946,546</w:t>
            </w:r>
          </w:p>
        </w:tc>
        <w:tc>
          <w:tcPr>
            <w:tcW w:w="1340" w:type="dxa"/>
            <w:vAlign w:val="bottom"/>
            <w:tcBorders>
              <w:bottom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141,196,646</w:t>
            </w:r>
          </w:p>
        </w:tc>
        <w:tc>
          <w:tcPr>
            <w:tcW w:w="138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140,961,978</w:t>
            </w:r>
          </w:p>
        </w:tc>
        <w:tc>
          <w:tcPr>
            <w:tcW w:w="960" w:type="dxa"/>
            <w:vAlign w:val="bottom"/>
            <w:tcBorders>
              <w:bottom w:val="single" w:sz="8" w:color="auto"/>
            </w:tcBorders>
          </w:tcPr>
          <w:p>
            <w:pPr>
              <w:jc w:val="center"/>
              <w:ind w:left="251"/>
              <w:spacing w:after="0" w:line="164" w:lineRule="exact"/>
              <w:rPr>
                <w:sz w:val="20"/>
                <w:szCs w:val="20"/>
                <w:color w:val="auto"/>
              </w:rPr>
            </w:pPr>
            <w:r>
              <w:rPr>
                <w:rFonts w:ascii="Calibri" w:cs="Calibri" w:eastAsia="Calibri" w:hAnsi="Calibri"/>
                <w:sz w:val="14"/>
                <w:szCs w:val="14"/>
                <w:color w:val="auto"/>
                <w:w w:val="99"/>
              </w:rPr>
              <w:t>-0.2%</w:t>
            </w:r>
          </w:p>
        </w:tc>
        <w:tc>
          <w:tcPr>
            <w:tcW w:w="1720" w:type="dxa"/>
            <w:vAlign w:val="bottom"/>
            <w:tcBorders>
              <w:bottom w:val="single" w:sz="8" w:color="auto"/>
              <w:right w:val="single" w:sz="8" w:color="auto"/>
            </w:tcBorders>
          </w:tcPr>
          <w:p>
            <w:pPr>
              <w:jc w:val="center"/>
              <w:ind w:left="251"/>
              <w:spacing w:after="0" w:line="164" w:lineRule="exact"/>
              <w:rPr>
                <w:sz w:val="20"/>
                <w:szCs w:val="20"/>
                <w:color w:val="auto"/>
              </w:rPr>
            </w:pPr>
            <w:r>
              <w:rPr>
                <w:rFonts w:ascii="Calibri" w:cs="Calibri" w:eastAsia="Calibri" w:hAnsi="Calibri"/>
                <w:sz w:val="14"/>
                <w:szCs w:val="14"/>
                <w:color w:val="auto"/>
                <w:w w:val="99"/>
              </w:rPr>
              <w:t>-4.1%</w:t>
            </w:r>
          </w:p>
        </w:tc>
      </w:tr>
      <w:tr>
        <w:trPr>
          <w:trHeight w:val="162"/>
        </w:trPr>
        <w:tc>
          <w:tcPr>
            <w:tcW w:w="452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Allowance for loan losses</w:t>
            </w:r>
          </w:p>
        </w:tc>
        <w:tc>
          <w:tcPr>
            <w:tcW w:w="134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8"/>
              </w:rPr>
              <w:t>8,350,024</w:t>
            </w:r>
          </w:p>
        </w:tc>
        <w:tc>
          <w:tcPr>
            <w:tcW w:w="134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8"/>
              </w:rPr>
              <w:t>7,742,792</w:t>
            </w:r>
          </w:p>
        </w:tc>
        <w:tc>
          <w:tcPr>
            <w:tcW w:w="138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8"/>
              </w:rPr>
              <w:t>7,658,595</w:t>
            </w:r>
          </w:p>
        </w:tc>
        <w:tc>
          <w:tcPr>
            <w:tcW w:w="960" w:type="dxa"/>
            <w:vAlign w:val="bottom"/>
            <w:tcBorders>
              <w:bottom w:val="single" w:sz="8" w:color="auto"/>
            </w:tcBorders>
          </w:tcPr>
          <w:p>
            <w:pPr>
              <w:jc w:val="center"/>
              <w:ind w:left="251"/>
              <w:spacing w:after="0" w:line="162" w:lineRule="exact"/>
              <w:rPr>
                <w:sz w:val="20"/>
                <w:szCs w:val="20"/>
                <w:color w:val="auto"/>
              </w:rPr>
            </w:pPr>
            <w:r>
              <w:rPr>
                <w:rFonts w:ascii="Calibri" w:cs="Calibri" w:eastAsia="Calibri" w:hAnsi="Calibri"/>
                <w:sz w:val="14"/>
                <w:szCs w:val="14"/>
                <w:color w:val="auto"/>
                <w:w w:val="99"/>
              </w:rPr>
              <w:t>-1.1%</w:t>
            </w:r>
          </w:p>
        </w:tc>
        <w:tc>
          <w:tcPr>
            <w:tcW w:w="1720" w:type="dxa"/>
            <w:vAlign w:val="bottom"/>
            <w:tcBorders>
              <w:bottom w:val="single" w:sz="8" w:color="auto"/>
              <w:right w:val="single" w:sz="8" w:color="auto"/>
            </w:tcBorders>
          </w:tcPr>
          <w:p>
            <w:pPr>
              <w:jc w:val="center"/>
              <w:ind w:left="251"/>
              <w:spacing w:after="0" w:line="162" w:lineRule="exact"/>
              <w:rPr>
                <w:sz w:val="20"/>
                <w:szCs w:val="20"/>
                <w:color w:val="auto"/>
              </w:rPr>
            </w:pPr>
            <w:r>
              <w:rPr>
                <w:rFonts w:ascii="Calibri" w:cs="Calibri" w:eastAsia="Calibri" w:hAnsi="Calibri"/>
                <w:sz w:val="14"/>
                <w:szCs w:val="14"/>
                <w:color w:val="auto"/>
                <w:w w:val="99"/>
              </w:rPr>
              <w:t>-8.3%</w:t>
            </w:r>
          </w:p>
        </w:tc>
      </w:tr>
      <w:tr>
        <w:trPr>
          <w:trHeight w:val="162"/>
        </w:trPr>
        <w:tc>
          <w:tcPr>
            <w:tcW w:w="452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Non-performing loans (NPLs)</w:t>
            </w:r>
          </w:p>
        </w:tc>
        <w:tc>
          <w:tcPr>
            <w:tcW w:w="134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8"/>
              </w:rPr>
              <w:t>8,785,896</w:t>
            </w:r>
          </w:p>
        </w:tc>
        <w:tc>
          <w:tcPr>
            <w:tcW w:w="134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8"/>
              </w:rPr>
              <w:t>7,207,677</w:t>
            </w:r>
          </w:p>
        </w:tc>
        <w:tc>
          <w:tcPr>
            <w:tcW w:w="138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8"/>
              </w:rPr>
              <w:t>6,991,921</w:t>
            </w:r>
          </w:p>
        </w:tc>
        <w:tc>
          <w:tcPr>
            <w:tcW w:w="960" w:type="dxa"/>
            <w:vAlign w:val="bottom"/>
            <w:tcBorders>
              <w:bottom w:val="single" w:sz="8" w:color="auto"/>
            </w:tcBorders>
          </w:tcPr>
          <w:p>
            <w:pPr>
              <w:jc w:val="center"/>
              <w:ind w:left="251"/>
              <w:spacing w:after="0" w:line="162" w:lineRule="exact"/>
              <w:rPr>
                <w:sz w:val="20"/>
                <w:szCs w:val="20"/>
                <w:color w:val="auto"/>
              </w:rPr>
            </w:pPr>
            <w:r>
              <w:rPr>
                <w:rFonts w:ascii="Calibri" w:cs="Calibri" w:eastAsia="Calibri" w:hAnsi="Calibri"/>
                <w:sz w:val="14"/>
                <w:szCs w:val="14"/>
                <w:color w:val="auto"/>
                <w:w w:val="99"/>
              </w:rPr>
              <w:t>-3.0%</w:t>
            </w:r>
          </w:p>
        </w:tc>
        <w:tc>
          <w:tcPr>
            <w:tcW w:w="1720" w:type="dxa"/>
            <w:vAlign w:val="bottom"/>
            <w:tcBorders>
              <w:bottom w:val="single" w:sz="8" w:color="auto"/>
              <w:right w:val="single" w:sz="8" w:color="auto"/>
            </w:tcBorders>
          </w:tcPr>
          <w:p>
            <w:pPr>
              <w:jc w:val="center"/>
              <w:ind w:left="251"/>
              <w:spacing w:after="0" w:line="162" w:lineRule="exact"/>
              <w:rPr>
                <w:sz w:val="20"/>
                <w:szCs w:val="20"/>
                <w:color w:val="auto"/>
              </w:rPr>
            </w:pPr>
            <w:r>
              <w:rPr>
                <w:rFonts w:ascii="Calibri" w:cs="Calibri" w:eastAsia="Calibri" w:hAnsi="Calibri"/>
                <w:sz w:val="14"/>
                <w:szCs w:val="14"/>
                <w:color w:val="auto"/>
              </w:rPr>
              <w:t>-20.4%</w:t>
            </w:r>
          </w:p>
        </w:tc>
      </w:tr>
      <w:tr>
        <w:trPr>
          <w:trHeight w:val="162"/>
        </w:trPr>
        <w:tc>
          <w:tcPr>
            <w:tcW w:w="452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4"/>
                <w:szCs w:val="14"/>
                <w:b w:val="1"/>
                <w:bCs w:val="1"/>
                <w:color w:val="auto"/>
              </w:rPr>
              <w:t>Allowance for loan losses over Total loans</w:t>
            </w:r>
          </w:p>
        </w:tc>
        <w:tc>
          <w:tcPr>
            <w:tcW w:w="134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b w:val="1"/>
                <w:bCs w:val="1"/>
                <w:color w:val="auto"/>
                <w:w w:val="99"/>
              </w:rPr>
              <w:t>5.7%</w:t>
            </w:r>
          </w:p>
        </w:tc>
        <w:tc>
          <w:tcPr>
            <w:tcW w:w="134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b w:val="1"/>
                <w:bCs w:val="1"/>
                <w:color w:val="auto"/>
                <w:w w:val="99"/>
              </w:rPr>
              <w:t>5.5%</w:t>
            </w:r>
          </w:p>
        </w:tc>
        <w:tc>
          <w:tcPr>
            <w:tcW w:w="138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b w:val="1"/>
                <w:bCs w:val="1"/>
                <w:color w:val="auto"/>
                <w:w w:val="99"/>
              </w:rPr>
              <w:t>5.4%</w:t>
            </w:r>
          </w:p>
        </w:tc>
        <w:tc>
          <w:tcPr>
            <w:tcW w:w="960" w:type="dxa"/>
            <w:vAlign w:val="bottom"/>
            <w:tcBorders>
              <w:bottom w:val="single" w:sz="8" w:color="auto"/>
            </w:tcBorders>
          </w:tcPr>
          <w:p>
            <w:pPr>
              <w:jc w:val="center"/>
              <w:ind w:left="271"/>
              <w:spacing w:after="0" w:line="162" w:lineRule="exact"/>
              <w:rPr>
                <w:sz w:val="20"/>
                <w:szCs w:val="20"/>
                <w:color w:val="auto"/>
              </w:rPr>
            </w:pPr>
            <w:r>
              <w:rPr>
                <w:rFonts w:ascii="Calibri" w:cs="Calibri" w:eastAsia="Calibri" w:hAnsi="Calibri"/>
                <w:sz w:val="14"/>
                <w:szCs w:val="14"/>
                <w:b w:val="1"/>
                <w:bCs w:val="1"/>
                <w:color w:val="auto"/>
                <w:w w:val="96"/>
              </w:rPr>
              <w:t>-5 bps</w:t>
            </w:r>
          </w:p>
        </w:tc>
        <w:tc>
          <w:tcPr>
            <w:tcW w:w="1720" w:type="dxa"/>
            <w:vAlign w:val="bottom"/>
            <w:tcBorders>
              <w:bottom w:val="single" w:sz="8" w:color="auto"/>
              <w:right w:val="single" w:sz="8" w:color="auto"/>
            </w:tcBorders>
          </w:tcPr>
          <w:p>
            <w:pPr>
              <w:jc w:val="center"/>
              <w:ind w:left="271"/>
              <w:spacing w:after="0" w:line="162" w:lineRule="exact"/>
              <w:rPr>
                <w:sz w:val="20"/>
                <w:szCs w:val="20"/>
                <w:color w:val="auto"/>
              </w:rPr>
            </w:pPr>
            <w:r>
              <w:rPr>
                <w:rFonts w:ascii="Calibri" w:cs="Calibri" w:eastAsia="Calibri" w:hAnsi="Calibri"/>
                <w:sz w:val="14"/>
                <w:szCs w:val="14"/>
                <w:b w:val="1"/>
                <w:bCs w:val="1"/>
                <w:color w:val="auto"/>
                <w:w w:val="99"/>
              </w:rPr>
              <w:t>-25 bps</w:t>
            </w:r>
          </w:p>
        </w:tc>
      </w:tr>
      <w:tr>
        <w:trPr>
          <w:trHeight w:val="162"/>
        </w:trPr>
        <w:tc>
          <w:tcPr>
            <w:tcW w:w="452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4"/>
                <w:szCs w:val="14"/>
                <w:b w:val="1"/>
                <w:bCs w:val="1"/>
                <w:color w:val="auto"/>
              </w:rPr>
              <w:t>Coverage rato of NPLs</w:t>
            </w:r>
          </w:p>
        </w:tc>
        <w:tc>
          <w:tcPr>
            <w:tcW w:w="134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b w:val="1"/>
                <w:bCs w:val="1"/>
                <w:color w:val="auto"/>
                <w:w w:val="96"/>
              </w:rPr>
              <w:t>95.0%</w:t>
            </w:r>
          </w:p>
        </w:tc>
        <w:tc>
          <w:tcPr>
            <w:tcW w:w="1340" w:type="dxa"/>
            <w:vAlign w:val="bottom"/>
            <w:tcBorders>
              <w:bottom w:val="single" w:sz="8" w:color="auto"/>
            </w:tcBorders>
          </w:tcPr>
          <w:p>
            <w:pPr>
              <w:jc w:val="center"/>
              <w:spacing w:after="0" w:line="162" w:lineRule="exact"/>
              <w:rPr>
                <w:sz w:val="20"/>
                <w:szCs w:val="20"/>
                <w:color w:val="auto"/>
              </w:rPr>
            </w:pPr>
            <w:r>
              <w:rPr>
                <w:rFonts w:ascii="Calibri" w:cs="Calibri" w:eastAsia="Calibri" w:hAnsi="Calibri"/>
                <w:sz w:val="14"/>
                <w:szCs w:val="14"/>
                <w:b w:val="1"/>
                <w:bCs w:val="1"/>
                <w:color w:val="auto"/>
                <w:w w:val="99"/>
              </w:rPr>
              <w:t>107.4%</w:t>
            </w:r>
          </w:p>
        </w:tc>
        <w:tc>
          <w:tcPr>
            <w:tcW w:w="138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b w:val="1"/>
                <w:bCs w:val="1"/>
                <w:color w:val="auto"/>
                <w:w w:val="99"/>
              </w:rPr>
              <w:t>109.5%</w:t>
            </w:r>
          </w:p>
        </w:tc>
        <w:tc>
          <w:tcPr>
            <w:tcW w:w="960" w:type="dxa"/>
            <w:vAlign w:val="bottom"/>
            <w:tcBorders>
              <w:bottom w:val="single" w:sz="8" w:color="auto"/>
            </w:tcBorders>
          </w:tcPr>
          <w:p>
            <w:pPr>
              <w:jc w:val="center"/>
              <w:ind w:left="271"/>
              <w:spacing w:after="0" w:line="162" w:lineRule="exact"/>
              <w:rPr>
                <w:sz w:val="20"/>
                <w:szCs w:val="20"/>
                <w:color w:val="auto"/>
              </w:rPr>
            </w:pPr>
            <w:r>
              <w:rPr>
                <w:rFonts w:ascii="Calibri" w:cs="Calibri" w:eastAsia="Calibri" w:hAnsi="Calibri"/>
                <w:sz w:val="14"/>
                <w:szCs w:val="14"/>
                <w:b w:val="1"/>
                <w:bCs w:val="1"/>
                <w:color w:val="auto"/>
              </w:rPr>
              <w:t>211 bps</w:t>
            </w:r>
          </w:p>
        </w:tc>
        <w:tc>
          <w:tcPr>
            <w:tcW w:w="1720" w:type="dxa"/>
            <w:vAlign w:val="bottom"/>
            <w:tcBorders>
              <w:bottom w:val="single" w:sz="8" w:color="auto"/>
              <w:right w:val="single" w:sz="8" w:color="auto"/>
            </w:tcBorders>
          </w:tcPr>
          <w:p>
            <w:pPr>
              <w:jc w:val="center"/>
              <w:ind w:left="251"/>
              <w:spacing w:after="0" w:line="162" w:lineRule="exact"/>
              <w:rPr>
                <w:sz w:val="20"/>
                <w:szCs w:val="20"/>
                <w:color w:val="auto"/>
              </w:rPr>
            </w:pPr>
            <w:r>
              <w:rPr>
                <w:rFonts w:ascii="Calibri" w:cs="Calibri" w:eastAsia="Calibri" w:hAnsi="Calibri"/>
                <w:sz w:val="14"/>
                <w:szCs w:val="14"/>
                <w:b w:val="1"/>
                <w:bCs w:val="1"/>
                <w:color w:val="auto"/>
                <w:w w:val="99"/>
              </w:rPr>
              <w:t>1449 bps</w:t>
            </w:r>
          </w:p>
        </w:tc>
      </w:tr>
    </w:tbl>
    <w:p>
      <w:pPr>
        <w:spacing w:after="0" w:line="186" w:lineRule="exact"/>
        <w:rPr>
          <w:sz w:val="20"/>
          <w:szCs w:val="20"/>
          <w:color w:val="auto"/>
        </w:rPr>
      </w:pPr>
    </w:p>
    <w:p>
      <w:pPr>
        <w:ind w:left="1800"/>
        <w:spacing w:after="0"/>
        <w:rPr>
          <w:sz w:val="20"/>
          <w:szCs w:val="20"/>
          <w:color w:val="auto"/>
        </w:rPr>
      </w:pPr>
      <w:r>
        <w:rPr>
          <w:rFonts w:ascii="Calibri" w:cs="Calibri" w:eastAsia="Calibri" w:hAnsi="Calibri"/>
          <w:sz w:val="17"/>
          <w:szCs w:val="17"/>
          <w:b w:val="1"/>
          <w:bCs w:val="1"/>
          <w:color w:val="auto"/>
        </w:rPr>
        <w:t>Allowance for loan losses</w:t>
      </w:r>
    </w:p>
    <w:p>
      <w:pPr>
        <w:spacing w:after="0" w:line="1" w:lineRule="exact"/>
        <w:rPr>
          <w:sz w:val="20"/>
          <w:szCs w:val="20"/>
          <w:color w:val="auto"/>
        </w:rPr>
      </w:pPr>
    </w:p>
    <w:p>
      <w:pPr>
        <w:ind w:left="2220"/>
        <w:spacing w:after="0"/>
        <w:rPr>
          <w:sz w:val="20"/>
          <w:szCs w:val="20"/>
          <w:color w:val="auto"/>
        </w:rPr>
      </w:pPr>
      <w:r>
        <w:rPr>
          <w:rFonts w:ascii="Calibri" w:cs="Calibri" w:eastAsia="Calibri" w:hAnsi="Calibri"/>
          <w:sz w:val="17"/>
          <w:szCs w:val="17"/>
          <w:color w:val="auto"/>
        </w:rPr>
        <w:t>(in S/ millions)</w:t>
      </w:r>
    </w:p>
    <w:p>
      <w:pPr>
        <w:spacing w:after="0" w:line="197" w:lineRule="exact"/>
        <w:rPr>
          <w:sz w:val="20"/>
          <w:szCs w:val="20"/>
          <w:color w:val="auto"/>
        </w:rPr>
      </w:pPr>
    </w:p>
    <w:p>
      <w:pPr>
        <w:ind w:left="5520" w:right="440"/>
        <w:spacing w:after="0" w:line="239" w:lineRule="auto"/>
        <w:rPr>
          <w:sz w:val="20"/>
          <w:szCs w:val="20"/>
          <w:color w:val="auto"/>
        </w:rPr>
      </w:pPr>
      <w:r>
        <w:rPr>
          <w:rFonts w:ascii="Calibri" w:cs="Calibri" w:eastAsia="Calibri" w:hAnsi="Calibri"/>
          <w:sz w:val="17"/>
          <w:szCs w:val="17"/>
          <w:b w:val="1"/>
          <w:bCs w:val="1"/>
          <w:color w:val="auto"/>
        </w:rPr>
        <w:t xml:space="preserve">QoQ, </w:t>
      </w:r>
      <w:r>
        <w:rPr>
          <w:rFonts w:ascii="Calibri" w:cs="Calibri" w:eastAsia="Calibri" w:hAnsi="Calibri"/>
          <w:sz w:val="17"/>
          <w:szCs w:val="17"/>
          <w:color w:val="auto"/>
        </w:rPr>
        <w:t>Allowances for Loan Losses dropped 1.1%, driven mainly by</w:t>
      </w:r>
      <w:r>
        <w:rPr>
          <w:rFonts w:ascii="Calibri" w:cs="Calibri" w:eastAsia="Calibri" w:hAnsi="Calibri"/>
          <w:sz w:val="17"/>
          <w:szCs w:val="17"/>
          <w:b w:val="1"/>
          <w:bCs w:val="1"/>
          <w:color w:val="auto"/>
        </w:rPr>
        <w:t xml:space="preserve"> BCP Bolivia </w:t>
      </w:r>
      <w:r>
        <w:rPr>
          <w:rFonts w:ascii="Calibri" w:cs="Calibri" w:eastAsia="Calibri" w:hAnsi="Calibri"/>
          <w:sz w:val="17"/>
          <w:szCs w:val="17"/>
          <w:color w:val="auto"/>
        </w:rPr>
        <w:t>and secondarily by</w:t>
      </w:r>
      <w:r>
        <w:rPr>
          <w:rFonts w:ascii="Calibri" w:cs="Calibri" w:eastAsia="Calibri" w:hAnsi="Calibri"/>
          <w:sz w:val="17"/>
          <w:szCs w:val="17"/>
          <w:b w:val="1"/>
          <w:bCs w:val="1"/>
          <w:color w:val="auto"/>
        </w:rPr>
        <w:t xml:space="preserve"> Mortgage </w:t>
      </w:r>
      <w:r>
        <w:rPr>
          <w:rFonts w:ascii="Calibri" w:cs="Calibri" w:eastAsia="Calibri" w:hAnsi="Calibri"/>
          <w:sz w:val="17"/>
          <w:szCs w:val="17"/>
          <w:color w:val="auto"/>
        </w:rPr>
        <w:t>at</w:t>
      </w:r>
      <w:r>
        <w:rPr>
          <w:rFonts w:ascii="Calibri" w:cs="Calibri" w:eastAsia="Calibri" w:hAnsi="Calibri"/>
          <w:sz w:val="17"/>
          <w:szCs w:val="17"/>
          <w:b w:val="1"/>
          <w:bCs w:val="1"/>
          <w:color w:val="auto"/>
        </w:rPr>
        <w:t xml:space="preserve">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-248285</wp:posOffset>
            </wp:positionV>
            <wp:extent cx="2453640" cy="1577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53640" cy="1577975"/>
                    </a:xfrm>
                    <a:prstGeom prst="rect">
                      <a:avLst/>
                    </a:prstGeom>
                    <a:noFill/>
                  </pic:spPr>
                </pic:pic>
              </a:graphicData>
            </a:graphic>
          </wp:anchor>
        </w:drawing>
      </w:r>
    </w:p>
    <w:p>
      <w:pPr>
        <w:spacing w:after="0" w:line="178" w:lineRule="exact"/>
        <w:rPr>
          <w:sz w:val="20"/>
          <w:szCs w:val="20"/>
          <w:color w:val="auto"/>
        </w:rPr>
      </w:pPr>
    </w:p>
    <w:p>
      <w:pPr>
        <w:jc w:val="both"/>
        <w:ind w:left="5520" w:right="440"/>
        <w:spacing w:after="0" w:line="239" w:lineRule="auto"/>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Allowances for Loan Losses dropped 8.3%, fueled mainly by</w:t>
      </w:r>
      <w:r>
        <w:rPr>
          <w:rFonts w:ascii="Calibri" w:cs="Calibri" w:eastAsia="Calibri" w:hAnsi="Calibri"/>
          <w:sz w:val="17"/>
          <w:szCs w:val="17"/>
          <w:b w:val="1"/>
          <w:bCs w:val="1"/>
          <w:color w:val="auto"/>
        </w:rPr>
        <w:t xml:space="preserve"> SME-Pyme </w:t>
      </w:r>
      <w:r>
        <w:rPr>
          <w:rFonts w:ascii="Calibri" w:cs="Calibri" w:eastAsia="Calibri" w:hAnsi="Calibri"/>
          <w:sz w:val="17"/>
          <w:szCs w:val="17"/>
          <w:color w:val="auto"/>
        </w:rPr>
        <w:t xml:space="preserve">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secondarily by </w:t>
      </w:r>
      <w:r>
        <w:rPr>
          <w:rFonts w:ascii="Calibri" w:cs="Calibri" w:eastAsia="Calibri" w:hAnsi="Calibri"/>
          <w:sz w:val="17"/>
          <w:szCs w:val="17"/>
          <w:b w:val="1"/>
          <w:bCs w:val="1"/>
          <w:color w:val="auto"/>
        </w:rPr>
        <w:t>BCP Bolivia.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alibri" w:cs="Calibri" w:eastAsia="Calibri" w:hAnsi="Calibri"/>
          <w:sz w:val="11"/>
          <w:szCs w:val="11"/>
          <w:color w:val="auto"/>
        </w:rPr>
        <w:t>(1) Others include Mibanco Colombia, ASB and eliminatons.</w:t>
      </w:r>
    </w:p>
    <w:p>
      <w:pPr>
        <w:spacing w:after="0" w:line="223" w:lineRule="exact"/>
        <w:rPr>
          <w:sz w:val="20"/>
          <w:szCs w:val="20"/>
          <w:color w:val="auto"/>
        </w:rPr>
      </w:pPr>
    </w:p>
    <w:p>
      <w:pPr>
        <w:ind w:left="1960"/>
        <w:spacing w:after="0"/>
        <w:rPr>
          <w:sz w:val="20"/>
          <w:szCs w:val="20"/>
          <w:color w:val="auto"/>
        </w:rPr>
      </w:pPr>
      <w:r>
        <w:rPr>
          <w:rFonts w:ascii="Calibri" w:cs="Calibri" w:eastAsia="Calibri" w:hAnsi="Calibri"/>
          <w:sz w:val="17"/>
          <w:szCs w:val="17"/>
          <w:b w:val="1"/>
          <w:bCs w:val="1"/>
          <w:color w:val="auto"/>
        </w:rPr>
        <w:t>NPL Coverage Rato</w:t>
      </w:r>
    </w:p>
    <w:p>
      <w:pPr>
        <w:spacing w:after="0" w:line="2" w:lineRule="exact"/>
        <w:rPr>
          <w:sz w:val="20"/>
          <w:szCs w:val="20"/>
          <w:color w:val="auto"/>
        </w:rPr>
      </w:pPr>
    </w:p>
    <w:p>
      <w:pPr>
        <w:jc w:val="both"/>
        <w:ind w:left="5520" w:right="440"/>
        <w:spacing w:after="0" w:line="239" w:lineRule="auto"/>
        <w:rPr>
          <w:sz w:val="20"/>
          <w:szCs w:val="20"/>
          <w:color w:val="auto"/>
        </w:rPr>
      </w:pPr>
      <w:r>
        <w:rPr>
          <w:rFonts w:ascii="Calibri" w:cs="Calibri" w:eastAsia="Calibri" w:hAnsi="Calibri"/>
          <w:sz w:val="17"/>
          <w:szCs w:val="17"/>
          <w:color w:val="auto"/>
        </w:rPr>
        <w:t xml:space="preserve">The total NPL Coverage rato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stood at 109.5% at the end of 2Q25. If we exclude NPL volumes from the Government Loans Program (GP), the rato stands at 112.5%.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-379730</wp:posOffset>
            </wp:positionV>
            <wp:extent cx="2139315" cy="17430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39315" cy="1743075"/>
                    </a:xfrm>
                    <a:prstGeom prst="rect">
                      <a:avLst/>
                    </a:prstGeom>
                    <a:noFill/>
                  </pic:spPr>
                </pic:pic>
              </a:graphicData>
            </a:graphic>
          </wp:anchor>
        </w:drawing>
      </w:r>
    </w:p>
    <w:p>
      <w:pPr>
        <w:spacing w:after="0" w:line="178" w:lineRule="exact"/>
        <w:rPr>
          <w:sz w:val="20"/>
          <w:szCs w:val="20"/>
          <w:color w:val="auto"/>
        </w:rPr>
      </w:pPr>
    </w:p>
    <w:p>
      <w:pPr>
        <w:ind w:left="5520"/>
        <w:spacing w:after="0"/>
        <w:rPr>
          <w:sz w:val="20"/>
          <w:szCs w:val="20"/>
          <w:color w:val="auto"/>
        </w:rPr>
      </w:pPr>
      <w:r>
        <w:rPr>
          <w:rFonts w:ascii="Calibri" w:cs="Calibri" w:eastAsia="Calibri" w:hAnsi="Calibri"/>
          <w:sz w:val="17"/>
          <w:szCs w:val="17"/>
          <w:b w:val="1"/>
          <w:bCs w:val="1"/>
          <w:color w:val="auto"/>
        </w:rPr>
        <w:t>QoQ</w:t>
      </w:r>
    </w:p>
    <w:p>
      <w:pPr>
        <w:spacing w:after="0" w:line="2" w:lineRule="exact"/>
        <w:rPr>
          <w:sz w:val="20"/>
          <w:szCs w:val="20"/>
          <w:color w:val="auto"/>
        </w:rPr>
      </w:pPr>
    </w:p>
    <w:p>
      <w:pPr>
        <w:jc w:val="both"/>
        <w:ind w:left="5520" w:right="440"/>
        <w:spacing w:after="0" w:line="239" w:lineRule="auto"/>
        <w:rPr>
          <w:sz w:val="20"/>
          <w:szCs w:val="20"/>
          <w:color w:val="auto"/>
        </w:rPr>
      </w:pPr>
      <w:r>
        <w:rPr>
          <w:rFonts w:ascii="Calibri" w:cs="Calibri" w:eastAsia="Calibri" w:hAnsi="Calibri"/>
          <w:sz w:val="17"/>
          <w:szCs w:val="17"/>
          <w:color w:val="auto"/>
        </w:rPr>
        <w:t xml:space="preserve">The total NPL Coverage rato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increased 211 bps, fueled by the evoluton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Mibanco</w:t>
      </w:r>
      <w:r>
        <w:rPr>
          <w:rFonts w:ascii="Calibri" w:cs="Calibri" w:eastAsia="Calibri" w:hAnsi="Calibri"/>
          <w:sz w:val="17"/>
          <w:szCs w:val="17"/>
          <w:color w:val="auto"/>
        </w:rPr>
        <w:t>.</w:t>
      </w:r>
    </w:p>
    <w:p>
      <w:pPr>
        <w:spacing w:after="0" w:line="211" w:lineRule="exact"/>
        <w:rPr>
          <w:sz w:val="20"/>
          <w:szCs w:val="20"/>
          <w:color w:val="auto"/>
        </w:rPr>
      </w:pPr>
    </w:p>
    <w:p>
      <w:pPr>
        <w:jc w:val="both"/>
        <w:ind w:left="5520" w:right="440"/>
        <w:spacing w:after="0" w:line="239" w:lineRule="auto"/>
        <w:rPr>
          <w:sz w:val="20"/>
          <w:szCs w:val="20"/>
          <w:color w:val="auto"/>
        </w:rPr>
      </w:pPr>
      <w:r>
        <w:rPr>
          <w:rFonts w:ascii="Calibri" w:cs="Calibri" w:eastAsia="Calibri" w:hAnsi="Calibri"/>
          <w:sz w:val="17"/>
          <w:szCs w:val="17"/>
          <w:color w:val="auto"/>
        </w:rPr>
        <w:t>Next, we will analyze this evoluton by isolatng the impact of NPLs from the Government Loans Program, which are backed by ample guarantees that are being honored satsfactorily.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The NPL Coverage rato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excluding GP loans, rose 108 bps to stand at 112.3%. This evoluton was driven primarily by a reducton in NPLs in </w:t>
      </w:r>
      <w:r>
        <w:rPr>
          <w:rFonts w:ascii="Calibri" w:cs="Calibri" w:eastAsia="Calibri" w:hAnsi="Calibri"/>
          <w:sz w:val="17"/>
          <w:szCs w:val="17"/>
          <w:b w:val="1"/>
          <w:bCs w:val="1"/>
          <w:color w:val="auto"/>
        </w:rPr>
        <w:t xml:space="preserve">Wholesale Banking. </w:t>
      </w:r>
      <w:r>
        <w:rPr>
          <w:rFonts w:ascii="Calibri" w:cs="Calibri" w:eastAsia="Calibri" w:hAnsi="Calibri"/>
          <w:sz w:val="17"/>
          <w:szCs w:val="17"/>
          <w:color w:val="auto"/>
        </w:rPr>
        <w:t>The NPL Coverage rato at</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excluding GP loans, increased 923 bps to stand at 117.7%. This evoluton was driven by a drop in NPLs,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which was driven by the same dynamics seen </w:t>
      </w:r>
      <w:r>
        <w:rPr>
          <w:rFonts w:ascii="Calibri" w:cs="Calibri" w:eastAsia="Calibri" w:hAnsi="Calibri"/>
          <w:sz w:val="17"/>
          <w:szCs w:val="17"/>
          <w:b w:val="1"/>
          <w:bCs w:val="1"/>
          <w:color w:val="auto"/>
        </w:rPr>
        <w:t>QoQ</w:t>
      </w:r>
      <w:r>
        <w:rPr>
          <w:rFonts w:ascii="Calibri" w:cs="Calibri" w:eastAsia="Calibri" w:hAnsi="Calibri"/>
          <w:sz w:val="17"/>
          <w:szCs w:val="17"/>
          <w:color w:val="auto"/>
        </w:rPr>
        <w:t>.</w:t>
      </w:r>
    </w:p>
    <w:p>
      <w:pPr>
        <w:spacing w:after="0" w:line="21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YoY</w:t>
      </w:r>
    </w:p>
    <w:p>
      <w:pPr>
        <w:spacing w:after="0" w:line="2"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The total NPL Coverage rato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increased 1,449 bps, driven mainly by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Mibanco</w:t>
      </w:r>
      <w:r>
        <w:rPr>
          <w:rFonts w:ascii="Calibri" w:cs="Calibri" w:eastAsia="Calibri" w:hAnsi="Calibri"/>
          <w:sz w:val="17"/>
          <w:szCs w:val="17"/>
          <w:color w:val="auto"/>
        </w:rPr>
        <w:t>. Next, we will analyze this evoluton by isolatng the efect of NPLs in the GP portolio.</w:t>
      </w:r>
    </w:p>
    <w:p>
      <w:pPr>
        <w:spacing w:after="0" w:line="211"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b w:val="1"/>
          <w:bCs w:val="1"/>
          <w:color w:val="auto"/>
        </w:rPr>
        <w:t>T</w:t>
      </w:r>
      <w:r>
        <w:rPr>
          <w:rFonts w:ascii="Calibri" w:cs="Calibri" w:eastAsia="Calibri" w:hAnsi="Calibri"/>
          <w:sz w:val="17"/>
          <w:szCs w:val="17"/>
          <w:color w:val="auto"/>
        </w:rPr>
        <w:t>he NPL Coverage rato at</w:t>
      </w:r>
      <w:r>
        <w:rPr>
          <w:rFonts w:ascii="Calibri" w:cs="Calibri" w:eastAsia="Calibri" w:hAnsi="Calibri"/>
          <w:sz w:val="17"/>
          <w:szCs w:val="17"/>
          <w:b w:val="1"/>
          <w:bCs w:val="1"/>
          <w:color w:val="auto"/>
        </w:rPr>
        <w:t xml:space="preserve"> BCP Stand-alone</w:t>
      </w:r>
      <w:r>
        <w:rPr>
          <w:rFonts w:ascii="Calibri" w:cs="Calibri" w:eastAsia="Calibri" w:hAnsi="Calibri"/>
          <w:sz w:val="17"/>
          <w:szCs w:val="17"/>
          <w:color w:val="auto"/>
        </w:rPr>
        <w:t>, excluding GP loans, rose 1,571 bps, fueled by a drop in NPL volumes, which was driven by the same dynamics in play</w:t>
      </w:r>
      <w:r>
        <w:rPr>
          <w:rFonts w:ascii="Calibri" w:cs="Calibri" w:eastAsia="Calibri" w:hAnsi="Calibri"/>
          <w:sz w:val="17"/>
          <w:szCs w:val="17"/>
          <w:b w:val="1"/>
          <w:bCs w:val="1"/>
          <w:color w:val="auto"/>
        </w:rPr>
        <w:t xml:space="preserve"> YoY</w:t>
      </w:r>
      <w:r>
        <w:rPr>
          <w:rFonts w:ascii="Calibri" w:cs="Calibri" w:eastAsia="Calibri" w:hAnsi="Calibri"/>
          <w:sz w:val="17"/>
          <w:szCs w:val="17"/>
          <w:color w:val="auto"/>
        </w:rPr>
        <w:t>. The NPL Coverage rato at</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excluding GP loans, rose 1,999 bps</w:t>
      </w:r>
      <w:r>
        <w:rPr>
          <w:rFonts w:ascii="Calibri" w:cs="Calibri" w:eastAsia="Calibri" w:hAnsi="Calibri"/>
          <w:sz w:val="17"/>
          <w:szCs w:val="17"/>
          <w:b w:val="1"/>
          <w:bCs w:val="1"/>
          <w:color w:val="auto"/>
        </w:rPr>
        <w:t xml:space="preserve"> YoY</w:t>
      </w:r>
      <w:r>
        <w:rPr>
          <w:rFonts w:ascii="Calibri" w:cs="Calibri" w:eastAsia="Calibri" w:hAnsi="Calibri"/>
          <w:sz w:val="17"/>
          <w:szCs w:val="17"/>
          <w:color w:val="auto"/>
        </w:rPr>
        <w:t>, spurred by a decrease in NPLs, in line with the dynamics seen</w:t>
      </w:r>
      <w:r>
        <w:rPr>
          <w:rFonts w:ascii="Calibri" w:cs="Calibri" w:eastAsia="Calibri" w:hAnsi="Calibri"/>
          <w:sz w:val="17"/>
          <w:szCs w:val="17"/>
          <w:b w:val="1"/>
          <w:bCs w:val="1"/>
          <w:color w:val="auto"/>
        </w:rPr>
        <w:t xml:space="preserv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767080</wp:posOffset>
            </wp:positionV>
            <wp:extent cx="713740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147320</wp:posOffset>
            </wp:positionV>
            <wp:extent cx="6476365" cy="4794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76365" cy="479425"/>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32" w:name="page33"/>
    <w:bookmarkEnd w:id="32"/>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06 </w:t>
      </w:r>
      <w:r>
        <w:rPr>
          <w:rFonts w:ascii="Calibri" w:cs="Calibri" w:eastAsia="Calibri" w:hAnsi="Calibri"/>
          <w:sz w:val="31"/>
          <w:szCs w:val="31"/>
          <w:color w:val="E93BAC"/>
        </w:rPr>
        <w:t>Other Income</w:t>
      </w:r>
    </w:p>
    <w:p>
      <w:pPr>
        <w:spacing w:after="0" w:line="258"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QoQ, Other Income dropped 0.8%. Other Core Income increased 4.8%, reportng record highs that topped S/1.4 billion, mainly on the back of strong performance at BCP Stand-alone. Other Non-Core Income posted a relevant gain of S/106 million, related to the exchange of sovereign bonds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-379730</wp:posOffset>
            </wp:positionV>
            <wp:extent cx="7137400" cy="12141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7400" cy="1214120"/>
                    </a:xfrm>
                    <a:prstGeom prst="rect">
                      <a:avLst/>
                    </a:prstGeom>
                    <a:noFill/>
                  </pic:spPr>
                </pic:pic>
              </a:graphicData>
            </a:graphic>
          </wp:anchor>
        </w:drawing>
      </w:r>
    </w:p>
    <w:p>
      <w:pPr>
        <w:spacing w:after="0" w:line="126" w:lineRule="exact"/>
        <w:rPr>
          <w:sz w:val="20"/>
          <w:szCs w:val="20"/>
          <w:color w:val="auto"/>
        </w:rPr>
      </w:pPr>
    </w:p>
    <w:p>
      <w:pPr>
        <w:ind w:left="120"/>
        <w:spacing w:after="0"/>
        <w:rPr>
          <w:sz w:val="20"/>
          <w:szCs w:val="20"/>
          <w:color w:val="auto"/>
        </w:rPr>
      </w:pPr>
      <w:r>
        <w:rPr>
          <w:rFonts w:ascii="Calibri" w:cs="Calibri" w:eastAsia="Calibri" w:hAnsi="Calibri"/>
          <w:sz w:val="17"/>
          <w:szCs w:val="17"/>
          <w:color w:val="FFFFFF"/>
        </w:rPr>
        <w:t>YoY, Other Income rose 5.4%. Other Core Income expanded 8.1%, driven by growth in fee income from Yape and transactonal products at BCP Stand-alone.</w:t>
      </w:r>
    </w:p>
    <w:p>
      <w:pPr>
        <w:spacing w:after="0" w:line="1" w:lineRule="exact"/>
        <w:rPr>
          <w:sz w:val="20"/>
          <w:szCs w:val="20"/>
          <w:color w:val="auto"/>
        </w:rPr>
      </w:pPr>
    </w:p>
    <w:p>
      <w:pPr>
        <w:ind w:left="120"/>
        <w:spacing w:after="0"/>
        <w:rPr>
          <w:sz w:val="20"/>
          <w:szCs w:val="20"/>
          <w:color w:val="auto"/>
        </w:rPr>
      </w:pPr>
      <w:r>
        <w:rPr>
          <w:rFonts w:ascii="Calibri" w:cs="Calibri" w:eastAsia="Calibri" w:hAnsi="Calibri"/>
          <w:sz w:val="17"/>
          <w:szCs w:val="17"/>
          <w:color w:val="FFFFFF"/>
        </w:rPr>
        <w:t>Other Non-Core income contracted 6.4%, which was atributable to signifcant income at BCP Stand-alone and Pacifco in 2Q24.</w:t>
      </w:r>
    </w:p>
    <w:p>
      <w:pPr>
        <w:spacing w:after="0" w:line="106"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YTD, Other Income rose 12.9%. Other Core Income increased 11.4%, driven primarily by twofold growth at Yape and high single- digit expansion in core transactonal fees and FX gains at BCP Stand-alone. Other Non-Core Income increased 19.6% mainly due to the consolidaton of Banmedica and the exchange of sovereign bonds.</w:t>
      </w:r>
    </w:p>
    <w:p>
      <w:pPr>
        <w:spacing w:after="0" w:line="87"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7"/>
          <w:szCs w:val="17"/>
          <w:b w:val="1"/>
          <w:bCs w:val="1"/>
          <w:color w:val="auto"/>
        </w:rPr>
        <w:t>6.</w:t>
        <w:tab/>
        <w:t>Other Income</w:t>
      </w:r>
      <w:r>
        <w:rPr>
          <w:rFonts w:ascii="Calibri" w:cs="Calibri" w:eastAsia="Calibri" w:hAnsi="Calibri"/>
          <w:sz w:val="28"/>
          <w:szCs w:val="28"/>
          <w:b w:val="1"/>
          <w:bCs w:val="1"/>
          <w:color w:val="auto"/>
          <w:vertAlign w:val="superscript"/>
        </w:rPr>
        <w:t>1</w:t>
      </w:r>
    </w:p>
    <w:tbl>
      <w:tblPr>
        <w:tblLayout w:type="fixed"/>
        <w:tblInd w:w="10" w:type="dxa"/>
        <w:tblCellMar>
          <w:top w:w="0" w:type="dxa"/>
          <w:left w:w="0" w:type="dxa"/>
          <w:bottom w:w="0" w:type="dxa"/>
          <w:right w:w="0" w:type="dxa"/>
        </w:tblCellMar>
      </w:tblPr>
      <w:tr>
        <w:trPr>
          <w:trHeight w:val="162"/>
        </w:trPr>
        <w:tc>
          <w:tcPr>
            <w:tcW w:w="3160" w:type="dxa"/>
            <w:vAlign w:val="bottom"/>
            <w:tcBorders>
              <w:top w:val="single" w:sz="8" w:color="auto"/>
              <w:left w:val="single" w:sz="8" w:color="auto"/>
              <w:right w:val="single" w:sz="8" w:color="auto"/>
            </w:tcBorders>
            <w:shd w:val="clear" w:color="auto" w:fill="33CCCC"/>
          </w:tcPr>
          <w:p>
            <w:pPr>
              <w:ind w:left="20"/>
              <w:spacing w:after="0" w:line="162" w:lineRule="exact"/>
              <w:rPr>
                <w:sz w:val="20"/>
                <w:szCs w:val="20"/>
                <w:color w:val="auto"/>
              </w:rPr>
            </w:pPr>
            <w:r>
              <w:rPr>
                <w:rFonts w:ascii="Calibri" w:cs="Calibri" w:eastAsia="Calibri" w:hAnsi="Calibri"/>
                <w:sz w:val="11"/>
                <w:szCs w:val="11"/>
                <w:b w:val="1"/>
                <w:bCs w:val="1"/>
                <w:color w:val="FFFFFF"/>
              </w:rPr>
              <w:t xml:space="preserve">Other Income </w:t>
            </w:r>
            <w:r>
              <w:rPr>
                <w:rFonts w:ascii="Calibri" w:cs="Calibri" w:eastAsia="Calibri" w:hAnsi="Calibri"/>
                <w:sz w:val="17"/>
                <w:szCs w:val="17"/>
                <w:b w:val="1"/>
                <w:bCs w:val="1"/>
                <w:color w:val="FFFFFF"/>
                <w:vertAlign w:val="superscript"/>
              </w:rPr>
              <w:t>(1)</w:t>
            </w:r>
          </w:p>
        </w:tc>
        <w:tc>
          <w:tcPr>
            <w:tcW w:w="1060" w:type="dxa"/>
            <w:vAlign w:val="bottom"/>
            <w:tcBorders>
              <w:top w:val="single" w:sz="8" w:color="auto"/>
            </w:tcBorders>
            <w:shd w:val="clear" w:color="auto" w:fill="33CCCC"/>
          </w:tcPr>
          <w:p>
            <w:pPr>
              <w:spacing w:after="0"/>
              <w:rPr>
                <w:sz w:val="14"/>
                <w:szCs w:val="14"/>
                <w:color w:val="auto"/>
              </w:rPr>
            </w:pPr>
          </w:p>
        </w:tc>
        <w:tc>
          <w:tcPr>
            <w:tcW w:w="106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3"/>
                <w:szCs w:val="13"/>
                <w:b w:val="1"/>
                <w:bCs w:val="1"/>
                <w:color w:val="FFFFFF"/>
              </w:rPr>
              <w:t>Quarter</w:t>
            </w:r>
          </w:p>
        </w:tc>
        <w:tc>
          <w:tcPr>
            <w:tcW w:w="1080" w:type="dxa"/>
            <w:vAlign w:val="bottom"/>
            <w:tcBorders>
              <w:top w:val="single" w:sz="8" w:color="auto"/>
              <w:right w:val="single" w:sz="8" w:color="auto"/>
            </w:tcBorders>
            <w:shd w:val="clear" w:color="auto" w:fill="33CCCC"/>
          </w:tcPr>
          <w:p>
            <w:pPr>
              <w:spacing w:after="0"/>
              <w:rPr>
                <w:sz w:val="14"/>
                <w:szCs w:val="14"/>
                <w:color w:val="auto"/>
              </w:rPr>
            </w:pPr>
          </w:p>
        </w:tc>
        <w:tc>
          <w:tcPr>
            <w:tcW w:w="1540" w:type="dxa"/>
            <w:vAlign w:val="bottom"/>
            <w:tcBorders>
              <w:top w:val="single" w:sz="8" w:color="auto"/>
              <w:right w:val="single" w:sz="8" w:color="auto"/>
            </w:tcBorders>
            <w:gridSpan w:val="2"/>
            <w:shd w:val="clear" w:color="auto" w:fill="33CCCC"/>
          </w:tcPr>
          <w:p>
            <w:pPr>
              <w:ind w:left="500"/>
              <w:spacing w:after="0"/>
              <w:rPr>
                <w:sz w:val="20"/>
                <w:szCs w:val="20"/>
                <w:color w:val="auto"/>
              </w:rPr>
            </w:pPr>
            <w:r>
              <w:rPr>
                <w:rFonts w:ascii="Calibri" w:cs="Calibri" w:eastAsia="Calibri" w:hAnsi="Calibri"/>
                <w:sz w:val="13"/>
                <w:szCs w:val="13"/>
                <w:b w:val="1"/>
                <w:bCs w:val="1"/>
                <w:color w:val="FFFFFF"/>
              </w:rPr>
              <w:t>% Change</w:t>
            </w:r>
          </w:p>
        </w:tc>
        <w:tc>
          <w:tcPr>
            <w:tcW w:w="840" w:type="dxa"/>
            <w:vAlign w:val="bottom"/>
            <w:tcBorders>
              <w:top w:val="single" w:sz="8" w:color="auto"/>
            </w:tcBorders>
            <w:shd w:val="clear" w:color="auto" w:fill="33CCCC"/>
          </w:tcPr>
          <w:p>
            <w:pPr>
              <w:spacing w:after="0"/>
              <w:rPr>
                <w:sz w:val="14"/>
                <w:szCs w:val="14"/>
                <w:color w:val="auto"/>
              </w:rPr>
            </w:pPr>
          </w:p>
        </w:tc>
        <w:tc>
          <w:tcPr>
            <w:tcW w:w="126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3"/>
                <w:szCs w:val="13"/>
                <w:b w:val="1"/>
                <w:bCs w:val="1"/>
                <w:color w:val="FFFFFF"/>
              </w:rPr>
              <w:t>Up to</w:t>
            </w:r>
          </w:p>
        </w:tc>
        <w:tc>
          <w:tcPr>
            <w:tcW w:w="12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8"/>
              </w:rPr>
              <w:t>% change</w:t>
            </w:r>
          </w:p>
        </w:tc>
      </w:tr>
      <w:tr>
        <w:trPr>
          <w:trHeight w:val="162"/>
        </w:trPr>
        <w:tc>
          <w:tcPr>
            <w:tcW w:w="3160" w:type="dxa"/>
            <w:vAlign w:val="bottom"/>
            <w:tcBorders>
              <w:left w:val="single" w:sz="8" w:color="auto"/>
              <w:bottom w:val="single" w:sz="8" w:color="auto"/>
              <w:right w:val="single" w:sz="8" w:color="auto"/>
            </w:tcBorders>
            <w:shd w:val="clear" w:color="auto" w:fill="33CCCC"/>
          </w:tcPr>
          <w:p>
            <w:pPr>
              <w:ind w:left="20"/>
              <w:spacing w:after="0" w:line="156" w:lineRule="exact"/>
              <w:rPr>
                <w:sz w:val="20"/>
                <w:szCs w:val="20"/>
                <w:color w:val="auto"/>
              </w:rPr>
            </w:pPr>
            <w:r>
              <w:rPr>
                <w:rFonts w:ascii="Calibri" w:cs="Calibri" w:eastAsia="Calibri" w:hAnsi="Calibri"/>
                <w:sz w:val="13"/>
                <w:szCs w:val="13"/>
                <w:b w:val="1"/>
                <w:bCs w:val="1"/>
                <w:color w:val="FFFFFF"/>
              </w:rPr>
              <w:t>(S/ 000)</w:t>
            </w:r>
          </w:p>
        </w:tc>
        <w:tc>
          <w:tcPr>
            <w:tcW w:w="1060" w:type="dxa"/>
            <w:vAlign w:val="bottom"/>
            <w:tcBorders>
              <w:bottom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w w:val="97"/>
              </w:rPr>
              <w:t>2Q24</w:t>
            </w:r>
          </w:p>
        </w:tc>
        <w:tc>
          <w:tcPr>
            <w:tcW w:w="1060" w:type="dxa"/>
            <w:vAlign w:val="bottom"/>
            <w:tcBorders>
              <w:bottom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rPr>
              <w:t>1Q25</w:t>
            </w:r>
          </w:p>
        </w:tc>
        <w:tc>
          <w:tcPr>
            <w:tcW w:w="1080" w:type="dxa"/>
            <w:vAlign w:val="bottom"/>
            <w:tcBorders>
              <w:bottom w:val="single" w:sz="8" w:color="auto"/>
              <w:right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rPr>
              <w:t>2Q25</w:t>
            </w:r>
          </w:p>
        </w:tc>
        <w:tc>
          <w:tcPr>
            <w:tcW w:w="780" w:type="dxa"/>
            <w:vAlign w:val="bottom"/>
            <w:tcBorders>
              <w:bottom w:val="single" w:sz="8" w:color="auto"/>
            </w:tcBorders>
            <w:shd w:val="clear" w:color="auto" w:fill="33CCCC"/>
          </w:tcPr>
          <w:p>
            <w:pPr>
              <w:ind w:left="260"/>
              <w:spacing w:after="0" w:line="156" w:lineRule="exact"/>
              <w:rPr>
                <w:sz w:val="20"/>
                <w:szCs w:val="20"/>
                <w:color w:val="auto"/>
              </w:rPr>
            </w:pPr>
            <w:r>
              <w:rPr>
                <w:rFonts w:ascii="Calibri" w:cs="Calibri" w:eastAsia="Calibri" w:hAnsi="Calibri"/>
                <w:sz w:val="13"/>
                <w:szCs w:val="13"/>
                <w:b w:val="1"/>
                <w:bCs w:val="1"/>
                <w:color w:val="FFFFFF"/>
              </w:rPr>
              <w:t>QoQ</w:t>
            </w:r>
          </w:p>
        </w:tc>
        <w:tc>
          <w:tcPr>
            <w:tcW w:w="760" w:type="dxa"/>
            <w:vAlign w:val="bottom"/>
            <w:tcBorders>
              <w:bottom w:val="single" w:sz="8" w:color="auto"/>
              <w:right w:val="single" w:sz="8" w:color="auto"/>
            </w:tcBorders>
            <w:shd w:val="clear" w:color="auto" w:fill="33CCCC"/>
          </w:tcPr>
          <w:p>
            <w:pPr>
              <w:ind w:left="280"/>
              <w:spacing w:after="0" w:line="156" w:lineRule="exact"/>
              <w:rPr>
                <w:sz w:val="20"/>
                <w:szCs w:val="20"/>
                <w:color w:val="auto"/>
              </w:rPr>
            </w:pPr>
            <w:r>
              <w:rPr>
                <w:rFonts w:ascii="Calibri" w:cs="Calibri" w:eastAsia="Calibri" w:hAnsi="Calibri"/>
                <w:sz w:val="13"/>
                <w:szCs w:val="13"/>
                <w:b w:val="1"/>
                <w:bCs w:val="1"/>
                <w:color w:val="FFFFFF"/>
              </w:rPr>
              <w:t>YoY</w:t>
            </w:r>
          </w:p>
        </w:tc>
        <w:tc>
          <w:tcPr>
            <w:tcW w:w="840" w:type="dxa"/>
            <w:vAlign w:val="bottom"/>
            <w:tcBorders>
              <w:bottom w:val="single" w:sz="8" w:color="auto"/>
            </w:tcBorders>
            <w:shd w:val="clear" w:color="auto" w:fill="33CCCC"/>
          </w:tcPr>
          <w:p>
            <w:pPr>
              <w:ind w:left="340"/>
              <w:spacing w:after="0" w:line="156" w:lineRule="exact"/>
              <w:rPr>
                <w:sz w:val="20"/>
                <w:szCs w:val="20"/>
                <w:color w:val="auto"/>
              </w:rPr>
            </w:pPr>
            <w:r>
              <w:rPr>
                <w:rFonts w:ascii="Calibri" w:cs="Calibri" w:eastAsia="Calibri" w:hAnsi="Calibri"/>
                <w:sz w:val="13"/>
                <w:szCs w:val="13"/>
                <w:b w:val="1"/>
                <w:bCs w:val="1"/>
                <w:color w:val="FFFFFF"/>
              </w:rPr>
              <w:t>Jun 24</w:t>
            </w:r>
          </w:p>
        </w:tc>
        <w:tc>
          <w:tcPr>
            <w:tcW w:w="1260" w:type="dxa"/>
            <w:vAlign w:val="bottom"/>
            <w:tcBorders>
              <w:bottom w:val="single" w:sz="8" w:color="auto"/>
              <w:right w:val="single" w:sz="8" w:color="auto"/>
            </w:tcBorders>
            <w:shd w:val="clear" w:color="auto" w:fill="33CCCC"/>
          </w:tcPr>
          <w:p>
            <w:pPr>
              <w:ind w:left="540"/>
              <w:spacing w:after="0" w:line="156" w:lineRule="exact"/>
              <w:rPr>
                <w:sz w:val="20"/>
                <w:szCs w:val="20"/>
                <w:color w:val="auto"/>
              </w:rPr>
            </w:pPr>
            <w:r>
              <w:rPr>
                <w:rFonts w:ascii="Calibri" w:cs="Calibri" w:eastAsia="Calibri" w:hAnsi="Calibri"/>
                <w:sz w:val="13"/>
                <w:szCs w:val="13"/>
                <w:b w:val="1"/>
                <w:bCs w:val="1"/>
                <w:color w:val="FFFFFF"/>
              </w:rPr>
              <w:t>Jun 25</w:t>
            </w:r>
          </w:p>
        </w:tc>
        <w:tc>
          <w:tcPr>
            <w:tcW w:w="1260" w:type="dxa"/>
            <w:vAlign w:val="bottom"/>
            <w:tcBorders>
              <w:bottom w:val="single" w:sz="8" w:color="auto"/>
              <w:right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w w:val="99"/>
              </w:rPr>
              <w:t>Jun 25 / Jun 24</w:t>
            </w:r>
          </w:p>
        </w:tc>
      </w:tr>
      <w:tr>
        <w:trPr>
          <w:trHeight w:val="160"/>
        </w:trPr>
        <w:tc>
          <w:tcPr>
            <w:tcW w:w="3160" w:type="dxa"/>
            <w:vAlign w:val="bottom"/>
            <w:tcBorders>
              <w:left w:val="single" w:sz="8" w:color="auto"/>
              <w:right w:val="single" w:sz="8" w:color="auto"/>
            </w:tcBorders>
          </w:tcPr>
          <w:p>
            <w:pPr>
              <w:ind w:left="20"/>
              <w:spacing w:after="0" w:line="161" w:lineRule="exact"/>
              <w:rPr>
                <w:sz w:val="20"/>
                <w:szCs w:val="20"/>
                <w:color w:val="auto"/>
              </w:rPr>
            </w:pPr>
            <w:r>
              <w:rPr>
                <w:rFonts w:ascii="Calibri" w:cs="Calibri" w:eastAsia="Calibri" w:hAnsi="Calibri"/>
                <w:sz w:val="15"/>
                <w:szCs w:val="15"/>
                <w:color w:val="auto"/>
              </w:rPr>
              <w:t>Other Core Income</w:t>
            </w:r>
          </w:p>
        </w:tc>
        <w:tc>
          <w:tcPr>
            <w:tcW w:w="1060" w:type="dxa"/>
            <w:vAlign w:val="bottom"/>
          </w:tcPr>
          <w:p>
            <w:pPr>
              <w:jc w:val="center"/>
              <w:spacing w:after="0" w:line="161" w:lineRule="exact"/>
              <w:rPr>
                <w:sz w:val="20"/>
                <w:szCs w:val="20"/>
                <w:color w:val="auto"/>
              </w:rPr>
            </w:pPr>
            <w:r>
              <w:rPr>
                <w:rFonts w:ascii="Calibri" w:cs="Calibri" w:eastAsia="Calibri" w:hAnsi="Calibri"/>
                <w:sz w:val="15"/>
                <w:szCs w:val="15"/>
                <w:color w:val="auto"/>
                <w:w w:val="98"/>
              </w:rPr>
              <w:t>1,296,577</w:t>
            </w:r>
          </w:p>
        </w:tc>
        <w:tc>
          <w:tcPr>
            <w:tcW w:w="1060" w:type="dxa"/>
            <w:vAlign w:val="bottom"/>
          </w:tcPr>
          <w:p>
            <w:pPr>
              <w:jc w:val="center"/>
              <w:spacing w:after="0" w:line="161" w:lineRule="exact"/>
              <w:rPr>
                <w:sz w:val="20"/>
                <w:szCs w:val="20"/>
                <w:color w:val="auto"/>
              </w:rPr>
            </w:pPr>
            <w:r>
              <w:rPr>
                <w:rFonts w:ascii="Calibri" w:cs="Calibri" w:eastAsia="Calibri" w:hAnsi="Calibri"/>
                <w:sz w:val="15"/>
                <w:szCs w:val="15"/>
                <w:color w:val="auto"/>
                <w:w w:val="98"/>
              </w:rPr>
              <w:t>1,337,838</w:t>
            </w:r>
          </w:p>
        </w:tc>
        <w:tc>
          <w:tcPr>
            <w:tcW w:w="10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5"/>
                <w:szCs w:val="15"/>
                <w:color w:val="auto"/>
                <w:w w:val="98"/>
              </w:rPr>
              <w:t>1,401,569</w:t>
            </w:r>
          </w:p>
        </w:tc>
        <w:tc>
          <w:tcPr>
            <w:tcW w:w="780" w:type="dxa"/>
            <w:vAlign w:val="bottom"/>
          </w:tcPr>
          <w:p>
            <w:pPr>
              <w:jc w:val="center"/>
              <w:spacing w:after="0" w:line="161" w:lineRule="exact"/>
              <w:rPr>
                <w:sz w:val="20"/>
                <w:szCs w:val="20"/>
                <w:color w:val="auto"/>
              </w:rPr>
            </w:pPr>
            <w:r>
              <w:rPr>
                <w:rFonts w:ascii="Calibri" w:cs="Calibri" w:eastAsia="Calibri" w:hAnsi="Calibri"/>
                <w:sz w:val="15"/>
                <w:szCs w:val="15"/>
                <w:color w:val="auto"/>
              </w:rPr>
              <w:t>4.8%</w:t>
            </w:r>
          </w:p>
        </w:tc>
        <w:tc>
          <w:tcPr>
            <w:tcW w:w="7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5"/>
                <w:szCs w:val="15"/>
                <w:color w:val="auto"/>
              </w:rPr>
              <w:t>8.1%</w:t>
            </w:r>
          </w:p>
        </w:tc>
        <w:tc>
          <w:tcPr>
            <w:tcW w:w="840" w:type="dxa"/>
            <w:vAlign w:val="bottom"/>
          </w:tcPr>
          <w:p>
            <w:pPr>
              <w:jc w:val="center"/>
              <w:ind w:left="128"/>
              <w:spacing w:after="0" w:line="161" w:lineRule="exact"/>
              <w:rPr>
                <w:sz w:val="20"/>
                <w:szCs w:val="20"/>
                <w:color w:val="auto"/>
              </w:rPr>
            </w:pPr>
            <w:r>
              <w:rPr>
                <w:rFonts w:ascii="Calibri" w:cs="Calibri" w:eastAsia="Calibri" w:hAnsi="Calibri"/>
                <w:sz w:val="15"/>
                <w:szCs w:val="15"/>
                <w:color w:val="auto"/>
                <w:w w:val="98"/>
              </w:rPr>
              <w:t>2,458,512</w:t>
            </w:r>
          </w:p>
        </w:tc>
        <w:tc>
          <w:tcPr>
            <w:tcW w:w="1260" w:type="dxa"/>
            <w:vAlign w:val="bottom"/>
            <w:tcBorders>
              <w:right w:val="single" w:sz="8" w:color="auto"/>
            </w:tcBorders>
          </w:tcPr>
          <w:p>
            <w:pPr>
              <w:jc w:val="center"/>
              <w:ind w:left="110"/>
              <w:spacing w:after="0" w:line="161" w:lineRule="exact"/>
              <w:rPr>
                <w:sz w:val="20"/>
                <w:szCs w:val="20"/>
                <w:color w:val="auto"/>
              </w:rPr>
            </w:pPr>
            <w:r>
              <w:rPr>
                <w:rFonts w:ascii="Calibri" w:cs="Calibri" w:eastAsia="Calibri" w:hAnsi="Calibri"/>
                <w:sz w:val="15"/>
                <w:szCs w:val="15"/>
                <w:color w:val="auto"/>
                <w:w w:val="98"/>
              </w:rPr>
              <w:t>2,739,407</w:t>
            </w:r>
          </w:p>
        </w:tc>
        <w:tc>
          <w:tcPr>
            <w:tcW w:w="12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5"/>
                <w:szCs w:val="15"/>
                <w:color w:val="auto"/>
              </w:rPr>
              <w:t>11.4%</w:t>
            </w:r>
          </w:p>
        </w:tc>
      </w:tr>
      <w:tr>
        <w:trPr>
          <w:trHeight w:val="175"/>
        </w:trPr>
        <w:tc>
          <w:tcPr>
            <w:tcW w:w="3160" w:type="dxa"/>
            <w:vAlign w:val="bottom"/>
            <w:tcBorders>
              <w:left w:val="single" w:sz="8" w:color="auto"/>
              <w:right w:val="single" w:sz="8" w:color="auto"/>
            </w:tcBorders>
          </w:tcPr>
          <w:p>
            <w:pPr>
              <w:ind w:left="20"/>
              <w:spacing w:after="0" w:line="174" w:lineRule="exact"/>
              <w:rPr>
                <w:sz w:val="20"/>
                <w:szCs w:val="20"/>
                <w:color w:val="auto"/>
              </w:rPr>
            </w:pPr>
            <w:r>
              <w:rPr>
                <w:rFonts w:ascii="Calibri" w:cs="Calibri" w:eastAsia="Calibri" w:hAnsi="Calibri"/>
                <w:sz w:val="15"/>
                <w:szCs w:val="15"/>
                <w:color w:val="auto"/>
              </w:rPr>
              <w:t>Other Non-Core Income</w:t>
            </w:r>
          </w:p>
        </w:tc>
        <w:tc>
          <w:tcPr>
            <w:tcW w:w="1060" w:type="dxa"/>
            <w:vAlign w:val="bottom"/>
          </w:tcPr>
          <w:p>
            <w:pPr>
              <w:jc w:val="center"/>
              <w:spacing w:after="0" w:line="174" w:lineRule="exact"/>
              <w:rPr>
                <w:sz w:val="20"/>
                <w:szCs w:val="20"/>
                <w:color w:val="auto"/>
              </w:rPr>
            </w:pPr>
            <w:r>
              <w:rPr>
                <w:rFonts w:ascii="Calibri" w:cs="Calibri" w:eastAsia="Calibri" w:hAnsi="Calibri"/>
                <w:sz w:val="15"/>
                <w:szCs w:val="15"/>
                <w:color w:val="auto"/>
                <w:w w:val="97"/>
              </w:rPr>
              <w:t>294,753</w:t>
            </w:r>
          </w:p>
        </w:tc>
        <w:tc>
          <w:tcPr>
            <w:tcW w:w="1060" w:type="dxa"/>
            <w:vAlign w:val="bottom"/>
          </w:tcPr>
          <w:p>
            <w:pPr>
              <w:jc w:val="center"/>
              <w:spacing w:after="0" w:line="174" w:lineRule="exact"/>
              <w:rPr>
                <w:sz w:val="20"/>
                <w:szCs w:val="20"/>
                <w:color w:val="auto"/>
              </w:rPr>
            </w:pPr>
            <w:r>
              <w:rPr>
                <w:rFonts w:ascii="Calibri" w:cs="Calibri" w:eastAsia="Calibri" w:hAnsi="Calibri"/>
                <w:sz w:val="15"/>
                <w:szCs w:val="15"/>
                <w:color w:val="auto"/>
              </w:rPr>
              <w:t>352,378</w:t>
            </w:r>
          </w:p>
        </w:tc>
        <w:tc>
          <w:tcPr>
            <w:tcW w:w="108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5"/>
                <w:szCs w:val="15"/>
                <w:color w:val="auto"/>
                <w:w w:val="97"/>
              </w:rPr>
              <w:t>275,804</w:t>
            </w:r>
          </w:p>
        </w:tc>
        <w:tc>
          <w:tcPr>
            <w:tcW w:w="780" w:type="dxa"/>
            <w:vAlign w:val="bottom"/>
          </w:tcPr>
          <w:p>
            <w:pPr>
              <w:jc w:val="center"/>
              <w:spacing w:after="0" w:line="174" w:lineRule="exact"/>
              <w:rPr>
                <w:sz w:val="20"/>
                <w:szCs w:val="20"/>
                <w:color w:val="auto"/>
              </w:rPr>
            </w:pPr>
            <w:r>
              <w:rPr>
                <w:rFonts w:ascii="Calibri" w:cs="Calibri" w:eastAsia="Calibri" w:hAnsi="Calibri"/>
                <w:sz w:val="15"/>
                <w:szCs w:val="15"/>
                <w:color w:val="auto"/>
              </w:rPr>
              <w:t>-21.7%</w:t>
            </w:r>
          </w:p>
        </w:tc>
        <w:tc>
          <w:tcPr>
            <w:tcW w:w="7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5"/>
                <w:szCs w:val="15"/>
                <w:color w:val="auto"/>
                <w:w w:val="98"/>
              </w:rPr>
              <w:t>-6.4%</w:t>
            </w:r>
          </w:p>
        </w:tc>
        <w:tc>
          <w:tcPr>
            <w:tcW w:w="840" w:type="dxa"/>
            <w:vAlign w:val="bottom"/>
          </w:tcPr>
          <w:p>
            <w:pPr>
              <w:jc w:val="center"/>
              <w:ind w:left="128"/>
              <w:spacing w:after="0" w:line="174" w:lineRule="exact"/>
              <w:rPr>
                <w:sz w:val="20"/>
                <w:szCs w:val="20"/>
                <w:color w:val="auto"/>
              </w:rPr>
            </w:pPr>
            <w:r>
              <w:rPr>
                <w:rFonts w:ascii="Calibri" w:cs="Calibri" w:eastAsia="Calibri" w:hAnsi="Calibri"/>
                <w:sz w:val="15"/>
                <w:szCs w:val="15"/>
                <w:color w:val="auto"/>
                <w:w w:val="97"/>
              </w:rPr>
              <w:t>525,377</w:t>
            </w:r>
          </w:p>
        </w:tc>
        <w:tc>
          <w:tcPr>
            <w:tcW w:w="1260" w:type="dxa"/>
            <w:vAlign w:val="bottom"/>
            <w:tcBorders>
              <w:right w:val="single" w:sz="8" w:color="auto"/>
            </w:tcBorders>
          </w:tcPr>
          <w:p>
            <w:pPr>
              <w:jc w:val="center"/>
              <w:ind w:left="110"/>
              <w:spacing w:after="0" w:line="174" w:lineRule="exact"/>
              <w:rPr>
                <w:sz w:val="20"/>
                <w:szCs w:val="20"/>
                <w:color w:val="auto"/>
              </w:rPr>
            </w:pPr>
            <w:r>
              <w:rPr>
                <w:rFonts w:ascii="Calibri" w:cs="Calibri" w:eastAsia="Calibri" w:hAnsi="Calibri"/>
                <w:sz w:val="15"/>
                <w:szCs w:val="15"/>
                <w:color w:val="auto"/>
                <w:w w:val="97"/>
              </w:rPr>
              <w:t>628,182</w:t>
            </w:r>
          </w:p>
        </w:tc>
        <w:tc>
          <w:tcPr>
            <w:tcW w:w="12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5"/>
                <w:szCs w:val="15"/>
                <w:color w:val="auto"/>
              </w:rPr>
              <w:t>19.6%</w:t>
            </w:r>
          </w:p>
        </w:tc>
      </w:tr>
      <w:tr>
        <w:trPr>
          <w:trHeight w:val="29"/>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171"/>
        </w:trPr>
        <w:tc>
          <w:tcPr>
            <w:tcW w:w="3160" w:type="dxa"/>
            <w:vAlign w:val="bottom"/>
            <w:tcBorders>
              <w:left w:val="single" w:sz="8" w:color="auto"/>
              <w:bottom w:val="single" w:sz="8" w:color="auto"/>
              <w:right w:val="single" w:sz="8" w:color="auto"/>
            </w:tcBorders>
          </w:tcPr>
          <w:p>
            <w:pPr>
              <w:ind w:left="20"/>
              <w:spacing w:after="0" w:line="171" w:lineRule="exact"/>
              <w:rPr>
                <w:sz w:val="20"/>
                <w:szCs w:val="20"/>
                <w:color w:val="auto"/>
              </w:rPr>
            </w:pPr>
            <w:r>
              <w:rPr>
                <w:rFonts w:ascii="Calibri" w:cs="Calibri" w:eastAsia="Calibri" w:hAnsi="Calibri"/>
                <w:sz w:val="15"/>
                <w:szCs w:val="15"/>
                <w:b w:val="1"/>
                <w:bCs w:val="1"/>
                <w:color w:val="auto"/>
              </w:rPr>
              <w:t>Total Other Income</w:t>
            </w:r>
          </w:p>
        </w:tc>
        <w:tc>
          <w:tcPr>
            <w:tcW w:w="1060" w:type="dxa"/>
            <w:vAlign w:val="bottom"/>
            <w:tcBorders>
              <w:bottom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8"/>
              </w:rPr>
              <w:t>1,591,330</w:t>
            </w:r>
          </w:p>
        </w:tc>
        <w:tc>
          <w:tcPr>
            <w:tcW w:w="1060" w:type="dxa"/>
            <w:vAlign w:val="bottom"/>
            <w:tcBorders>
              <w:bottom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8"/>
              </w:rPr>
              <w:t>1,690,216</w:t>
            </w:r>
          </w:p>
        </w:tc>
        <w:tc>
          <w:tcPr>
            <w:tcW w:w="1080" w:type="dxa"/>
            <w:vAlign w:val="bottom"/>
            <w:tcBorders>
              <w:bottom w:val="single" w:sz="8" w:color="auto"/>
              <w:right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8"/>
              </w:rPr>
              <w:t>1,677,373</w:t>
            </w:r>
          </w:p>
        </w:tc>
        <w:tc>
          <w:tcPr>
            <w:tcW w:w="780" w:type="dxa"/>
            <w:vAlign w:val="bottom"/>
            <w:tcBorders>
              <w:bottom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7"/>
              </w:rPr>
              <w:t>-0.8%</w:t>
            </w:r>
          </w:p>
        </w:tc>
        <w:tc>
          <w:tcPr>
            <w:tcW w:w="760" w:type="dxa"/>
            <w:vAlign w:val="bottom"/>
            <w:tcBorders>
              <w:bottom w:val="single" w:sz="8" w:color="auto"/>
              <w:right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9"/>
              </w:rPr>
              <w:t>5.4%</w:t>
            </w:r>
          </w:p>
        </w:tc>
        <w:tc>
          <w:tcPr>
            <w:tcW w:w="840" w:type="dxa"/>
            <w:vAlign w:val="bottom"/>
            <w:tcBorders>
              <w:bottom w:val="single" w:sz="8" w:color="auto"/>
            </w:tcBorders>
          </w:tcPr>
          <w:p>
            <w:pPr>
              <w:jc w:val="center"/>
              <w:ind w:left="128"/>
              <w:spacing w:after="0" w:line="171" w:lineRule="exact"/>
              <w:rPr>
                <w:sz w:val="20"/>
                <w:szCs w:val="20"/>
                <w:color w:val="auto"/>
              </w:rPr>
            </w:pPr>
            <w:r>
              <w:rPr>
                <w:rFonts w:ascii="Calibri" w:cs="Calibri" w:eastAsia="Calibri" w:hAnsi="Calibri"/>
                <w:sz w:val="15"/>
                <w:szCs w:val="15"/>
                <w:b w:val="1"/>
                <w:bCs w:val="1"/>
                <w:color w:val="auto"/>
                <w:w w:val="98"/>
              </w:rPr>
              <w:t>2,983,889</w:t>
            </w:r>
          </w:p>
        </w:tc>
        <w:tc>
          <w:tcPr>
            <w:tcW w:w="1260" w:type="dxa"/>
            <w:vAlign w:val="bottom"/>
            <w:tcBorders>
              <w:bottom w:val="single" w:sz="8" w:color="auto"/>
              <w:right w:val="single" w:sz="8" w:color="auto"/>
            </w:tcBorders>
          </w:tcPr>
          <w:p>
            <w:pPr>
              <w:jc w:val="center"/>
              <w:ind w:left="110"/>
              <w:spacing w:after="0" w:line="171" w:lineRule="exact"/>
              <w:rPr>
                <w:sz w:val="20"/>
                <w:szCs w:val="20"/>
                <w:color w:val="auto"/>
              </w:rPr>
            </w:pPr>
            <w:r>
              <w:rPr>
                <w:rFonts w:ascii="Calibri" w:cs="Calibri" w:eastAsia="Calibri" w:hAnsi="Calibri"/>
                <w:sz w:val="15"/>
                <w:szCs w:val="15"/>
                <w:b w:val="1"/>
                <w:bCs w:val="1"/>
                <w:color w:val="auto"/>
                <w:w w:val="98"/>
              </w:rPr>
              <w:t>3,367,589</w:t>
            </w:r>
          </w:p>
        </w:tc>
        <w:tc>
          <w:tcPr>
            <w:tcW w:w="1260" w:type="dxa"/>
            <w:vAlign w:val="bottom"/>
            <w:tcBorders>
              <w:bottom w:val="single" w:sz="8" w:color="auto"/>
              <w:right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rPr>
              <w:t>12.9%</w:t>
            </w:r>
          </w:p>
        </w:tc>
      </w:tr>
    </w:tbl>
    <w:p>
      <w:pPr>
        <w:ind w:right="20" w:firstLine="4"/>
        <w:spacing w:after="0" w:line="224" w:lineRule="auto"/>
        <w:tabs>
          <w:tab w:leader="none" w:pos="186"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Beginning in 1Q25, accountng reclassifcatons have been incorporated afectng Fee Income, Net Gain on Foreign Exchange Transactons, and Net Gain on Derivatves Held for Trading. Prior periods have been restated for comparability and may difer from previously reported fgures.</w:t>
      </w:r>
    </w:p>
    <w:p>
      <w:pPr>
        <w:spacing w:after="0" w:line="192" w:lineRule="exact"/>
        <w:rPr>
          <w:sz w:val="20"/>
          <w:szCs w:val="20"/>
          <w:color w:val="auto"/>
        </w:rPr>
      </w:pPr>
    </w:p>
    <w:p>
      <w:pPr>
        <w:spacing w:after="0"/>
        <w:rPr>
          <w:sz w:val="20"/>
          <w:szCs w:val="20"/>
          <w:color w:val="auto"/>
        </w:rPr>
      </w:pPr>
      <w:r>
        <w:rPr>
          <w:rFonts w:ascii="Calibri" w:cs="Calibri" w:eastAsia="Calibri" w:hAnsi="Calibri"/>
          <w:sz w:val="17"/>
          <w:szCs w:val="17"/>
          <w:color w:val="auto"/>
        </w:rPr>
        <w:t>Other Income decreased by 0.8% QoQ, but increased by 5.4% YoY and 12.9% YTD.</w:t>
      </w:r>
    </w:p>
    <w:p>
      <w:pPr>
        <w:spacing w:after="0" w:line="109" w:lineRule="exact"/>
        <w:rPr>
          <w:sz w:val="20"/>
          <w:szCs w:val="20"/>
          <w:color w:val="auto"/>
        </w:rPr>
      </w:pPr>
    </w:p>
    <w:p>
      <w:pPr>
        <w:spacing w:after="0"/>
        <w:tabs>
          <w:tab w:leader="none" w:pos="440" w:val="left"/>
        </w:tabs>
        <w:rPr>
          <w:sz w:val="20"/>
          <w:szCs w:val="20"/>
          <w:color w:val="auto"/>
        </w:rPr>
      </w:pPr>
      <w:r>
        <w:rPr>
          <w:rFonts w:ascii="Calibri" w:cs="Calibri" w:eastAsia="Calibri" w:hAnsi="Calibri"/>
          <w:sz w:val="17"/>
          <w:szCs w:val="17"/>
          <w:b w:val="1"/>
          <w:bCs w:val="1"/>
          <w:color w:val="auto"/>
        </w:rPr>
        <w:t>6.1.</w:t>
      </w:r>
      <w:r>
        <w:rPr>
          <w:sz w:val="20"/>
          <w:szCs w:val="20"/>
          <w:color w:val="auto"/>
        </w:rPr>
        <w:tab/>
      </w:r>
      <w:r>
        <w:rPr>
          <w:rFonts w:ascii="Calibri" w:cs="Calibri" w:eastAsia="Calibri" w:hAnsi="Calibri"/>
          <w:sz w:val="16"/>
          <w:szCs w:val="16"/>
          <w:b w:val="1"/>
          <w:bCs w:val="1"/>
          <w:color w:val="auto"/>
        </w:rPr>
        <w:t>Other Core Income</w:t>
      </w:r>
      <w:r>
        <w:rPr>
          <w:rFonts w:ascii="Calibri" w:cs="Calibri" w:eastAsia="Calibri" w:hAnsi="Calibri"/>
          <w:sz w:val="26"/>
          <w:szCs w:val="26"/>
          <w:b w:val="1"/>
          <w:bCs w:val="1"/>
          <w:color w:val="auto"/>
          <w:vertAlign w:val="superscript"/>
        </w:rPr>
        <w:t>1</w:t>
      </w:r>
    </w:p>
    <w:tbl>
      <w:tblPr>
        <w:tblLayout w:type="fixed"/>
        <w:tblInd w:w="10" w:type="dxa"/>
        <w:tblCellMar>
          <w:top w:w="0" w:type="dxa"/>
          <w:left w:w="0" w:type="dxa"/>
          <w:bottom w:w="0" w:type="dxa"/>
          <w:right w:w="0" w:type="dxa"/>
        </w:tblCellMar>
      </w:tblPr>
      <w:tr>
        <w:trPr>
          <w:trHeight w:val="162"/>
        </w:trPr>
        <w:tc>
          <w:tcPr>
            <w:tcW w:w="3400" w:type="dxa"/>
            <w:vAlign w:val="bottom"/>
            <w:tcBorders>
              <w:top w:val="single" w:sz="8" w:color="auto"/>
              <w:left w:val="single" w:sz="8" w:color="auto"/>
              <w:right w:val="single" w:sz="8" w:color="auto"/>
            </w:tcBorders>
            <w:shd w:val="clear" w:color="auto" w:fill="33CCCC"/>
          </w:tcPr>
          <w:p>
            <w:pPr>
              <w:ind w:left="20"/>
              <w:spacing w:after="0" w:line="162" w:lineRule="exact"/>
              <w:rPr>
                <w:sz w:val="20"/>
                <w:szCs w:val="20"/>
                <w:color w:val="auto"/>
              </w:rPr>
            </w:pPr>
            <w:r>
              <w:rPr>
                <w:rFonts w:ascii="Calibri" w:cs="Calibri" w:eastAsia="Calibri" w:hAnsi="Calibri"/>
                <w:sz w:val="11"/>
                <w:szCs w:val="11"/>
                <w:b w:val="1"/>
                <w:bCs w:val="1"/>
                <w:color w:val="FFFFFF"/>
              </w:rPr>
              <w:t xml:space="preserve">Other Core Income </w:t>
            </w:r>
            <w:r>
              <w:rPr>
                <w:rFonts w:ascii="Calibri" w:cs="Calibri" w:eastAsia="Calibri" w:hAnsi="Calibri"/>
                <w:sz w:val="17"/>
                <w:szCs w:val="17"/>
                <w:b w:val="1"/>
                <w:bCs w:val="1"/>
                <w:color w:val="FFFFFF"/>
                <w:vertAlign w:val="superscript"/>
              </w:rPr>
              <w:t>(1)</w:t>
            </w:r>
          </w:p>
        </w:tc>
        <w:tc>
          <w:tcPr>
            <w:tcW w:w="1040" w:type="dxa"/>
            <w:vAlign w:val="bottom"/>
            <w:tcBorders>
              <w:top w:val="single" w:sz="8" w:color="auto"/>
            </w:tcBorders>
            <w:shd w:val="clear" w:color="auto" w:fill="33CCCC"/>
          </w:tcPr>
          <w:p>
            <w:pPr>
              <w:spacing w:after="0"/>
              <w:rPr>
                <w:sz w:val="14"/>
                <w:szCs w:val="14"/>
                <w:color w:val="auto"/>
              </w:rPr>
            </w:pPr>
          </w:p>
        </w:tc>
        <w:tc>
          <w:tcPr>
            <w:tcW w:w="1060" w:type="dxa"/>
            <w:vAlign w:val="bottom"/>
            <w:tcBorders>
              <w:top w:val="single" w:sz="8" w:color="auto"/>
            </w:tcBorders>
            <w:shd w:val="clear" w:color="auto" w:fill="33CCCC"/>
          </w:tcPr>
          <w:p>
            <w:pPr>
              <w:ind w:left="300"/>
              <w:spacing w:after="0"/>
              <w:rPr>
                <w:sz w:val="20"/>
                <w:szCs w:val="20"/>
                <w:color w:val="auto"/>
              </w:rPr>
            </w:pPr>
            <w:r>
              <w:rPr>
                <w:rFonts w:ascii="Calibri" w:cs="Calibri" w:eastAsia="Calibri" w:hAnsi="Calibri"/>
                <w:sz w:val="13"/>
                <w:szCs w:val="13"/>
                <w:b w:val="1"/>
                <w:bCs w:val="1"/>
                <w:color w:val="FFFFFF"/>
              </w:rPr>
              <w:t>Quarter</w:t>
            </w:r>
          </w:p>
        </w:tc>
        <w:tc>
          <w:tcPr>
            <w:tcW w:w="1060" w:type="dxa"/>
            <w:vAlign w:val="bottom"/>
            <w:tcBorders>
              <w:top w:val="single" w:sz="8" w:color="auto"/>
              <w:right w:val="single" w:sz="8" w:color="auto"/>
            </w:tcBorders>
            <w:shd w:val="clear" w:color="auto" w:fill="33CCCC"/>
          </w:tcPr>
          <w:p>
            <w:pPr>
              <w:spacing w:after="0"/>
              <w:rPr>
                <w:sz w:val="14"/>
                <w:szCs w:val="14"/>
                <w:color w:val="auto"/>
              </w:rPr>
            </w:pPr>
          </w:p>
        </w:tc>
        <w:tc>
          <w:tcPr>
            <w:tcW w:w="1520" w:type="dxa"/>
            <w:vAlign w:val="bottom"/>
            <w:tcBorders>
              <w:top w:val="single" w:sz="8" w:color="auto"/>
              <w:right w:val="single" w:sz="8" w:color="auto"/>
            </w:tcBorders>
            <w:gridSpan w:val="2"/>
            <w:shd w:val="clear" w:color="auto" w:fill="33CCCC"/>
          </w:tcPr>
          <w:p>
            <w:pPr>
              <w:ind w:left="480"/>
              <w:spacing w:after="0"/>
              <w:rPr>
                <w:sz w:val="20"/>
                <w:szCs w:val="20"/>
                <w:color w:val="auto"/>
              </w:rPr>
            </w:pPr>
            <w:r>
              <w:rPr>
                <w:rFonts w:ascii="Calibri" w:cs="Calibri" w:eastAsia="Calibri" w:hAnsi="Calibri"/>
                <w:sz w:val="13"/>
                <w:szCs w:val="13"/>
                <w:b w:val="1"/>
                <w:bCs w:val="1"/>
                <w:color w:val="FFFFFF"/>
              </w:rPr>
              <w:t>% Change</w:t>
            </w:r>
          </w:p>
        </w:tc>
        <w:tc>
          <w:tcPr>
            <w:tcW w:w="820" w:type="dxa"/>
            <w:vAlign w:val="bottom"/>
            <w:tcBorders>
              <w:top w:val="single" w:sz="8" w:color="auto"/>
            </w:tcBorders>
            <w:shd w:val="clear" w:color="auto" w:fill="33CCCC"/>
          </w:tcPr>
          <w:p>
            <w:pPr>
              <w:spacing w:after="0"/>
              <w:rPr>
                <w:sz w:val="14"/>
                <w:szCs w:val="14"/>
                <w:color w:val="auto"/>
              </w:rPr>
            </w:pPr>
          </w:p>
        </w:tc>
        <w:tc>
          <w:tcPr>
            <w:tcW w:w="120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Up to</w:t>
            </w:r>
          </w:p>
        </w:tc>
        <w:tc>
          <w:tcPr>
            <w:tcW w:w="11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8"/>
              </w:rPr>
              <w:t>% change</w:t>
            </w:r>
          </w:p>
        </w:tc>
      </w:tr>
      <w:tr>
        <w:trPr>
          <w:trHeight w:val="162"/>
        </w:trPr>
        <w:tc>
          <w:tcPr>
            <w:tcW w:w="3400" w:type="dxa"/>
            <w:vAlign w:val="bottom"/>
            <w:tcBorders>
              <w:left w:val="single" w:sz="8" w:color="auto"/>
              <w:bottom w:val="single" w:sz="8" w:color="auto"/>
              <w:right w:val="single" w:sz="8" w:color="auto"/>
            </w:tcBorders>
            <w:shd w:val="clear" w:color="auto" w:fill="33CCCC"/>
          </w:tcPr>
          <w:p>
            <w:pPr>
              <w:ind w:left="20"/>
              <w:spacing w:after="0" w:line="156" w:lineRule="exact"/>
              <w:rPr>
                <w:sz w:val="20"/>
                <w:szCs w:val="20"/>
                <w:color w:val="auto"/>
              </w:rPr>
            </w:pPr>
            <w:r>
              <w:rPr>
                <w:rFonts w:ascii="Calibri" w:cs="Calibri" w:eastAsia="Calibri" w:hAnsi="Calibri"/>
                <w:sz w:val="13"/>
                <w:szCs w:val="13"/>
                <w:b w:val="1"/>
                <w:bCs w:val="1"/>
                <w:color w:val="FFFFFF"/>
              </w:rPr>
              <w:t>(S/ 000)</w:t>
            </w:r>
          </w:p>
        </w:tc>
        <w:tc>
          <w:tcPr>
            <w:tcW w:w="1040" w:type="dxa"/>
            <w:vAlign w:val="bottom"/>
            <w:tcBorders>
              <w:bottom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rPr>
              <w:t>2Q24</w:t>
            </w:r>
          </w:p>
        </w:tc>
        <w:tc>
          <w:tcPr>
            <w:tcW w:w="1060" w:type="dxa"/>
            <w:vAlign w:val="bottom"/>
            <w:tcBorders>
              <w:bottom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rPr>
              <w:t>1Q25</w:t>
            </w:r>
          </w:p>
        </w:tc>
        <w:tc>
          <w:tcPr>
            <w:tcW w:w="1060" w:type="dxa"/>
            <w:vAlign w:val="bottom"/>
            <w:tcBorders>
              <w:bottom w:val="single" w:sz="8" w:color="auto"/>
              <w:right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w w:val="97"/>
              </w:rPr>
              <w:t>2Q25</w:t>
            </w:r>
          </w:p>
        </w:tc>
        <w:tc>
          <w:tcPr>
            <w:tcW w:w="740" w:type="dxa"/>
            <w:vAlign w:val="bottom"/>
            <w:tcBorders>
              <w:bottom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rPr>
              <w:t>QoQ</w:t>
            </w:r>
          </w:p>
        </w:tc>
        <w:tc>
          <w:tcPr>
            <w:tcW w:w="780" w:type="dxa"/>
            <w:vAlign w:val="bottom"/>
            <w:tcBorders>
              <w:bottom w:val="single" w:sz="8" w:color="auto"/>
              <w:right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w w:val="97"/>
              </w:rPr>
              <w:t>YoY</w:t>
            </w:r>
          </w:p>
        </w:tc>
        <w:tc>
          <w:tcPr>
            <w:tcW w:w="820" w:type="dxa"/>
            <w:vAlign w:val="bottom"/>
            <w:tcBorders>
              <w:bottom w:val="single" w:sz="8" w:color="auto"/>
            </w:tcBorders>
            <w:shd w:val="clear" w:color="auto" w:fill="33CCCC"/>
          </w:tcPr>
          <w:p>
            <w:pPr>
              <w:ind w:left="320"/>
              <w:spacing w:after="0" w:line="156" w:lineRule="exact"/>
              <w:rPr>
                <w:sz w:val="20"/>
                <w:szCs w:val="20"/>
                <w:color w:val="auto"/>
              </w:rPr>
            </w:pPr>
            <w:r>
              <w:rPr>
                <w:rFonts w:ascii="Calibri" w:cs="Calibri" w:eastAsia="Calibri" w:hAnsi="Calibri"/>
                <w:sz w:val="13"/>
                <w:szCs w:val="13"/>
                <w:b w:val="1"/>
                <w:bCs w:val="1"/>
                <w:color w:val="FFFFFF"/>
              </w:rPr>
              <w:t>Jun 24</w:t>
            </w:r>
          </w:p>
        </w:tc>
        <w:tc>
          <w:tcPr>
            <w:tcW w:w="1200" w:type="dxa"/>
            <w:vAlign w:val="bottom"/>
            <w:tcBorders>
              <w:bottom w:val="single" w:sz="8" w:color="auto"/>
              <w:right w:val="single" w:sz="8" w:color="auto"/>
            </w:tcBorders>
            <w:shd w:val="clear" w:color="auto" w:fill="33CCCC"/>
          </w:tcPr>
          <w:p>
            <w:pPr>
              <w:ind w:left="500"/>
              <w:spacing w:after="0" w:line="156" w:lineRule="exact"/>
              <w:rPr>
                <w:sz w:val="20"/>
                <w:szCs w:val="20"/>
                <w:color w:val="auto"/>
              </w:rPr>
            </w:pPr>
            <w:r>
              <w:rPr>
                <w:rFonts w:ascii="Calibri" w:cs="Calibri" w:eastAsia="Calibri" w:hAnsi="Calibri"/>
                <w:sz w:val="13"/>
                <w:szCs w:val="13"/>
                <w:b w:val="1"/>
                <w:bCs w:val="1"/>
                <w:color w:val="FFFFFF"/>
              </w:rPr>
              <w:t>Jun 25</w:t>
            </w:r>
          </w:p>
        </w:tc>
        <w:tc>
          <w:tcPr>
            <w:tcW w:w="1160" w:type="dxa"/>
            <w:vAlign w:val="bottom"/>
            <w:tcBorders>
              <w:bottom w:val="single" w:sz="8" w:color="auto"/>
              <w:right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w w:val="99"/>
              </w:rPr>
              <w:t>Jun 25 / Jun 24</w:t>
            </w:r>
          </w:p>
        </w:tc>
      </w:tr>
      <w:tr>
        <w:trPr>
          <w:trHeight w:val="160"/>
        </w:trPr>
        <w:tc>
          <w:tcPr>
            <w:tcW w:w="3400" w:type="dxa"/>
            <w:vAlign w:val="bottom"/>
            <w:tcBorders>
              <w:left w:val="single" w:sz="8" w:color="auto"/>
              <w:right w:val="single" w:sz="8" w:color="auto"/>
            </w:tcBorders>
          </w:tcPr>
          <w:p>
            <w:pPr>
              <w:ind w:left="20"/>
              <w:spacing w:after="0" w:line="161" w:lineRule="exact"/>
              <w:rPr>
                <w:sz w:val="20"/>
                <w:szCs w:val="20"/>
                <w:color w:val="auto"/>
              </w:rPr>
            </w:pPr>
            <w:r>
              <w:rPr>
                <w:rFonts w:ascii="Calibri" w:cs="Calibri" w:eastAsia="Calibri" w:hAnsi="Calibri"/>
                <w:sz w:val="15"/>
                <w:szCs w:val="15"/>
                <w:color w:val="auto"/>
              </w:rPr>
              <w:t>Fee Income</w:t>
            </w:r>
          </w:p>
        </w:tc>
        <w:tc>
          <w:tcPr>
            <w:tcW w:w="1040" w:type="dxa"/>
            <w:vAlign w:val="bottom"/>
          </w:tcPr>
          <w:p>
            <w:pPr>
              <w:jc w:val="center"/>
              <w:spacing w:after="0" w:line="161" w:lineRule="exact"/>
              <w:rPr>
                <w:sz w:val="20"/>
                <w:szCs w:val="20"/>
                <w:color w:val="auto"/>
              </w:rPr>
            </w:pPr>
            <w:r>
              <w:rPr>
                <w:rFonts w:ascii="Calibri" w:cs="Calibri" w:eastAsia="Calibri" w:hAnsi="Calibri"/>
                <w:sz w:val="15"/>
                <w:szCs w:val="15"/>
                <w:color w:val="auto"/>
                <w:w w:val="97"/>
              </w:rPr>
              <w:t>947,228</w:t>
            </w:r>
          </w:p>
        </w:tc>
        <w:tc>
          <w:tcPr>
            <w:tcW w:w="1060" w:type="dxa"/>
            <w:vAlign w:val="bottom"/>
          </w:tcPr>
          <w:p>
            <w:pPr>
              <w:jc w:val="center"/>
              <w:spacing w:after="0" w:line="161" w:lineRule="exact"/>
              <w:rPr>
                <w:sz w:val="20"/>
                <w:szCs w:val="20"/>
                <w:color w:val="auto"/>
              </w:rPr>
            </w:pPr>
            <w:r>
              <w:rPr>
                <w:rFonts w:ascii="Calibri" w:cs="Calibri" w:eastAsia="Calibri" w:hAnsi="Calibri"/>
                <w:sz w:val="15"/>
                <w:szCs w:val="15"/>
                <w:color w:val="auto"/>
                <w:w w:val="97"/>
              </w:rPr>
              <w:t>994,024</w:t>
            </w:r>
          </w:p>
        </w:tc>
        <w:tc>
          <w:tcPr>
            <w:tcW w:w="10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5"/>
                <w:szCs w:val="15"/>
                <w:color w:val="auto"/>
                <w:w w:val="98"/>
              </w:rPr>
              <w:t>1,024,553</w:t>
            </w:r>
          </w:p>
        </w:tc>
        <w:tc>
          <w:tcPr>
            <w:tcW w:w="740" w:type="dxa"/>
            <w:vAlign w:val="bottom"/>
          </w:tcPr>
          <w:p>
            <w:pPr>
              <w:jc w:val="center"/>
              <w:spacing w:after="0" w:line="161" w:lineRule="exact"/>
              <w:rPr>
                <w:sz w:val="20"/>
                <w:szCs w:val="20"/>
                <w:color w:val="auto"/>
              </w:rPr>
            </w:pPr>
            <w:r>
              <w:rPr>
                <w:rFonts w:ascii="Calibri" w:cs="Calibri" w:eastAsia="Calibri" w:hAnsi="Calibri"/>
                <w:sz w:val="15"/>
                <w:szCs w:val="15"/>
                <w:color w:val="auto"/>
              </w:rPr>
              <w:t>3.1%</w:t>
            </w:r>
          </w:p>
        </w:tc>
        <w:tc>
          <w:tcPr>
            <w:tcW w:w="7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5"/>
                <w:szCs w:val="15"/>
                <w:color w:val="auto"/>
              </w:rPr>
              <w:t>8.2%</w:t>
            </w:r>
          </w:p>
        </w:tc>
        <w:tc>
          <w:tcPr>
            <w:tcW w:w="820" w:type="dxa"/>
            <w:vAlign w:val="bottom"/>
          </w:tcPr>
          <w:p>
            <w:pPr>
              <w:jc w:val="center"/>
              <w:ind w:left="68"/>
              <w:spacing w:after="0" w:line="161" w:lineRule="exact"/>
              <w:rPr>
                <w:sz w:val="20"/>
                <w:szCs w:val="20"/>
                <w:color w:val="auto"/>
              </w:rPr>
            </w:pPr>
            <w:r>
              <w:rPr>
                <w:rFonts w:ascii="Calibri" w:cs="Calibri" w:eastAsia="Calibri" w:hAnsi="Calibri"/>
                <w:sz w:val="15"/>
                <w:szCs w:val="15"/>
                <w:color w:val="auto"/>
                <w:w w:val="98"/>
              </w:rPr>
              <w:t>1,803,793</w:t>
            </w:r>
          </w:p>
        </w:tc>
        <w:tc>
          <w:tcPr>
            <w:tcW w:w="1200" w:type="dxa"/>
            <w:vAlign w:val="bottom"/>
            <w:tcBorders>
              <w:right w:val="single" w:sz="8" w:color="auto"/>
            </w:tcBorders>
          </w:tcPr>
          <w:p>
            <w:pPr>
              <w:jc w:val="center"/>
              <w:ind w:left="90"/>
              <w:spacing w:after="0" w:line="161" w:lineRule="exact"/>
              <w:rPr>
                <w:sz w:val="20"/>
                <w:szCs w:val="20"/>
                <w:color w:val="auto"/>
              </w:rPr>
            </w:pPr>
            <w:r>
              <w:rPr>
                <w:rFonts w:ascii="Calibri" w:cs="Calibri" w:eastAsia="Calibri" w:hAnsi="Calibri"/>
                <w:sz w:val="15"/>
                <w:szCs w:val="15"/>
                <w:color w:val="auto"/>
                <w:w w:val="98"/>
              </w:rPr>
              <w:t>2,018,577</w:t>
            </w:r>
          </w:p>
        </w:tc>
        <w:tc>
          <w:tcPr>
            <w:tcW w:w="11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5"/>
                <w:szCs w:val="15"/>
                <w:color w:val="auto"/>
                <w:w w:val="96"/>
              </w:rPr>
              <w:t>11.9%</w:t>
            </w:r>
          </w:p>
        </w:tc>
      </w:tr>
      <w:tr>
        <w:trPr>
          <w:trHeight w:val="175"/>
        </w:trPr>
        <w:tc>
          <w:tcPr>
            <w:tcW w:w="3400" w:type="dxa"/>
            <w:vAlign w:val="bottom"/>
            <w:tcBorders>
              <w:left w:val="single" w:sz="8" w:color="auto"/>
              <w:right w:val="single" w:sz="8" w:color="auto"/>
            </w:tcBorders>
          </w:tcPr>
          <w:p>
            <w:pPr>
              <w:ind w:left="20"/>
              <w:spacing w:after="0" w:line="174" w:lineRule="exact"/>
              <w:rPr>
                <w:sz w:val="20"/>
                <w:szCs w:val="20"/>
                <w:color w:val="auto"/>
              </w:rPr>
            </w:pPr>
            <w:r>
              <w:rPr>
                <w:rFonts w:ascii="Calibri" w:cs="Calibri" w:eastAsia="Calibri" w:hAnsi="Calibri"/>
                <w:sz w:val="15"/>
                <w:szCs w:val="15"/>
                <w:color w:val="auto"/>
              </w:rPr>
              <w:t>Net Gain on Foreign Exchange Transactons</w:t>
            </w:r>
          </w:p>
        </w:tc>
        <w:tc>
          <w:tcPr>
            <w:tcW w:w="1040" w:type="dxa"/>
            <w:vAlign w:val="bottom"/>
          </w:tcPr>
          <w:p>
            <w:pPr>
              <w:jc w:val="center"/>
              <w:spacing w:after="0" w:line="174" w:lineRule="exact"/>
              <w:rPr>
                <w:sz w:val="20"/>
                <w:szCs w:val="20"/>
                <w:color w:val="auto"/>
              </w:rPr>
            </w:pPr>
            <w:r>
              <w:rPr>
                <w:rFonts w:ascii="Calibri" w:cs="Calibri" w:eastAsia="Calibri" w:hAnsi="Calibri"/>
                <w:sz w:val="15"/>
                <w:szCs w:val="15"/>
                <w:color w:val="auto"/>
                <w:w w:val="97"/>
              </w:rPr>
              <w:t>349,349</w:t>
            </w:r>
          </w:p>
        </w:tc>
        <w:tc>
          <w:tcPr>
            <w:tcW w:w="1060" w:type="dxa"/>
            <w:vAlign w:val="bottom"/>
          </w:tcPr>
          <w:p>
            <w:pPr>
              <w:jc w:val="center"/>
              <w:spacing w:after="0" w:line="174" w:lineRule="exact"/>
              <w:rPr>
                <w:sz w:val="20"/>
                <w:szCs w:val="20"/>
                <w:color w:val="auto"/>
              </w:rPr>
            </w:pPr>
            <w:r>
              <w:rPr>
                <w:rFonts w:ascii="Calibri" w:cs="Calibri" w:eastAsia="Calibri" w:hAnsi="Calibri"/>
                <w:sz w:val="15"/>
                <w:szCs w:val="15"/>
                <w:color w:val="auto"/>
                <w:w w:val="97"/>
              </w:rPr>
              <w:t>343,814</w:t>
            </w:r>
          </w:p>
        </w:tc>
        <w:tc>
          <w:tcPr>
            <w:tcW w:w="10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5"/>
                <w:szCs w:val="15"/>
                <w:color w:val="auto"/>
                <w:w w:val="97"/>
              </w:rPr>
              <w:t>377,016</w:t>
            </w:r>
          </w:p>
        </w:tc>
        <w:tc>
          <w:tcPr>
            <w:tcW w:w="740" w:type="dxa"/>
            <w:vAlign w:val="bottom"/>
          </w:tcPr>
          <w:p>
            <w:pPr>
              <w:jc w:val="center"/>
              <w:spacing w:after="0" w:line="174" w:lineRule="exact"/>
              <w:rPr>
                <w:sz w:val="20"/>
                <w:szCs w:val="20"/>
                <w:color w:val="auto"/>
              </w:rPr>
            </w:pPr>
            <w:r>
              <w:rPr>
                <w:rFonts w:ascii="Calibri" w:cs="Calibri" w:eastAsia="Calibri" w:hAnsi="Calibri"/>
                <w:sz w:val="15"/>
                <w:szCs w:val="15"/>
                <w:color w:val="auto"/>
              </w:rPr>
              <w:t>9.7%</w:t>
            </w:r>
          </w:p>
        </w:tc>
        <w:tc>
          <w:tcPr>
            <w:tcW w:w="78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5"/>
                <w:szCs w:val="15"/>
                <w:color w:val="auto"/>
              </w:rPr>
              <w:t>7.9%</w:t>
            </w:r>
          </w:p>
        </w:tc>
        <w:tc>
          <w:tcPr>
            <w:tcW w:w="820" w:type="dxa"/>
            <w:vAlign w:val="bottom"/>
          </w:tcPr>
          <w:p>
            <w:pPr>
              <w:jc w:val="center"/>
              <w:ind w:left="68"/>
              <w:spacing w:after="0" w:line="174" w:lineRule="exact"/>
              <w:rPr>
                <w:sz w:val="20"/>
                <w:szCs w:val="20"/>
                <w:color w:val="auto"/>
              </w:rPr>
            </w:pPr>
            <w:r>
              <w:rPr>
                <w:rFonts w:ascii="Calibri" w:cs="Calibri" w:eastAsia="Calibri" w:hAnsi="Calibri"/>
                <w:sz w:val="15"/>
                <w:szCs w:val="15"/>
                <w:color w:val="auto"/>
                <w:w w:val="97"/>
              </w:rPr>
              <w:t>654,719</w:t>
            </w:r>
          </w:p>
        </w:tc>
        <w:tc>
          <w:tcPr>
            <w:tcW w:w="1200" w:type="dxa"/>
            <w:vAlign w:val="bottom"/>
            <w:tcBorders>
              <w:right w:val="single" w:sz="8" w:color="auto"/>
            </w:tcBorders>
          </w:tcPr>
          <w:p>
            <w:pPr>
              <w:jc w:val="center"/>
              <w:ind w:left="70"/>
              <w:spacing w:after="0" w:line="174" w:lineRule="exact"/>
              <w:rPr>
                <w:sz w:val="20"/>
                <w:szCs w:val="20"/>
                <w:color w:val="auto"/>
              </w:rPr>
            </w:pPr>
            <w:r>
              <w:rPr>
                <w:rFonts w:ascii="Calibri" w:cs="Calibri" w:eastAsia="Calibri" w:hAnsi="Calibri"/>
                <w:sz w:val="15"/>
                <w:szCs w:val="15"/>
                <w:color w:val="auto"/>
              </w:rPr>
              <w:t>720,830</w:t>
            </w:r>
          </w:p>
        </w:tc>
        <w:tc>
          <w:tcPr>
            <w:tcW w:w="11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5"/>
                <w:szCs w:val="15"/>
                <w:color w:val="auto"/>
                <w:w w:val="96"/>
              </w:rPr>
              <w:t>10.1%</w:t>
            </w:r>
          </w:p>
        </w:tc>
      </w:tr>
      <w:tr>
        <w:trPr>
          <w:trHeight w:val="29"/>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171"/>
        </w:trPr>
        <w:tc>
          <w:tcPr>
            <w:tcW w:w="3400" w:type="dxa"/>
            <w:vAlign w:val="bottom"/>
            <w:tcBorders>
              <w:left w:val="single" w:sz="8" w:color="auto"/>
              <w:bottom w:val="single" w:sz="8" w:color="auto"/>
              <w:right w:val="single" w:sz="8" w:color="auto"/>
            </w:tcBorders>
          </w:tcPr>
          <w:p>
            <w:pPr>
              <w:ind w:left="20"/>
              <w:spacing w:after="0" w:line="171" w:lineRule="exact"/>
              <w:rPr>
                <w:sz w:val="20"/>
                <w:szCs w:val="20"/>
                <w:color w:val="auto"/>
              </w:rPr>
            </w:pPr>
            <w:r>
              <w:rPr>
                <w:rFonts w:ascii="Calibri" w:cs="Calibri" w:eastAsia="Calibri" w:hAnsi="Calibri"/>
                <w:sz w:val="15"/>
                <w:szCs w:val="15"/>
                <w:b w:val="1"/>
                <w:bCs w:val="1"/>
                <w:color w:val="auto"/>
              </w:rPr>
              <w:t>Total Other Core Income</w:t>
            </w:r>
          </w:p>
        </w:tc>
        <w:tc>
          <w:tcPr>
            <w:tcW w:w="1040" w:type="dxa"/>
            <w:vAlign w:val="bottom"/>
            <w:tcBorders>
              <w:bottom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8"/>
              </w:rPr>
              <w:t>1,296,577</w:t>
            </w:r>
          </w:p>
        </w:tc>
        <w:tc>
          <w:tcPr>
            <w:tcW w:w="1060" w:type="dxa"/>
            <w:vAlign w:val="bottom"/>
            <w:tcBorders>
              <w:bottom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8"/>
              </w:rPr>
              <w:t>1,337,838</w:t>
            </w:r>
          </w:p>
        </w:tc>
        <w:tc>
          <w:tcPr>
            <w:tcW w:w="1060" w:type="dxa"/>
            <w:vAlign w:val="bottom"/>
            <w:tcBorders>
              <w:bottom w:val="single" w:sz="8" w:color="auto"/>
              <w:right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8"/>
              </w:rPr>
              <w:t>1,401,569</w:t>
            </w:r>
          </w:p>
        </w:tc>
        <w:tc>
          <w:tcPr>
            <w:tcW w:w="740" w:type="dxa"/>
            <w:vAlign w:val="bottom"/>
            <w:tcBorders>
              <w:bottom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9"/>
              </w:rPr>
              <w:t>4.8%</w:t>
            </w:r>
          </w:p>
        </w:tc>
        <w:tc>
          <w:tcPr>
            <w:tcW w:w="780" w:type="dxa"/>
            <w:vAlign w:val="bottom"/>
            <w:tcBorders>
              <w:bottom w:val="single" w:sz="8" w:color="auto"/>
              <w:right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w w:val="99"/>
              </w:rPr>
              <w:t>8.1%</w:t>
            </w:r>
          </w:p>
        </w:tc>
        <w:tc>
          <w:tcPr>
            <w:tcW w:w="820" w:type="dxa"/>
            <w:vAlign w:val="bottom"/>
            <w:tcBorders>
              <w:bottom w:val="single" w:sz="8" w:color="auto"/>
            </w:tcBorders>
          </w:tcPr>
          <w:p>
            <w:pPr>
              <w:jc w:val="center"/>
              <w:ind w:left="68"/>
              <w:spacing w:after="0" w:line="171" w:lineRule="exact"/>
              <w:rPr>
                <w:sz w:val="20"/>
                <w:szCs w:val="20"/>
                <w:color w:val="auto"/>
              </w:rPr>
            </w:pPr>
            <w:r>
              <w:rPr>
                <w:rFonts w:ascii="Calibri" w:cs="Calibri" w:eastAsia="Calibri" w:hAnsi="Calibri"/>
                <w:sz w:val="15"/>
                <w:szCs w:val="15"/>
                <w:b w:val="1"/>
                <w:bCs w:val="1"/>
                <w:color w:val="auto"/>
                <w:w w:val="98"/>
              </w:rPr>
              <w:t>2,458,512</w:t>
            </w:r>
          </w:p>
        </w:tc>
        <w:tc>
          <w:tcPr>
            <w:tcW w:w="1200" w:type="dxa"/>
            <w:vAlign w:val="bottom"/>
            <w:tcBorders>
              <w:bottom w:val="single" w:sz="8" w:color="auto"/>
              <w:right w:val="single" w:sz="8" w:color="auto"/>
            </w:tcBorders>
          </w:tcPr>
          <w:p>
            <w:pPr>
              <w:jc w:val="center"/>
              <w:ind w:left="90"/>
              <w:spacing w:after="0" w:line="171" w:lineRule="exact"/>
              <w:rPr>
                <w:sz w:val="20"/>
                <w:szCs w:val="20"/>
                <w:color w:val="auto"/>
              </w:rPr>
            </w:pPr>
            <w:r>
              <w:rPr>
                <w:rFonts w:ascii="Calibri" w:cs="Calibri" w:eastAsia="Calibri" w:hAnsi="Calibri"/>
                <w:sz w:val="15"/>
                <w:szCs w:val="15"/>
                <w:b w:val="1"/>
                <w:bCs w:val="1"/>
                <w:color w:val="auto"/>
                <w:w w:val="98"/>
              </w:rPr>
              <w:t>2,739,407</w:t>
            </w:r>
          </w:p>
        </w:tc>
        <w:tc>
          <w:tcPr>
            <w:tcW w:w="1160" w:type="dxa"/>
            <w:vAlign w:val="bottom"/>
            <w:tcBorders>
              <w:bottom w:val="single" w:sz="8" w:color="auto"/>
              <w:right w:val="single" w:sz="8" w:color="auto"/>
            </w:tcBorders>
          </w:tcPr>
          <w:p>
            <w:pPr>
              <w:jc w:val="center"/>
              <w:spacing w:after="0" w:line="171" w:lineRule="exact"/>
              <w:rPr>
                <w:sz w:val="20"/>
                <w:szCs w:val="20"/>
                <w:color w:val="auto"/>
              </w:rPr>
            </w:pPr>
            <w:r>
              <w:rPr>
                <w:rFonts w:ascii="Calibri" w:cs="Calibri" w:eastAsia="Calibri" w:hAnsi="Calibri"/>
                <w:sz w:val="15"/>
                <w:szCs w:val="15"/>
                <w:b w:val="1"/>
                <w:bCs w:val="1"/>
                <w:color w:val="auto"/>
              </w:rPr>
              <w:t>11.4%</w:t>
            </w:r>
          </w:p>
        </w:tc>
      </w:tr>
    </w:tbl>
    <w:p>
      <w:pPr>
        <w:ind w:right="20" w:firstLine="4"/>
        <w:spacing w:after="0" w:line="224" w:lineRule="auto"/>
        <w:tabs>
          <w:tab w:leader="none" w:pos="186" w:val="left"/>
        </w:tabs>
        <w:numPr>
          <w:ilvl w:val="0"/>
          <w:numId w:val="30"/>
        </w:numPr>
        <w:rPr>
          <w:rFonts w:ascii="Calibri" w:cs="Calibri" w:eastAsia="Calibri" w:hAnsi="Calibri"/>
          <w:sz w:val="14"/>
          <w:szCs w:val="14"/>
          <w:color w:val="auto"/>
        </w:rPr>
      </w:pPr>
      <w:r>
        <w:rPr>
          <w:rFonts w:ascii="Calibri" w:cs="Calibri" w:eastAsia="Calibri" w:hAnsi="Calibri"/>
          <w:sz w:val="14"/>
          <w:szCs w:val="14"/>
          <w:color w:val="auto"/>
        </w:rPr>
        <w:t>Beginning in 1Q25, accountng reclassifcatons have been incorporated afectng Fee Income, Net Gain on Foreign Exchange Transactons, and Net Gain on Derivatves Held for Trading. Prior periods have been restated for comparability and may difer from previously reported fgures.</w:t>
      </w:r>
    </w:p>
    <w:p>
      <w:pPr>
        <w:spacing w:after="0" w:line="206"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Revenue diversifcaton and our digital capabilites contnue to be key drivers behind the growth of the main recurring components of Other Income. This performance was partally ofset by weaker results at </w:t>
      </w:r>
      <w:r>
        <w:rPr>
          <w:rFonts w:ascii="Calibri" w:cs="Calibri" w:eastAsia="Calibri" w:hAnsi="Calibri"/>
          <w:sz w:val="17"/>
          <w:szCs w:val="17"/>
          <w:b w:val="1"/>
          <w:bCs w:val="1"/>
          <w:color w:val="auto"/>
        </w:rPr>
        <w:t>BCP Bolivia</w:t>
      </w:r>
      <w:r>
        <w:rPr>
          <w:rFonts w:ascii="Calibri" w:cs="Calibri" w:eastAsia="Calibri" w:hAnsi="Calibri"/>
          <w:sz w:val="17"/>
          <w:szCs w:val="17"/>
          <w:color w:val="auto"/>
        </w:rPr>
        <w:t xml:space="preserve">, where </w:t>
      </w:r>
      <w:r>
        <w:rPr>
          <w:rFonts w:ascii="Calibri" w:cs="Calibri" w:eastAsia="Calibri" w:hAnsi="Calibri"/>
          <w:sz w:val="17"/>
          <w:szCs w:val="17"/>
          <w:b w:val="1"/>
          <w:bCs w:val="1"/>
          <w:color w:val="auto"/>
        </w:rPr>
        <w:t>Net Gain on Foreign Exchange Transactons</w:t>
      </w:r>
      <w:r>
        <w:rPr>
          <w:rFonts w:ascii="Calibri" w:cs="Calibri" w:eastAsia="Calibri" w:hAnsi="Calibri"/>
          <w:sz w:val="17"/>
          <w:szCs w:val="17"/>
          <w:color w:val="auto"/>
        </w:rPr>
        <w:t xml:space="preserve"> was impacted by the devaluaton of the Bolivian peso. Excluding the later, Other Core Income shows:</w:t>
      </w:r>
    </w:p>
    <w:p>
      <w:pPr>
        <w:spacing w:after="0" w:line="200" w:lineRule="exact"/>
        <w:rPr>
          <w:sz w:val="20"/>
          <w:szCs w:val="20"/>
          <w:color w:val="auto"/>
        </w:rPr>
      </w:pPr>
    </w:p>
    <w:p>
      <w:pPr>
        <w:jc w:val="both"/>
        <w:ind w:left="780" w:hanging="308"/>
        <w:spacing w:after="0" w:line="239" w:lineRule="auto"/>
        <w:tabs>
          <w:tab w:leader="none" w:pos="780" w:val="left"/>
        </w:tabs>
        <w:numPr>
          <w:ilvl w:val="0"/>
          <w:numId w:val="31"/>
        </w:numPr>
        <w:rPr>
          <w:rFonts w:ascii="Calibri" w:cs="Calibri" w:eastAsia="Calibri" w:hAnsi="Calibri"/>
          <w:sz w:val="17"/>
          <w:szCs w:val="17"/>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 Other Core Income </w:t>
      </w:r>
      <w:r>
        <w:rPr>
          <w:rFonts w:ascii="Calibri" w:cs="Calibri" w:eastAsia="Calibri" w:hAnsi="Calibri"/>
          <w:sz w:val="17"/>
          <w:szCs w:val="17"/>
          <w:color w:val="auto"/>
        </w:rPr>
        <w:t>reported solid results to hit a record-high of S/1.4 billion. Growth in</w:t>
      </w:r>
      <w:r>
        <w:rPr>
          <w:rFonts w:ascii="Calibri" w:cs="Calibri" w:eastAsia="Calibri" w:hAnsi="Calibri"/>
          <w:sz w:val="17"/>
          <w:szCs w:val="17"/>
          <w:b w:val="1"/>
          <w:bCs w:val="1"/>
          <w:color w:val="auto"/>
        </w:rPr>
        <w:t xml:space="preserve"> Fee Income </w:t>
      </w:r>
      <w:r>
        <w:rPr>
          <w:rFonts w:ascii="Calibri" w:cs="Calibri" w:eastAsia="Calibri" w:hAnsi="Calibri"/>
          <w:sz w:val="17"/>
          <w:szCs w:val="17"/>
          <w:color w:val="auto"/>
        </w:rPr>
        <w:t>will be described in the subsequent secton.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The </w:t>
      </w:r>
      <w:r>
        <w:rPr>
          <w:rFonts w:ascii="Calibri" w:cs="Calibri" w:eastAsia="Calibri" w:hAnsi="Calibri"/>
          <w:sz w:val="17"/>
          <w:szCs w:val="17"/>
          <w:b w:val="1"/>
          <w:bCs w:val="1"/>
          <w:color w:val="auto"/>
        </w:rPr>
        <w:t>Net Gain on Foreign Exchange Transactons</w:t>
      </w:r>
      <w:r>
        <w:rPr>
          <w:rFonts w:ascii="Calibri" w:cs="Calibri" w:eastAsia="Calibri" w:hAnsi="Calibri"/>
          <w:sz w:val="17"/>
          <w:szCs w:val="17"/>
          <w:color w:val="auto"/>
        </w:rPr>
        <w:t xml:space="preserve"> (+9.7%) refected positve results mainly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refectng higher client transactonal volumes.</w:t>
      </w:r>
    </w:p>
    <w:p>
      <w:pPr>
        <w:spacing w:after="0" w:line="199" w:lineRule="exact"/>
        <w:rPr>
          <w:rFonts w:ascii="Calibri" w:cs="Calibri" w:eastAsia="Calibri" w:hAnsi="Calibri"/>
          <w:sz w:val="17"/>
          <w:szCs w:val="17"/>
          <w:color w:val="auto"/>
        </w:rPr>
      </w:pPr>
    </w:p>
    <w:p>
      <w:pPr>
        <w:jc w:val="both"/>
        <w:ind w:left="780" w:hanging="308"/>
        <w:spacing w:after="0" w:line="239" w:lineRule="auto"/>
        <w:tabs>
          <w:tab w:leader="none" w:pos="780" w:val="left"/>
        </w:tabs>
        <w:numPr>
          <w:ilvl w:val="0"/>
          <w:numId w:val="3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growth was driven mainly by an uptck in</w:t>
      </w:r>
      <w:r>
        <w:rPr>
          <w:rFonts w:ascii="Calibri" w:cs="Calibri" w:eastAsia="Calibri" w:hAnsi="Calibri"/>
          <w:sz w:val="17"/>
          <w:szCs w:val="17"/>
          <w:b w:val="1"/>
          <w:bCs w:val="1"/>
          <w:color w:val="auto"/>
        </w:rPr>
        <w:t xml:space="preserve"> Fee Income, </w:t>
      </w:r>
      <w:r>
        <w:rPr>
          <w:rFonts w:ascii="Calibri" w:cs="Calibri" w:eastAsia="Calibri" w:hAnsi="Calibri"/>
          <w:sz w:val="17"/>
          <w:szCs w:val="17"/>
          <w:color w:val="auto"/>
        </w:rPr>
        <w:t>which will be discussed in the subsequent secton on fee income at BCP Stand-alone. 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secondary driver of growth was the </w:t>
      </w:r>
      <w:r>
        <w:rPr>
          <w:rFonts w:ascii="Calibri" w:cs="Calibri" w:eastAsia="Calibri" w:hAnsi="Calibri"/>
          <w:sz w:val="17"/>
          <w:szCs w:val="17"/>
          <w:b w:val="1"/>
          <w:bCs w:val="1"/>
          <w:color w:val="auto"/>
        </w:rPr>
        <w:t>Net Gain on Foreign Exchange Transactons</w:t>
      </w:r>
      <w:r>
        <w:rPr>
          <w:rFonts w:ascii="Calibri" w:cs="Calibri" w:eastAsia="Calibri" w:hAnsi="Calibri"/>
          <w:sz w:val="17"/>
          <w:szCs w:val="17"/>
          <w:color w:val="auto"/>
        </w:rPr>
        <w:t xml:space="preserve"> (+7.9%) at </w:t>
      </w:r>
      <w:r>
        <w:rPr>
          <w:rFonts w:ascii="Calibri" w:cs="Calibri" w:eastAsia="Calibri" w:hAnsi="Calibri"/>
          <w:sz w:val="17"/>
          <w:szCs w:val="17"/>
          <w:b w:val="1"/>
          <w:bCs w:val="1"/>
          <w:color w:val="auto"/>
        </w:rPr>
        <w:t>BCP Stand- alone</w:t>
      </w:r>
      <w:r>
        <w:rPr>
          <w:rFonts w:ascii="Calibri" w:cs="Calibri" w:eastAsia="Calibri" w:hAnsi="Calibri"/>
          <w:sz w:val="17"/>
          <w:szCs w:val="17"/>
          <w:color w:val="auto"/>
        </w:rPr>
        <w:t>, which was fueled by an increase in transacton volumes across banking segments, on the back of pricing strategies and retail campaigns.</w:t>
      </w:r>
    </w:p>
    <w:p>
      <w:pPr>
        <w:spacing w:after="0" w:line="199" w:lineRule="exact"/>
        <w:rPr>
          <w:rFonts w:ascii="Calibri" w:cs="Calibri" w:eastAsia="Calibri" w:hAnsi="Calibri"/>
          <w:sz w:val="17"/>
          <w:szCs w:val="17"/>
          <w:color w:val="auto"/>
        </w:rPr>
      </w:pPr>
    </w:p>
    <w:p>
      <w:pPr>
        <w:jc w:val="both"/>
        <w:ind w:left="780" w:hanging="308"/>
        <w:spacing w:after="0"/>
        <w:tabs>
          <w:tab w:leader="none" w:pos="780" w:val="left"/>
        </w:tabs>
        <w:numPr>
          <w:ilvl w:val="0"/>
          <w:numId w:val="3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YTD, </w:t>
      </w:r>
      <w:r>
        <w:rPr>
          <w:rFonts w:ascii="Calibri" w:cs="Calibri" w:eastAsia="Calibri" w:hAnsi="Calibri"/>
          <w:sz w:val="17"/>
          <w:szCs w:val="17"/>
          <w:color w:val="auto"/>
        </w:rPr>
        <w:t>growth was fueled mainly by an uptck in</w:t>
      </w:r>
      <w:r>
        <w:rPr>
          <w:rFonts w:ascii="Calibri" w:cs="Calibri" w:eastAsia="Calibri" w:hAnsi="Calibri"/>
          <w:sz w:val="17"/>
          <w:szCs w:val="17"/>
          <w:b w:val="1"/>
          <w:bCs w:val="1"/>
          <w:color w:val="auto"/>
        </w:rPr>
        <w:t xml:space="preserve"> Fee Income</w:t>
      </w:r>
      <w:r>
        <w:rPr>
          <w:rFonts w:ascii="Calibri" w:cs="Calibri" w:eastAsia="Calibri" w:hAnsi="Calibri"/>
          <w:sz w:val="17"/>
          <w:szCs w:val="17"/>
          <w:color w:val="auto"/>
        </w:rPr>
        <w:t>, to be discussed later. The 10.1% increase in the</w:t>
      </w:r>
      <w:r>
        <w:rPr>
          <w:rFonts w:ascii="Calibri" w:cs="Calibri" w:eastAsia="Calibri" w:hAnsi="Calibri"/>
          <w:sz w:val="17"/>
          <w:szCs w:val="17"/>
          <w:b w:val="1"/>
          <w:bCs w:val="1"/>
          <w:color w:val="auto"/>
        </w:rPr>
        <w:t xml:space="preserve"> Net Gain on Foreign Exchange Transactons </w:t>
      </w:r>
      <w:r>
        <w:rPr>
          <w:rFonts w:ascii="Calibri" w:cs="Calibri" w:eastAsia="Calibri" w:hAnsi="Calibri"/>
          <w:sz w:val="17"/>
          <w:szCs w:val="17"/>
          <w:color w:val="auto"/>
        </w:rPr>
        <w:t xml:space="preserve">was fueled by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which has been bolstered by our sustained bet on digital channels and an increase in our share of the FX business as we move to capture robust transactonal opportunites from Retail and Wholesale clients. This performance is proof of BCP’s capacity to innovate the transactonal experience and agilely adapt to new market dynamics, which has boosted greater fnancial inclusion among clients who previously relied on the informal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849630</wp:posOffset>
            </wp:positionV>
            <wp:extent cx="713740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139065</wp:posOffset>
            </wp:positionV>
            <wp:extent cx="6484620" cy="445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84620" cy="445770"/>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33" w:name="page34"/>
    <w:bookmarkEnd w:id="33"/>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06. Other Income</w:t>
      </w:r>
    </w:p>
    <w:p>
      <w:pPr>
        <w:spacing w:after="0" w:line="5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Fee Income by Subsidiary</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34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Fee Income by Subsidiary</w:t>
            </w:r>
          </w:p>
        </w:tc>
        <w:tc>
          <w:tcPr>
            <w:tcW w:w="1020" w:type="dxa"/>
            <w:vAlign w:val="bottom"/>
            <w:tcBorders>
              <w:top w:val="single" w:sz="8" w:color="auto"/>
            </w:tcBorders>
            <w:shd w:val="clear" w:color="auto" w:fill="33CCCC"/>
          </w:tcPr>
          <w:p>
            <w:pPr>
              <w:spacing w:after="0"/>
              <w:rPr>
                <w:sz w:val="14"/>
                <w:szCs w:val="14"/>
                <w:color w:val="auto"/>
              </w:rPr>
            </w:pPr>
          </w:p>
        </w:tc>
        <w:tc>
          <w:tcPr>
            <w:tcW w:w="104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3"/>
                <w:szCs w:val="13"/>
                <w:b w:val="1"/>
                <w:bCs w:val="1"/>
                <w:color w:val="FFFFFF"/>
              </w:rPr>
              <w:t>Quarter</w:t>
            </w:r>
          </w:p>
        </w:tc>
        <w:tc>
          <w:tcPr>
            <w:tcW w:w="1080" w:type="dxa"/>
            <w:vAlign w:val="bottom"/>
            <w:tcBorders>
              <w:top w:val="single" w:sz="8" w:color="auto"/>
              <w:right w:val="single" w:sz="8" w:color="auto"/>
            </w:tcBorders>
            <w:shd w:val="clear" w:color="auto" w:fill="33CCCC"/>
          </w:tcPr>
          <w:p>
            <w:pPr>
              <w:spacing w:after="0"/>
              <w:rPr>
                <w:sz w:val="14"/>
                <w:szCs w:val="14"/>
                <w:color w:val="auto"/>
              </w:rPr>
            </w:pPr>
          </w:p>
        </w:tc>
        <w:tc>
          <w:tcPr>
            <w:tcW w:w="1580" w:type="dxa"/>
            <w:vAlign w:val="bottom"/>
            <w:tcBorders>
              <w:top w:val="single" w:sz="8" w:color="auto"/>
              <w:right w:val="single" w:sz="8" w:color="auto"/>
            </w:tcBorders>
            <w:gridSpan w:val="2"/>
            <w:shd w:val="clear" w:color="auto" w:fill="33CCCC"/>
          </w:tcPr>
          <w:p>
            <w:pPr>
              <w:ind w:left="520"/>
              <w:spacing w:after="0"/>
              <w:rPr>
                <w:sz w:val="20"/>
                <w:szCs w:val="20"/>
                <w:color w:val="auto"/>
              </w:rPr>
            </w:pPr>
            <w:r>
              <w:rPr>
                <w:rFonts w:ascii="Calibri" w:cs="Calibri" w:eastAsia="Calibri" w:hAnsi="Calibri"/>
                <w:sz w:val="13"/>
                <w:szCs w:val="13"/>
                <w:b w:val="1"/>
                <w:bCs w:val="1"/>
                <w:color w:val="FFFFFF"/>
              </w:rPr>
              <w:t>% Change</w:t>
            </w:r>
          </w:p>
        </w:tc>
        <w:tc>
          <w:tcPr>
            <w:tcW w:w="800" w:type="dxa"/>
            <w:vAlign w:val="bottom"/>
            <w:tcBorders>
              <w:top w:val="single" w:sz="8" w:color="auto"/>
            </w:tcBorders>
            <w:shd w:val="clear" w:color="auto" w:fill="33CCCC"/>
          </w:tcPr>
          <w:p>
            <w:pPr>
              <w:spacing w:after="0"/>
              <w:rPr>
                <w:sz w:val="14"/>
                <w:szCs w:val="14"/>
                <w:color w:val="auto"/>
              </w:rPr>
            </w:pPr>
          </w:p>
        </w:tc>
        <w:tc>
          <w:tcPr>
            <w:tcW w:w="120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3"/>
                <w:szCs w:val="13"/>
                <w:b w:val="1"/>
                <w:bCs w:val="1"/>
                <w:color w:val="FFFFFF"/>
              </w:rPr>
              <w:t>Up to</w:t>
            </w:r>
          </w:p>
        </w:tc>
        <w:tc>
          <w:tcPr>
            <w:tcW w:w="114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8"/>
              </w:rPr>
              <w:t>% change</w:t>
            </w:r>
          </w:p>
        </w:tc>
      </w:tr>
      <w:tr>
        <w:trPr>
          <w:trHeight w:val="188"/>
        </w:trPr>
        <w:tc>
          <w:tcPr>
            <w:tcW w:w="3400" w:type="dxa"/>
            <w:vAlign w:val="bottom"/>
            <w:tcBorders>
              <w:left w:val="single" w:sz="8" w:color="auto"/>
              <w:bottom w:val="single" w:sz="8" w:color="33CCCC"/>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(S/ 000)</w:t>
            </w:r>
          </w:p>
        </w:tc>
        <w:tc>
          <w:tcPr>
            <w:tcW w:w="102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2Q24</w:t>
            </w:r>
          </w:p>
        </w:tc>
        <w:tc>
          <w:tcPr>
            <w:tcW w:w="104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7"/>
              </w:rPr>
              <w:t>1Q25</w:t>
            </w:r>
          </w:p>
        </w:tc>
        <w:tc>
          <w:tcPr>
            <w:tcW w:w="108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2Q25</w:t>
            </w:r>
          </w:p>
        </w:tc>
        <w:tc>
          <w:tcPr>
            <w:tcW w:w="760" w:type="dxa"/>
            <w:vAlign w:val="bottom"/>
            <w:tcBorders>
              <w:bottom w:val="single" w:sz="8" w:color="33CCCC"/>
            </w:tcBorders>
            <w:shd w:val="clear" w:color="auto" w:fill="33CCCC"/>
          </w:tcPr>
          <w:p>
            <w:pPr>
              <w:ind w:left="260"/>
              <w:spacing w:after="0"/>
              <w:rPr>
                <w:sz w:val="20"/>
                <w:szCs w:val="20"/>
                <w:color w:val="auto"/>
              </w:rPr>
            </w:pPr>
            <w:r>
              <w:rPr>
                <w:rFonts w:ascii="Calibri" w:cs="Calibri" w:eastAsia="Calibri" w:hAnsi="Calibri"/>
                <w:sz w:val="13"/>
                <w:szCs w:val="13"/>
                <w:b w:val="1"/>
                <w:bCs w:val="1"/>
                <w:color w:val="FFFFFF"/>
              </w:rPr>
              <w:t>QoQ</w:t>
            </w:r>
          </w:p>
        </w:tc>
        <w:tc>
          <w:tcPr>
            <w:tcW w:w="820" w:type="dxa"/>
            <w:vAlign w:val="bottom"/>
            <w:tcBorders>
              <w:bottom w:val="single" w:sz="8" w:color="33CCCC"/>
              <w:right w:val="single" w:sz="8" w:color="auto"/>
            </w:tcBorders>
            <w:shd w:val="clear" w:color="auto" w:fill="33CCCC"/>
          </w:tcPr>
          <w:p>
            <w:pPr>
              <w:ind w:left="300"/>
              <w:spacing w:after="0"/>
              <w:rPr>
                <w:sz w:val="20"/>
                <w:szCs w:val="20"/>
                <w:color w:val="auto"/>
              </w:rPr>
            </w:pPr>
            <w:r>
              <w:rPr>
                <w:rFonts w:ascii="Calibri" w:cs="Calibri" w:eastAsia="Calibri" w:hAnsi="Calibri"/>
                <w:sz w:val="13"/>
                <w:szCs w:val="13"/>
                <w:b w:val="1"/>
                <w:bCs w:val="1"/>
                <w:color w:val="FFFFFF"/>
              </w:rPr>
              <w:t>YoY</w:t>
            </w:r>
          </w:p>
        </w:tc>
        <w:tc>
          <w:tcPr>
            <w:tcW w:w="800" w:type="dxa"/>
            <w:vAlign w:val="bottom"/>
            <w:tcBorders>
              <w:bottom w:val="single" w:sz="8" w:color="33CCCC"/>
            </w:tcBorders>
            <w:shd w:val="clear" w:color="auto" w:fill="33CCCC"/>
          </w:tcPr>
          <w:p>
            <w:pPr>
              <w:ind w:left="320"/>
              <w:spacing w:after="0"/>
              <w:rPr>
                <w:sz w:val="20"/>
                <w:szCs w:val="20"/>
                <w:color w:val="auto"/>
              </w:rPr>
            </w:pPr>
            <w:r>
              <w:rPr>
                <w:rFonts w:ascii="Calibri" w:cs="Calibri" w:eastAsia="Calibri" w:hAnsi="Calibri"/>
                <w:sz w:val="13"/>
                <w:szCs w:val="13"/>
                <w:b w:val="1"/>
                <w:bCs w:val="1"/>
                <w:color w:val="FFFFFF"/>
              </w:rPr>
              <w:t>Jun 24</w:t>
            </w:r>
          </w:p>
        </w:tc>
        <w:tc>
          <w:tcPr>
            <w:tcW w:w="1200" w:type="dxa"/>
            <w:vAlign w:val="bottom"/>
            <w:tcBorders>
              <w:bottom w:val="single" w:sz="8" w:color="33CCCC"/>
              <w:right w:val="single" w:sz="8" w:color="auto"/>
            </w:tcBorders>
            <w:shd w:val="clear" w:color="auto" w:fill="33CCCC"/>
          </w:tcPr>
          <w:p>
            <w:pPr>
              <w:ind w:left="500"/>
              <w:spacing w:after="0"/>
              <w:rPr>
                <w:sz w:val="20"/>
                <w:szCs w:val="20"/>
                <w:color w:val="auto"/>
              </w:rPr>
            </w:pPr>
            <w:r>
              <w:rPr>
                <w:rFonts w:ascii="Calibri" w:cs="Calibri" w:eastAsia="Calibri" w:hAnsi="Calibri"/>
                <w:sz w:val="13"/>
                <w:szCs w:val="13"/>
                <w:b w:val="1"/>
                <w:bCs w:val="1"/>
                <w:color w:val="FFFFFF"/>
              </w:rPr>
              <w:t>Jun 25</w:t>
            </w:r>
          </w:p>
        </w:tc>
        <w:tc>
          <w:tcPr>
            <w:tcW w:w="11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9"/>
              </w:rPr>
              <w:t>Jun 25 / Jun 24</w:t>
            </w:r>
          </w:p>
        </w:tc>
      </w:tr>
      <w:tr>
        <w:trPr>
          <w:trHeight w:val="145"/>
        </w:trPr>
        <w:tc>
          <w:tcPr>
            <w:tcW w:w="3400" w:type="dxa"/>
            <w:vAlign w:val="bottom"/>
            <w:tcBorders>
              <w:top w:val="single" w:sz="8" w:color="auto"/>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0"/>
                <w:szCs w:val="10"/>
                <w:color w:val="auto"/>
              </w:rPr>
              <w:t xml:space="preserve">BCP Stand-Alone </w:t>
            </w:r>
            <w:r>
              <w:rPr>
                <w:rFonts w:ascii="Calibri" w:cs="Calibri" w:eastAsia="Calibri" w:hAnsi="Calibri"/>
                <w:sz w:val="15"/>
                <w:szCs w:val="15"/>
                <w:color w:val="auto"/>
                <w:vertAlign w:val="superscript"/>
              </w:rPr>
              <w:t>(1)</w:t>
            </w:r>
          </w:p>
        </w:tc>
        <w:tc>
          <w:tcPr>
            <w:tcW w:w="1020" w:type="dxa"/>
            <w:vAlign w:val="bottom"/>
            <w:tcBorders>
              <w:top w:val="single" w:sz="8" w:color="auto"/>
            </w:tcBorders>
          </w:tcPr>
          <w:p>
            <w:pPr>
              <w:jc w:val="center"/>
              <w:spacing w:after="0" w:line="145" w:lineRule="exact"/>
              <w:rPr>
                <w:sz w:val="20"/>
                <w:szCs w:val="20"/>
                <w:color w:val="auto"/>
              </w:rPr>
            </w:pPr>
            <w:r>
              <w:rPr>
                <w:rFonts w:ascii="Calibri" w:cs="Calibri" w:eastAsia="Calibri" w:hAnsi="Calibri"/>
                <w:sz w:val="14"/>
                <w:szCs w:val="14"/>
                <w:color w:val="auto"/>
                <w:w w:val="99"/>
              </w:rPr>
              <w:t>742,354</w:t>
            </w:r>
          </w:p>
        </w:tc>
        <w:tc>
          <w:tcPr>
            <w:tcW w:w="1040" w:type="dxa"/>
            <w:vAlign w:val="bottom"/>
            <w:tcBorders>
              <w:top w:val="single" w:sz="8" w:color="auto"/>
            </w:tcBorders>
          </w:tcPr>
          <w:p>
            <w:pPr>
              <w:jc w:val="center"/>
              <w:spacing w:after="0" w:line="145" w:lineRule="exact"/>
              <w:rPr>
                <w:sz w:val="20"/>
                <w:szCs w:val="20"/>
                <w:color w:val="auto"/>
              </w:rPr>
            </w:pPr>
            <w:r>
              <w:rPr>
                <w:rFonts w:ascii="Calibri" w:cs="Calibri" w:eastAsia="Calibri" w:hAnsi="Calibri"/>
                <w:sz w:val="14"/>
                <w:szCs w:val="14"/>
                <w:color w:val="auto"/>
                <w:w w:val="95"/>
              </w:rPr>
              <w:t>831,427</w:t>
            </w:r>
          </w:p>
        </w:tc>
        <w:tc>
          <w:tcPr>
            <w:tcW w:w="1080" w:type="dxa"/>
            <w:vAlign w:val="bottom"/>
            <w:tcBorders>
              <w:top w:val="single" w:sz="8" w:color="auto"/>
              <w:right w:val="single" w:sz="8" w:color="auto"/>
            </w:tcBorders>
          </w:tcPr>
          <w:p>
            <w:pPr>
              <w:jc w:val="center"/>
              <w:spacing w:after="0" w:line="145" w:lineRule="exact"/>
              <w:rPr>
                <w:sz w:val="20"/>
                <w:szCs w:val="20"/>
                <w:color w:val="auto"/>
              </w:rPr>
            </w:pPr>
            <w:r>
              <w:rPr>
                <w:rFonts w:ascii="Calibri" w:cs="Calibri" w:eastAsia="Calibri" w:hAnsi="Calibri"/>
                <w:sz w:val="14"/>
                <w:szCs w:val="14"/>
                <w:color w:val="auto"/>
                <w:w w:val="99"/>
              </w:rPr>
              <w:t>853,720</w:t>
            </w:r>
          </w:p>
        </w:tc>
        <w:tc>
          <w:tcPr>
            <w:tcW w:w="760" w:type="dxa"/>
            <w:vAlign w:val="bottom"/>
            <w:tcBorders>
              <w:top w:val="single" w:sz="8" w:color="auto"/>
            </w:tcBorders>
          </w:tcPr>
          <w:p>
            <w:pPr>
              <w:jc w:val="center"/>
              <w:spacing w:after="0" w:line="145" w:lineRule="exact"/>
              <w:rPr>
                <w:sz w:val="20"/>
                <w:szCs w:val="20"/>
                <w:color w:val="auto"/>
              </w:rPr>
            </w:pPr>
            <w:r>
              <w:rPr>
                <w:rFonts w:ascii="Calibri" w:cs="Calibri" w:eastAsia="Calibri" w:hAnsi="Calibri"/>
                <w:sz w:val="14"/>
                <w:szCs w:val="14"/>
                <w:color w:val="auto"/>
              </w:rPr>
              <w:t>2.7%</w:t>
            </w:r>
          </w:p>
        </w:tc>
        <w:tc>
          <w:tcPr>
            <w:tcW w:w="820" w:type="dxa"/>
            <w:vAlign w:val="bottom"/>
            <w:tcBorders>
              <w:top w:val="single" w:sz="8" w:color="auto"/>
              <w:right w:val="single" w:sz="8" w:color="auto"/>
            </w:tcBorders>
          </w:tcPr>
          <w:p>
            <w:pPr>
              <w:jc w:val="center"/>
              <w:spacing w:after="0" w:line="145" w:lineRule="exact"/>
              <w:rPr>
                <w:sz w:val="20"/>
                <w:szCs w:val="20"/>
                <w:color w:val="auto"/>
              </w:rPr>
            </w:pPr>
            <w:r>
              <w:rPr>
                <w:rFonts w:ascii="Calibri" w:cs="Calibri" w:eastAsia="Calibri" w:hAnsi="Calibri"/>
                <w:sz w:val="14"/>
                <w:szCs w:val="14"/>
                <w:color w:val="auto"/>
                <w:w w:val="97"/>
              </w:rPr>
              <w:t>15.0%</w:t>
            </w:r>
          </w:p>
        </w:tc>
        <w:tc>
          <w:tcPr>
            <w:tcW w:w="800" w:type="dxa"/>
            <w:vAlign w:val="bottom"/>
            <w:tcBorders>
              <w:top w:val="single" w:sz="8" w:color="auto"/>
            </w:tcBorders>
          </w:tcPr>
          <w:p>
            <w:pPr>
              <w:jc w:val="center"/>
              <w:ind w:left="91"/>
              <w:spacing w:after="0" w:line="145" w:lineRule="exact"/>
              <w:rPr>
                <w:sz w:val="20"/>
                <w:szCs w:val="20"/>
                <w:color w:val="auto"/>
              </w:rPr>
            </w:pPr>
            <w:r>
              <w:rPr>
                <w:rFonts w:ascii="Calibri" w:cs="Calibri" w:eastAsia="Calibri" w:hAnsi="Calibri"/>
                <w:sz w:val="14"/>
                <w:szCs w:val="14"/>
                <w:color w:val="auto"/>
                <w:w w:val="98"/>
              </w:rPr>
              <w:t>1,446,982</w:t>
            </w:r>
          </w:p>
        </w:tc>
        <w:tc>
          <w:tcPr>
            <w:tcW w:w="1200" w:type="dxa"/>
            <w:vAlign w:val="bottom"/>
            <w:tcBorders>
              <w:top w:val="single" w:sz="8" w:color="auto"/>
              <w:right w:val="single" w:sz="8" w:color="auto"/>
            </w:tcBorders>
          </w:tcPr>
          <w:p>
            <w:pPr>
              <w:jc w:val="center"/>
              <w:ind w:left="91"/>
              <w:spacing w:after="0" w:line="145" w:lineRule="exact"/>
              <w:rPr>
                <w:sz w:val="20"/>
                <w:szCs w:val="20"/>
                <w:color w:val="auto"/>
              </w:rPr>
            </w:pPr>
            <w:r>
              <w:rPr>
                <w:rFonts w:ascii="Calibri" w:cs="Calibri" w:eastAsia="Calibri" w:hAnsi="Calibri"/>
                <w:sz w:val="14"/>
                <w:szCs w:val="14"/>
                <w:color w:val="auto"/>
                <w:w w:val="98"/>
              </w:rPr>
              <w:t>1,685,147</w:t>
            </w:r>
          </w:p>
        </w:tc>
        <w:tc>
          <w:tcPr>
            <w:tcW w:w="1140" w:type="dxa"/>
            <w:vAlign w:val="bottom"/>
            <w:tcBorders>
              <w:top w:val="single" w:sz="8" w:color="auto"/>
              <w:right w:val="single" w:sz="8" w:color="auto"/>
            </w:tcBorders>
          </w:tcPr>
          <w:p>
            <w:pPr>
              <w:jc w:val="center"/>
              <w:spacing w:after="0" w:line="145" w:lineRule="exact"/>
              <w:rPr>
                <w:sz w:val="20"/>
                <w:szCs w:val="20"/>
                <w:color w:val="auto"/>
              </w:rPr>
            </w:pPr>
            <w:r>
              <w:rPr>
                <w:rFonts w:ascii="Calibri" w:cs="Calibri" w:eastAsia="Calibri" w:hAnsi="Calibri"/>
                <w:sz w:val="14"/>
                <w:szCs w:val="14"/>
                <w:color w:val="auto"/>
                <w:w w:val="97"/>
              </w:rPr>
              <w:t>16.5%</w:t>
            </w:r>
          </w:p>
        </w:tc>
      </w:tr>
      <w:tr>
        <w:trPr>
          <w:trHeight w:val="172"/>
        </w:trPr>
        <w:tc>
          <w:tcPr>
            <w:tcW w:w="3400" w:type="dxa"/>
            <w:vAlign w:val="bottom"/>
            <w:tcBorders>
              <w:left w:val="single" w:sz="8" w:color="auto"/>
              <w:right w:val="single" w:sz="8" w:color="auto"/>
            </w:tcBorders>
          </w:tcPr>
          <w:p>
            <w:pPr>
              <w:ind w:left="20"/>
              <w:spacing w:after="0" w:line="172" w:lineRule="exact"/>
              <w:rPr>
                <w:sz w:val="20"/>
                <w:szCs w:val="20"/>
                <w:color w:val="auto"/>
              </w:rPr>
            </w:pPr>
            <w:r>
              <w:rPr>
                <w:rFonts w:ascii="Calibri" w:cs="Calibri" w:eastAsia="Calibri" w:hAnsi="Calibri"/>
                <w:sz w:val="11"/>
                <w:szCs w:val="11"/>
                <w:color w:val="auto"/>
              </w:rPr>
              <w:t xml:space="preserve">BCP Bolivia </w:t>
            </w:r>
            <w:r>
              <w:rPr>
                <w:rFonts w:ascii="Calibri" w:cs="Calibri" w:eastAsia="Calibri" w:hAnsi="Calibri"/>
                <w:sz w:val="18"/>
                <w:szCs w:val="18"/>
                <w:color w:val="auto"/>
                <w:vertAlign w:val="superscript"/>
              </w:rPr>
              <w:t>(2)</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21,115</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color w:val="auto"/>
              </w:rPr>
              <w:t>12,844</w:t>
            </w:r>
          </w:p>
        </w:tc>
        <w:tc>
          <w:tcPr>
            <w:tcW w:w="108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14,552</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13.3%</w:t>
            </w:r>
          </w:p>
        </w:tc>
        <w:tc>
          <w:tcPr>
            <w:tcW w:w="8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-31.1%</w:t>
            </w:r>
          </w:p>
        </w:tc>
        <w:tc>
          <w:tcPr>
            <w:tcW w:w="800" w:type="dxa"/>
            <w:vAlign w:val="bottom"/>
          </w:tcPr>
          <w:p>
            <w:pPr>
              <w:jc w:val="center"/>
              <w:ind w:left="111"/>
              <w:spacing w:after="0" w:line="169" w:lineRule="exact"/>
              <w:rPr>
                <w:sz w:val="20"/>
                <w:szCs w:val="20"/>
                <w:color w:val="auto"/>
              </w:rPr>
            </w:pPr>
            <w:r>
              <w:rPr>
                <w:rFonts w:ascii="Calibri" w:cs="Calibri" w:eastAsia="Calibri" w:hAnsi="Calibri"/>
                <w:sz w:val="14"/>
                <w:szCs w:val="14"/>
                <w:color w:val="auto"/>
                <w:w w:val="97"/>
              </w:rPr>
              <w:t>35,983</w:t>
            </w:r>
          </w:p>
        </w:tc>
        <w:tc>
          <w:tcPr>
            <w:tcW w:w="1200" w:type="dxa"/>
            <w:vAlign w:val="bottom"/>
            <w:tcBorders>
              <w:right w:val="single" w:sz="8" w:color="auto"/>
            </w:tcBorders>
          </w:tcPr>
          <w:p>
            <w:pPr>
              <w:jc w:val="center"/>
              <w:ind w:left="91"/>
              <w:spacing w:after="0" w:line="169" w:lineRule="exact"/>
              <w:rPr>
                <w:sz w:val="20"/>
                <w:szCs w:val="20"/>
                <w:color w:val="auto"/>
              </w:rPr>
            </w:pPr>
            <w:r>
              <w:rPr>
                <w:rFonts w:ascii="Calibri" w:cs="Calibri" w:eastAsia="Calibri" w:hAnsi="Calibri"/>
                <w:sz w:val="14"/>
                <w:szCs w:val="14"/>
                <w:color w:val="auto"/>
              </w:rPr>
              <w:t>27,396</w:t>
            </w:r>
          </w:p>
        </w:tc>
        <w:tc>
          <w:tcPr>
            <w:tcW w:w="11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-23.9%</w:t>
            </w:r>
          </w:p>
        </w:tc>
      </w:tr>
      <w:tr>
        <w:trPr>
          <w:trHeight w:val="166"/>
        </w:trPr>
        <w:tc>
          <w:tcPr>
            <w:tcW w:w="3400" w:type="dxa"/>
            <w:vAlign w:val="bottom"/>
            <w:tcBorders>
              <w:left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color w:val="auto"/>
              </w:rPr>
              <w:t>Mibanco</w:t>
            </w:r>
          </w:p>
        </w:tc>
        <w:tc>
          <w:tcPr>
            <w:tcW w:w="1020" w:type="dxa"/>
            <w:vAlign w:val="bottom"/>
          </w:tcPr>
          <w:p>
            <w:pPr>
              <w:jc w:val="center"/>
              <w:spacing w:after="0" w:line="166" w:lineRule="exact"/>
              <w:rPr>
                <w:sz w:val="20"/>
                <w:szCs w:val="20"/>
                <w:color w:val="auto"/>
              </w:rPr>
            </w:pPr>
            <w:r>
              <w:rPr>
                <w:rFonts w:ascii="Calibri" w:cs="Calibri" w:eastAsia="Calibri" w:hAnsi="Calibri"/>
                <w:sz w:val="14"/>
                <w:szCs w:val="14"/>
                <w:color w:val="auto"/>
                <w:w w:val="97"/>
              </w:rPr>
              <w:t>21,773</w:t>
            </w:r>
          </w:p>
        </w:tc>
        <w:tc>
          <w:tcPr>
            <w:tcW w:w="1040" w:type="dxa"/>
            <w:vAlign w:val="bottom"/>
          </w:tcPr>
          <w:p>
            <w:pPr>
              <w:jc w:val="center"/>
              <w:spacing w:after="0" w:line="166" w:lineRule="exact"/>
              <w:rPr>
                <w:sz w:val="20"/>
                <w:szCs w:val="20"/>
                <w:color w:val="auto"/>
              </w:rPr>
            </w:pPr>
            <w:r>
              <w:rPr>
                <w:rFonts w:ascii="Calibri" w:cs="Calibri" w:eastAsia="Calibri" w:hAnsi="Calibri"/>
                <w:sz w:val="14"/>
                <w:szCs w:val="14"/>
                <w:color w:val="auto"/>
              </w:rPr>
              <w:t>28,339</w:t>
            </w:r>
          </w:p>
        </w:tc>
        <w:tc>
          <w:tcPr>
            <w:tcW w:w="108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7"/>
              </w:rPr>
              <w:t>27,633</w:t>
            </w:r>
          </w:p>
        </w:tc>
        <w:tc>
          <w:tcPr>
            <w:tcW w:w="760" w:type="dxa"/>
            <w:vAlign w:val="bottom"/>
          </w:tcPr>
          <w:p>
            <w:pPr>
              <w:jc w:val="center"/>
              <w:spacing w:after="0" w:line="166" w:lineRule="exact"/>
              <w:rPr>
                <w:sz w:val="20"/>
                <w:szCs w:val="20"/>
                <w:color w:val="auto"/>
              </w:rPr>
            </w:pPr>
            <w:r>
              <w:rPr>
                <w:rFonts w:ascii="Calibri" w:cs="Calibri" w:eastAsia="Calibri" w:hAnsi="Calibri"/>
                <w:sz w:val="14"/>
                <w:szCs w:val="14"/>
                <w:color w:val="auto"/>
                <w:w w:val="99"/>
              </w:rPr>
              <w:t>-2.5%</w:t>
            </w:r>
          </w:p>
        </w:tc>
        <w:tc>
          <w:tcPr>
            <w:tcW w:w="82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7"/>
              </w:rPr>
              <w:t>26.9%</w:t>
            </w:r>
          </w:p>
        </w:tc>
        <w:tc>
          <w:tcPr>
            <w:tcW w:w="800" w:type="dxa"/>
            <w:vAlign w:val="bottom"/>
          </w:tcPr>
          <w:p>
            <w:pPr>
              <w:jc w:val="center"/>
              <w:ind w:left="111"/>
              <w:spacing w:after="0" w:line="166" w:lineRule="exact"/>
              <w:rPr>
                <w:sz w:val="20"/>
                <w:szCs w:val="20"/>
                <w:color w:val="auto"/>
              </w:rPr>
            </w:pPr>
            <w:r>
              <w:rPr>
                <w:rFonts w:ascii="Calibri" w:cs="Calibri" w:eastAsia="Calibri" w:hAnsi="Calibri"/>
                <w:sz w:val="14"/>
                <w:szCs w:val="14"/>
                <w:color w:val="auto"/>
                <w:w w:val="97"/>
              </w:rPr>
              <w:t>45,946</w:t>
            </w:r>
          </w:p>
        </w:tc>
        <w:tc>
          <w:tcPr>
            <w:tcW w:w="1200" w:type="dxa"/>
            <w:vAlign w:val="bottom"/>
            <w:tcBorders>
              <w:right w:val="single" w:sz="8" w:color="auto"/>
            </w:tcBorders>
          </w:tcPr>
          <w:p>
            <w:pPr>
              <w:jc w:val="center"/>
              <w:ind w:left="91"/>
              <w:spacing w:after="0" w:line="166" w:lineRule="exact"/>
              <w:rPr>
                <w:sz w:val="20"/>
                <w:szCs w:val="20"/>
                <w:color w:val="auto"/>
              </w:rPr>
            </w:pPr>
            <w:r>
              <w:rPr>
                <w:rFonts w:ascii="Calibri" w:cs="Calibri" w:eastAsia="Calibri" w:hAnsi="Calibri"/>
                <w:sz w:val="14"/>
                <w:szCs w:val="14"/>
                <w:color w:val="auto"/>
              </w:rPr>
              <w:t>55,972</w:t>
            </w:r>
          </w:p>
        </w:tc>
        <w:tc>
          <w:tcPr>
            <w:tcW w:w="114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7"/>
              </w:rPr>
              <w:t>21.8%</w:t>
            </w:r>
          </w:p>
        </w:tc>
      </w:tr>
      <w:tr>
        <w:trPr>
          <w:trHeight w:val="169"/>
        </w:trPr>
        <w:tc>
          <w:tcPr>
            <w:tcW w:w="34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Mibanco Colombia</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11,042</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color w:val="auto"/>
              </w:rPr>
              <w:t>9,126</w:t>
            </w:r>
          </w:p>
        </w:tc>
        <w:tc>
          <w:tcPr>
            <w:tcW w:w="108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12,395</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35.8%</w:t>
            </w:r>
          </w:p>
        </w:tc>
        <w:tc>
          <w:tcPr>
            <w:tcW w:w="8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12.3%</w:t>
            </w:r>
          </w:p>
        </w:tc>
        <w:tc>
          <w:tcPr>
            <w:tcW w:w="800" w:type="dxa"/>
            <w:vAlign w:val="bottom"/>
          </w:tcPr>
          <w:p>
            <w:pPr>
              <w:jc w:val="center"/>
              <w:ind w:left="111"/>
              <w:spacing w:after="0" w:line="169" w:lineRule="exact"/>
              <w:rPr>
                <w:sz w:val="20"/>
                <w:szCs w:val="20"/>
                <w:color w:val="auto"/>
              </w:rPr>
            </w:pPr>
            <w:r>
              <w:rPr>
                <w:rFonts w:ascii="Calibri" w:cs="Calibri" w:eastAsia="Calibri" w:hAnsi="Calibri"/>
                <w:sz w:val="14"/>
                <w:szCs w:val="14"/>
                <w:color w:val="auto"/>
                <w:w w:val="97"/>
              </w:rPr>
              <w:t>22,292</w:t>
            </w:r>
          </w:p>
        </w:tc>
        <w:tc>
          <w:tcPr>
            <w:tcW w:w="1200" w:type="dxa"/>
            <w:vAlign w:val="bottom"/>
            <w:tcBorders>
              <w:right w:val="single" w:sz="8" w:color="auto"/>
            </w:tcBorders>
          </w:tcPr>
          <w:p>
            <w:pPr>
              <w:jc w:val="center"/>
              <w:ind w:left="91"/>
              <w:spacing w:after="0" w:line="169" w:lineRule="exact"/>
              <w:rPr>
                <w:sz w:val="20"/>
                <w:szCs w:val="20"/>
                <w:color w:val="auto"/>
              </w:rPr>
            </w:pPr>
            <w:r>
              <w:rPr>
                <w:rFonts w:ascii="Calibri" w:cs="Calibri" w:eastAsia="Calibri" w:hAnsi="Calibri"/>
                <w:sz w:val="14"/>
                <w:szCs w:val="14"/>
                <w:color w:val="auto"/>
              </w:rPr>
              <w:t>21,521</w:t>
            </w:r>
          </w:p>
        </w:tc>
        <w:tc>
          <w:tcPr>
            <w:tcW w:w="11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-3.5%</w:t>
            </w:r>
          </w:p>
        </w:tc>
      </w:tr>
      <w:tr>
        <w:trPr>
          <w:trHeight w:val="169"/>
        </w:trPr>
        <w:tc>
          <w:tcPr>
            <w:tcW w:w="34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Pacífco</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(2,488)</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(3,757)</w:t>
            </w:r>
          </w:p>
        </w:tc>
        <w:tc>
          <w:tcPr>
            <w:tcW w:w="108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(6,287)</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67.3%</w:t>
            </w:r>
          </w:p>
        </w:tc>
        <w:tc>
          <w:tcPr>
            <w:tcW w:w="8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152.7%</w:t>
            </w:r>
          </w:p>
        </w:tc>
        <w:tc>
          <w:tcPr>
            <w:tcW w:w="800" w:type="dxa"/>
            <w:vAlign w:val="bottom"/>
          </w:tcPr>
          <w:p>
            <w:pPr>
              <w:jc w:val="center"/>
              <w:ind w:left="91"/>
              <w:spacing w:after="0" w:line="169" w:lineRule="exact"/>
              <w:rPr>
                <w:sz w:val="20"/>
                <w:szCs w:val="20"/>
                <w:color w:val="auto"/>
              </w:rPr>
            </w:pPr>
            <w:r>
              <w:rPr>
                <w:rFonts w:ascii="Calibri" w:cs="Calibri" w:eastAsia="Calibri" w:hAnsi="Calibri"/>
                <w:sz w:val="14"/>
                <w:szCs w:val="14"/>
                <w:color w:val="auto"/>
                <w:w w:val="98"/>
              </w:rPr>
              <w:t>(5,687)</w:t>
            </w:r>
          </w:p>
        </w:tc>
        <w:tc>
          <w:tcPr>
            <w:tcW w:w="1200" w:type="dxa"/>
            <w:vAlign w:val="bottom"/>
            <w:tcBorders>
              <w:right w:val="single" w:sz="8" w:color="auto"/>
            </w:tcBorders>
          </w:tcPr>
          <w:p>
            <w:pPr>
              <w:jc w:val="center"/>
              <w:ind w:left="91"/>
              <w:spacing w:after="0" w:line="169" w:lineRule="exact"/>
              <w:rPr>
                <w:sz w:val="20"/>
                <w:szCs w:val="20"/>
                <w:color w:val="auto"/>
              </w:rPr>
            </w:pPr>
            <w:r>
              <w:rPr>
                <w:rFonts w:ascii="Calibri" w:cs="Calibri" w:eastAsia="Calibri" w:hAnsi="Calibri"/>
                <w:sz w:val="14"/>
                <w:szCs w:val="14"/>
                <w:color w:val="auto"/>
              </w:rPr>
              <w:t>(10,044)</w:t>
            </w:r>
          </w:p>
        </w:tc>
        <w:tc>
          <w:tcPr>
            <w:tcW w:w="11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76.6%</w:t>
            </w:r>
          </w:p>
        </w:tc>
      </w:tr>
      <w:tr>
        <w:trPr>
          <w:trHeight w:val="169"/>
        </w:trPr>
        <w:tc>
          <w:tcPr>
            <w:tcW w:w="34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Prima</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99,103</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color w:val="auto"/>
              </w:rPr>
              <w:t>94,072</w:t>
            </w:r>
          </w:p>
        </w:tc>
        <w:tc>
          <w:tcPr>
            <w:tcW w:w="108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97,233</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rPr>
              <w:t>3.4%</w:t>
            </w:r>
          </w:p>
        </w:tc>
        <w:tc>
          <w:tcPr>
            <w:tcW w:w="8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-1.9%</w:t>
            </w:r>
          </w:p>
        </w:tc>
        <w:tc>
          <w:tcPr>
            <w:tcW w:w="800" w:type="dxa"/>
            <w:vAlign w:val="bottom"/>
          </w:tcPr>
          <w:p>
            <w:pPr>
              <w:jc w:val="center"/>
              <w:ind w:left="111"/>
              <w:spacing w:after="0" w:line="169" w:lineRule="exact"/>
              <w:rPr>
                <w:sz w:val="20"/>
                <w:szCs w:val="20"/>
                <w:color w:val="auto"/>
              </w:rPr>
            </w:pPr>
            <w:r>
              <w:rPr>
                <w:rFonts w:ascii="Calibri" w:cs="Calibri" w:eastAsia="Calibri" w:hAnsi="Calibri"/>
                <w:sz w:val="14"/>
                <w:szCs w:val="14"/>
                <w:color w:val="auto"/>
                <w:w w:val="99"/>
              </w:rPr>
              <w:t>193,631</w:t>
            </w:r>
          </w:p>
        </w:tc>
        <w:tc>
          <w:tcPr>
            <w:tcW w:w="1200" w:type="dxa"/>
            <w:vAlign w:val="bottom"/>
            <w:tcBorders>
              <w:right w:val="single" w:sz="8" w:color="auto"/>
            </w:tcBorders>
          </w:tcPr>
          <w:p>
            <w:pPr>
              <w:jc w:val="center"/>
              <w:ind w:left="91"/>
              <w:spacing w:after="0" w:line="169" w:lineRule="exact"/>
              <w:rPr>
                <w:sz w:val="20"/>
                <w:szCs w:val="20"/>
                <w:color w:val="auto"/>
              </w:rPr>
            </w:pPr>
            <w:r>
              <w:rPr>
                <w:rFonts w:ascii="Calibri" w:cs="Calibri" w:eastAsia="Calibri" w:hAnsi="Calibri"/>
                <w:sz w:val="14"/>
                <w:szCs w:val="14"/>
                <w:color w:val="auto"/>
                <w:w w:val="95"/>
              </w:rPr>
              <w:t>191,305</w:t>
            </w:r>
          </w:p>
        </w:tc>
        <w:tc>
          <w:tcPr>
            <w:tcW w:w="11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-1.2%</w:t>
            </w:r>
          </w:p>
        </w:tc>
      </w:tr>
      <w:tr>
        <w:trPr>
          <w:trHeight w:val="169"/>
        </w:trPr>
        <w:tc>
          <w:tcPr>
            <w:tcW w:w="34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ASB</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15,485</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color w:val="auto"/>
              </w:rPr>
              <w:t>13,826</w:t>
            </w:r>
          </w:p>
        </w:tc>
        <w:tc>
          <w:tcPr>
            <w:tcW w:w="108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12,841</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-7.1%</w:t>
            </w:r>
          </w:p>
        </w:tc>
        <w:tc>
          <w:tcPr>
            <w:tcW w:w="8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-17.1%</w:t>
            </w:r>
          </w:p>
        </w:tc>
        <w:tc>
          <w:tcPr>
            <w:tcW w:w="800" w:type="dxa"/>
            <w:vAlign w:val="bottom"/>
          </w:tcPr>
          <w:p>
            <w:pPr>
              <w:jc w:val="center"/>
              <w:ind w:left="111"/>
              <w:spacing w:after="0" w:line="169" w:lineRule="exact"/>
              <w:rPr>
                <w:sz w:val="20"/>
                <w:szCs w:val="20"/>
                <w:color w:val="auto"/>
              </w:rPr>
            </w:pPr>
            <w:r>
              <w:rPr>
                <w:rFonts w:ascii="Calibri" w:cs="Calibri" w:eastAsia="Calibri" w:hAnsi="Calibri"/>
                <w:sz w:val="14"/>
                <w:szCs w:val="14"/>
                <w:color w:val="auto"/>
                <w:w w:val="97"/>
              </w:rPr>
              <w:t>32,547</w:t>
            </w:r>
          </w:p>
        </w:tc>
        <w:tc>
          <w:tcPr>
            <w:tcW w:w="1200" w:type="dxa"/>
            <w:vAlign w:val="bottom"/>
            <w:tcBorders>
              <w:right w:val="single" w:sz="8" w:color="auto"/>
            </w:tcBorders>
          </w:tcPr>
          <w:p>
            <w:pPr>
              <w:jc w:val="center"/>
              <w:ind w:left="91"/>
              <w:spacing w:after="0" w:line="169" w:lineRule="exact"/>
              <w:rPr>
                <w:sz w:val="20"/>
                <w:szCs w:val="20"/>
                <w:color w:val="auto"/>
              </w:rPr>
            </w:pPr>
            <w:r>
              <w:rPr>
                <w:rFonts w:ascii="Calibri" w:cs="Calibri" w:eastAsia="Calibri" w:hAnsi="Calibri"/>
                <w:sz w:val="14"/>
                <w:szCs w:val="14"/>
                <w:color w:val="auto"/>
              </w:rPr>
              <w:t>26,667</w:t>
            </w:r>
          </w:p>
        </w:tc>
        <w:tc>
          <w:tcPr>
            <w:tcW w:w="11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-18.1%</w:t>
            </w:r>
          </w:p>
        </w:tc>
      </w:tr>
      <w:tr>
        <w:trPr>
          <w:trHeight w:val="169"/>
        </w:trPr>
        <w:tc>
          <w:tcPr>
            <w:tcW w:w="34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Credicorp Capital</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153,482</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color w:val="auto"/>
                <w:w w:val="95"/>
              </w:rPr>
              <w:t>136,264</w:t>
            </w:r>
          </w:p>
        </w:tc>
        <w:tc>
          <w:tcPr>
            <w:tcW w:w="108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134,297</w:t>
            </w:r>
          </w:p>
        </w:tc>
        <w:tc>
          <w:tcPr>
            <w:tcW w:w="76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-1.4%</w:t>
            </w:r>
          </w:p>
        </w:tc>
        <w:tc>
          <w:tcPr>
            <w:tcW w:w="8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-12.5%</w:t>
            </w:r>
          </w:p>
        </w:tc>
        <w:tc>
          <w:tcPr>
            <w:tcW w:w="800" w:type="dxa"/>
            <w:vAlign w:val="bottom"/>
          </w:tcPr>
          <w:p>
            <w:pPr>
              <w:jc w:val="center"/>
              <w:ind w:left="111"/>
              <w:spacing w:after="0" w:line="169" w:lineRule="exact"/>
              <w:rPr>
                <w:sz w:val="20"/>
                <w:szCs w:val="20"/>
                <w:color w:val="auto"/>
              </w:rPr>
            </w:pPr>
            <w:r>
              <w:rPr>
                <w:rFonts w:ascii="Calibri" w:cs="Calibri" w:eastAsia="Calibri" w:hAnsi="Calibri"/>
                <w:sz w:val="14"/>
                <w:szCs w:val="14"/>
                <w:color w:val="auto"/>
                <w:w w:val="99"/>
              </w:rPr>
              <w:t>281,630</w:t>
            </w:r>
          </w:p>
        </w:tc>
        <w:tc>
          <w:tcPr>
            <w:tcW w:w="1200" w:type="dxa"/>
            <w:vAlign w:val="bottom"/>
            <w:tcBorders>
              <w:right w:val="single" w:sz="8" w:color="auto"/>
            </w:tcBorders>
          </w:tcPr>
          <w:p>
            <w:pPr>
              <w:jc w:val="center"/>
              <w:ind w:left="91"/>
              <w:spacing w:after="0" w:line="169" w:lineRule="exact"/>
              <w:rPr>
                <w:sz w:val="20"/>
                <w:szCs w:val="20"/>
                <w:color w:val="auto"/>
              </w:rPr>
            </w:pPr>
            <w:r>
              <w:rPr>
                <w:rFonts w:ascii="Calibri" w:cs="Calibri" w:eastAsia="Calibri" w:hAnsi="Calibri"/>
                <w:sz w:val="14"/>
                <w:szCs w:val="14"/>
                <w:color w:val="auto"/>
                <w:w w:val="95"/>
              </w:rPr>
              <w:t>270,561</w:t>
            </w:r>
          </w:p>
        </w:tc>
        <w:tc>
          <w:tcPr>
            <w:tcW w:w="11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-3.9%</w:t>
            </w:r>
          </w:p>
        </w:tc>
      </w:tr>
      <w:tr>
        <w:trPr>
          <w:trHeight w:val="187"/>
        </w:trPr>
        <w:tc>
          <w:tcPr>
            <w:tcW w:w="3400" w:type="dxa"/>
            <w:vAlign w:val="bottom"/>
            <w:tcBorders>
              <w:left w:val="single" w:sz="8" w:color="auto"/>
              <w:bottom w:val="single" w:sz="8" w:color="auto"/>
              <w:right w:val="single" w:sz="8" w:color="auto"/>
            </w:tcBorders>
          </w:tcPr>
          <w:p>
            <w:pPr>
              <w:ind w:left="20"/>
              <w:spacing w:after="0" w:line="187" w:lineRule="exact"/>
              <w:rPr>
                <w:sz w:val="20"/>
                <w:szCs w:val="20"/>
                <w:color w:val="auto"/>
              </w:rPr>
            </w:pPr>
            <w:r>
              <w:rPr>
                <w:rFonts w:ascii="Calibri" w:cs="Calibri" w:eastAsia="Calibri" w:hAnsi="Calibri"/>
                <w:sz w:val="12"/>
                <w:szCs w:val="12"/>
                <w:color w:val="auto"/>
              </w:rPr>
              <w:t xml:space="preserve">Eliminatons and Other </w:t>
            </w:r>
            <w:r>
              <w:rPr>
                <w:rFonts w:ascii="Calibri" w:cs="Calibri" w:eastAsia="Calibri" w:hAnsi="Calibri"/>
                <w:sz w:val="20"/>
                <w:szCs w:val="20"/>
                <w:color w:val="auto"/>
                <w:vertAlign w:val="superscript"/>
              </w:rPr>
              <w:t>(3)</w:t>
            </w:r>
          </w:p>
        </w:tc>
        <w:tc>
          <w:tcPr>
            <w:tcW w:w="102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(114,638)</w:t>
            </w:r>
          </w:p>
        </w:tc>
        <w:tc>
          <w:tcPr>
            <w:tcW w:w="10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(128,117)</w:t>
            </w:r>
          </w:p>
        </w:tc>
        <w:tc>
          <w:tcPr>
            <w:tcW w:w="108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(121,831)</w:t>
            </w:r>
          </w:p>
        </w:tc>
        <w:tc>
          <w:tcPr>
            <w:tcW w:w="76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-4.9%</w:t>
            </w:r>
          </w:p>
        </w:tc>
        <w:tc>
          <w:tcPr>
            <w:tcW w:w="82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6.3%</w:t>
            </w:r>
          </w:p>
        </w:tc>
        <w:tc>
          <w:tcPr>
            <w:tcW w:w="800" w:type="dxa"/>
            <w:vAlign w:val="bottom"/>
            <w:tcBorders>
              <w:bottom w:val="single" w:sz="8" w:color="auto"/>
            </w:tcBorders>
          </w:tcPr>
          <w:p>
            <w:pPr>
              <w:jc w:val="center"/>
              <w:ind w:left="111"/>
              <w:spacing w:after="0" w:line="169" w:lineRule="exact"/>
              <w:rPr>
                <w:sz w:val="20"/>
                <w:szCs w:val="20"/>
                <w:color w:val="auto"/>
              </w:rPr>
            </w:pPr>
            <w:r>
              <w:rPr>
                <w:rFonts w:ascii="Calibri" w:cs="Calibri" w:eastAsia="Calibri" w:hAnsi="Calibri"/>
                <w:sz w:val="14"/>
                <w:szCs w:val="14"/>
                <w:color w:val="auto"/>
                <w:w w:val="98"/>
              </w:rPr>
              <w:t>(249,531)</w:t>
            </w:r>
          </w:p>
        </w:tc>
        <w:tc>
          <w:tcPr>
            <w:tcW w:w="1200" w:type="dxa"/>
            <w:vAlign w:val="bottom"/>
            <w:tcBorders>
              <w:bottom w:val="single" w:sz="8" w:color="auto"/>
              <w:right w:val="single" w:sz="8" w:color="auto"/>
            </w:tcBorders>
          </w:tcPr>
          <w:p>
            <w:pPr>
              <w:jc w:val="center"/>
              <w:ind w:left="71"/>
              <w:spacing w:after="0" w:line="169" w:lineRule="exact"/>
              <w:rPr>
                <w:sz w:val="20"/>
                <w:szCs w:val="20"/>
                <w:color w:val="auto"/>
              </w:rPr>
            </w:pPr>
            <w:r>
              <w:rPr>
                <w:rFonts w:ascii="Calibri" w:cs="Calibri" w:eastAsia="Calibri" w:hAnsi="Calibri"/>
                <w:sz w:val="14"/>
                <w:szCs w:val="14"/>
                <w:color w:val="auto"/>
                <w:w w:val="98"/>
              </w:rPr>
              <w:t>(249,948)</w:t>
            </w:r>
          </w:p>
        </w:tc>
        <w:tc>
          <w:tcPr>
            <w:tcW w:w="114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3"/>
              </w:rPr>
              <w:t>0.2%</w:t>
            </w:r>
          </w:p>
        </w:tc>
      </w:tr>
      <w:tr>
        <w:trPr>
          <w:trHeight w:val="161"/>
        </w:trPr>
        <w:tc>
          <w:tcPr>
            <w:tcW w:w="3400" w:type="dxa"/>
            <w:vAlign w:val="bottom"/>
            <w:tcBorders>
              <w:left w:val="single" w:sz="8" w:color="auto"/>
              <w:bottom w:val="single" w:sz="8" w:color="auto"/>
              <w:right w:val="single" w:sz="8" w:color="auto"/>
            </w:tcBorders>
          </w:tcPr>
          <w:p>
            <w:pPr>
              <w:ind w:left="20"/>
              <w:spacing w:after="0" w:line="161" w:lineRule="exact"/>
              <w:rPr>
                <w:sz w:val="20"/>
                <w:szCs w:val="20"/>
                <w:color w:val="auto"/>
              </w:rPr>
            </w:pPr>
            <w:r>
              <w:rPr>
                <w:rFonts w:ascii="Calibri" w:cs="Calibri" w:eastAsia="Calibri" w:hAnsi="Calibri"/>
                <w:sz w:val="14"/>
                <w:szCs w:val="14"/>
                <w:b w:val="1"/>
                <w:bCs w:val="1"/>
                <w:color w:val="auto"/>
              </w:rPr>
              <w:t>Total Net Fee Income</w:t>
            </w:r>
          </w:p>
        </w:tc>
        <w:tc>
          <w:tcPr>
            <w:tcW w:w="1020" w:type="dxa"/>
            <w:vAlign w:val="bottom"/>
            <w:tcBorders>
              <w:bottom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9"/>
              </w:rPr>
              <w:t>947,228</w:t>
            </w:r>
          </w:p>
        </w:tc>
        <w:tc>
          <w:tcPr>
            <w:tcW w:w="1040" w:type="dxa"/>
            <w:vAlign w:val="bottom"/>
            <w:tcBorders>
              <w:bottom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5"/>
              </w:rPr>
              <w:t>994,024</w:t>
            </w:r>
          </w:p>
        </w:tc>
        <w:tc>
          <w:tcPr>
            <w:tcW w:w="1080" w:type="dxa"/>
            <w:vAlign w:val="bottom"/>
            <w:tcBorders>
              <w:bottom w:val="single" w:sz="8" w:color="auto"/>
              <w:right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8"/>
              </w:rPr>
              <w:t>1,024,553</w:t>
            </w:r>
          </w:p>
        </w:tc>
        <w:tc>
          <w:tcPr>
            <w:tcW w:w="760" w:type="dxa"/>
            <w:vAlign w:val="bottom"/>
            <w:tcBorders>
              <w:bottom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9"/>
              </w:rPr>
              <w:t>3.1%</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9"/>
              </w:rPr>
              <w:t>8.2%</w:t>
            </w:r>
          </w:p>
        </w:tc>
        <w:tc>
          <w:tcPr>
            <w:tcW w:w="800" w:type="dxa"/>
            <w:vAlign w:val="bottom"/>
            <w:tcBorders>
              <w:bottom w:val="single" w:sz="8" w:color="auto"/>
            </w:tcBorders>
          </w:tcPr>
          <w:p>
            <w:pPr>
              <w:jc w:val="center"/>
              <w:ind w:left="91"/>
              <w:spacing w:after="0" w:line="161" w:lineRule="exact"/>
              <w:rPr>
                <w:sz w:val="20"/>
                <w:szCs w:val="20"/>
                <w:color w:val="auto"/>
              </w:rPr>
            </w:pPr>
            <w:r>
              <w:rPr>
                <w:rFonts w:ascii="Calibri" w:cs="Calibri" w:eastAsia="Calibri" w:hAnsi="Calibri"/>
                <w:sz w:val="14"/>
                <w:szCs w:val="14"/>
                <w:b w:val="1"/>
                <w:bCs w:val="1"/>
                <w:color w:val="auto"/>
                <w:w w:val="98"/>
              </w:rPr>
              <w:t>1,803,793</w:t>
            </w:r>
          </w:p>
        </w:tc>
        <w:tc>
          <w:tcPr>
            <w:tcW w:w="1200" w:type="dxa"/>
            <w:vAlign w:val="bottom"/>
            <w:tcBorders>
              <w:bottom w:val="single" w:sz="8" w:color="auto"/>
              <w:right w:val="single" w:sz="8" w:color="auto"/>
            </w:tcBorders>
          </w:tcPr>
          <w:p>
            <w:pPr>
              <w:jc w:val="center"/>
              <w:ind w:left="91"/>
              <w:spacing w:after="0" w:line="161" w:lineRule="exact"/>
              <w:rPr>
                <w:sz w:val="20"/>
                <w:szCs w:val="20"/>
                <w:color w:val="auto"/>
              </w:rPr>
            </w:pPr>
            <w:r>
              <w:rPr>
                <w:rFonts w:ascii="Calibri" w:cs="Calibri" w:eastAsia="Calibri" w:hAnsi="Calibri"/>
                <w:sz w:val="14"/>
                <w:szCs w:val="14"/>
                <w:b w:val="1"/>
                <w:bCs w:val="1"/>
                <w:color w:val="auto"/>
                <w:w w:val="98"/>
              </w:rPr>
              <w:t>2,018,577</w:t>
            </w:r>
          </w:p>
        </w:tc>
        <w:tc>
          <w:tcPr>
            <w:tcW w:w="1140" w:type="dxa"/>
            <w:vAlign w:val="bottom"/>
            <w:tcBorders>
              <w:bottom w:val="single" w:sz="8" w:color="auto"/>
              <w:right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w w:val="96"/>
              </w:rPr>
              <w:t>11.9%</w:t>
            </w:r>
          </w:p>
        </w:tc>
      </w:tr>
    </w:tbl>
    <w:p>
      <w:pPr>
        <w:ind w:right="80" w:firstLine="4"/>
        <w:spacing w:after="0" w:line="222" w:lineRule="auto"/>
        <w:tabs>
          <w:tab w:leader="none" w:pos="151" w:val="left"/>
        </w:tabs>
        <w:numPr>
          <w:ilvl w:val="0"/>
          <w:numId w:val="32"/>
        </w:numPr>
        <w:rPr>
          <w:rFonts w:ascii="Calibri" w:cs="Calibri" w:eastAsia="Calibri" w:hAnsi="Calibri"/>
          <w:sz w:val="11"/>
          <w:szCs w:val="11"/>
          <w:color w:val="auto"/>
        </w:rPr>
      </w:pPr>
      <w:r>
        <w:rPr>
          <w:rFonts w:ascii="Calibri" w:cs="Calibri" w:eastAsia="Calibri" w:hAnsi="Calibri"/>
          <w:sz w:val="11"/>
          <w:szCs w:val="11"/>
          <w:color w:val="auto"/>
        </w:rPr>
        <w:t>Beginning in 1Q25, accountng reclassifcatons related to credit card loyalty program expenses and Yape’s transactonal fee expenses have been incorporated. These reclassifcatons afected Administratve and General Expenses as well as Fee Income. Prior periods have been restated for comparability and may difer from previously reported fgures.</w:t>
      </w:r>
    </w:p>
    <w:p>
      <w:pPr>
        <w:ind w:right="40" w:firstLine="4"/>
        <w:spacing w:after="0" w:line="232" w:lineRule="auto"/>
        <w:tabs>
          <w:tab w:leader="none" w:pos="151" w:val="left"/>
        </w:tabs>
        <w:numPr>
          <w:ilvl w:val="0"/>
          <w:numId w:val="32"/>
        </w:numPr>
        <w:rPr>
          <w:rFonts w:ascii="Calibri" w:cs="Calibri" w:eastAsia="Calibri" w:hAnsi="Calibri"/>
          <w:sz w:val="11"/>
          <w:szCs w:val="11"/>
          <w:color w:val="auto"/>
        </w:rPr>
      </w:pPr>
      <w:r>
        <w:rPr>
          <w:rFonts w:ascii="Calibri" w:cs="Calibri" w:eastAsia="Calibri" w:hAnsi="Calibri"/>
          <w:sz w:val="11"/>
          <w:szCs w:val="11"/>
          <w:color w:val="auto"/>
        </w:rPr>
        <w:t>Beginning in 1Q25, reclassifcatons related to FX operatons at BCP Bolivia have been incorporated. These reclassifcatons afected Fee Income and Net Gain on Derivatves Held for Trading, which are now consolidated into Net Gain on Foreign Exchange Transactons. Prior periods have been restated for comparability and may difer from previously reported fgures.</w:t>
      </w:r>
    </w:p>
    <w:p>
      <w:pPr>
        <w:ind w:left="160" w:hanging="156"/>
        <w:spacing w:after="0" w:line="232" w:lineRule="auto"/>
        <w:tabs>
          <w:tab w:leader="none" w:pos="160" w:val="left"/>
        </w:tabs>
        <w:numPr>
          <w:ilvl w:val="0"/>
          <w:numId w:val="32"/>
        </w:numPr>
        <w:rPr>
          <w:rFonts w:ascii="Calibri" w:cs="Calibri" w:eastAsia="Calibri" w:hAnsi="Calibri"/>
          <w:sz w:val="11"/>
          <w:szCs w:val="11"/>
          <w:color w:val="auto"/>
        </w:rPr>
      </w:pPr>
      <w:r>
        <w:rPr>
          <w:rFonts w:ascii="Calibri" w:cs="Calibri" w:eastAsia="Calibri" w:hAnsi="Calibri"/>
          <w:sz w:val="11"/>
          <w:szCs w:val="11"/>
          <w:color w:val="auto"/>
        </w:rPr>
        <w:t>Correspond mainly to the eliminatons of bancassurance between Pacifco, BCP, and Mibanco.</w:t>
      </w:r>
    </w:p>
    <w:p>
      <w:pPr>
        <w:spacing w:after="0" w:line="185" w:lineRule="exact"/>
        <w:rPr>
          <w:sz w:val="20"/>
          <w:szCs w:val="20"/>
          <w:color w:val="auto"/>
        </w:rPr>
      </w:pPr>
    </w:p>
    <w:p>
      <w:pPr>
        <w:jc w:val="both"/>
        <w:spacing w:after="0"/>
        <w:rPr>
          <w:sz w:val="20"/>
          <w:szCs w:val="20"/>
          <w:color w:val="auto"/>
        </w:rPr>
      </w:pPr>
      <w:r>
        <w:rPr>
          <w:rFonts w:ascii="Calibri" w:cs="Calibri" w:eastAsia="Calibri" w:hAnsi="Calibri"/>
          <w:sz w:val="17"/>
          <w:szCs w:val="17"/>
          <w:b w:val="1"/>
          <w:bCs w:val="1"/>
          <w:color w:val="auto"/>
        </w:rPr>
        <w:t>QoQ, YoY and YTD</w:t>
      </w:r>
      <w:r>
        <w:rPr>
          <w:rFonts w:ascii="Calibri" w:cs="Calibri" w:eastAsia="Calibri" w:hAnsi="Calibri"/>
          <w:sz w:val="17"/>
          <w:szCs w:val="17"/>
          <w:color w:val="auto"/>
        </w:rPr>
        <w:t>, growth of 3.1%, 8.2% and 11.9% (respectvely) was fueled mainly by an uptck in fee income at</w:t>
      </w:r>
      <w:r>
        <w:rPr>
          <w:rFonts w:ascii="Calibri" w:cs="Calibri" w:eastAsia="Calibri" w:hAnsi="Calibri"/>
          <w:sz w:val="17"/>
          <w:szCs w:val="17"/>
          <w:b w:val="1"/>
          <w:bCs w:val="1"/>
          <w:color w:val="auto"/>
        </w:rPr>
        <w:t xml:space="preserve"> BCP Stand-alone</w:t>
      </w:r>
      <w:r>
        <w:rPr>
          <w:rFonts w:ascii="Calibri" w:cs="Calibri" w:eastAsia="Calibri" w:hAnsi="Calibri"/>
          <w:sz w:val="17"/>
          <w:szCs w:val="17"/>
          <w:color w:val="auto"/>
        </w:rPr>
        <w:t>, whose dynamics will be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examined in the next secton. In the YoY and YTD analysis, expansion was partally ofset by a drop in results at </w:t>
      </w:r>
      <w:r>
        <w:rPr>
          <w:rFonts w:ascii="Calibri" w:cs="Calibri" w:eastAsia="Calibri" w:hAnsi="Calibri"/>
          <w:sz w:val="17"/>
          <w:szCs w:val="17"/>
          <w:b w:val="1"/>
          <w:bCs w:val="1"/>
          <w:color w:val="auto"/>
        </w:rPr>
        <w:t>Credicorp Capital</w:t>
      </w:r>
      <w:r>
        <w:rPr>
          <w:rFonts w:ascii="Calibri" w:cs="Calibri" w:eastAsia="Calibri" w:hAnsi="Calibri"/>
          <w:sz w:val="17"/>
          <w:szCs w:val="17"/>
          <w:color w:val="auto"/>
        </w:rPr>
        <w:t xml:space="preserve">. This decline was fueled by base efect, given that the Corporate Finance business in Colombia, whose operatons have been discontnued, registered a large transacton in 2Q24. Fees were also impacted YoY and YTD, albeit to a lesser extent, by </w:t>
      </w:r>
      <w:r>
        <w:rPr>
          <w:rFonts w:ascii="Calibri" w:cs="Calibri" w:eastAsia="Calibri" w:hAnsi="Calibri"/>
          <w:sz w:val="17"/>
          <w:szCs w:val="17"/>
          <w:b w:val="1"/>
          <w:bCs w:val="1"/>
          <w:color w:val="auto"/>
        </w:rPr>
        <w:t>BCP Bolivia</w:t>
      </w:r>
      <w:r>
        <w:rPr>
          <w:rFonts w:ascii="Calibri" w:cs="Calibri" w:eastAsia="Calibri" w:hAnsi="Calibri"/>
          <w:sz w:val="17"/>
          <w:szCs w:val="17"/>
          <w:color w:val="auto"/>
        </w:rPr>
        <w:t>, which reported a drop in credit card transactons in USD.</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Fee Income at BCP Stand-alone</w:t>
      </w:r>
    </w:p>
    <w:p>
      <w:pPr>
        <w:jc w:val="center"/>
        <w:ind w:right="120"/>
        <w:spacing w:after="0" w:line="181" w:lineRule="auto"/>
        <w:rPr>
          <w:sz w:val="20"/>
          <w:szCs w:val="20"/>
          <w:color w:val="auto"/>
        </w:rPr>
      </w:pPr>
      <w:r>
        <w:rPr>
          <w:rFonts w:ascii="Calibri" w:cs="Calibri" w:eastAsia="Calibri" w:hAnsi="Calibri"/>
          <w:sz w:val="16"/>
          <w:szCs w:val="16"/>
          <w:b w:val="1"/>
          <w:bCs w:val="1"/>
          <w:color w:val="auto"/>
        </w:rPr>
        <w:t xml:space="preserve">Compositon of Fee Income at BCP Stand-alone </w:t>
      </w:r>
      <w:r>
        <w:rPr>
          <w:rFonts w:ascii="Calibri" w:cs="Calibri" w:eastAsia="Calibri" w:hAnsi="Calibri"/>
          <w:sz w:val="25"/>
          <w:szCs w:val="25"/>
          <w:b w:val="1"/>
          <w:bCs w:val="1"/>
          <w:color w:val="auto"/>
          <w:vertAlign w:val="superscript"/>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 w:type="dxa"/>
            <w:vAlign w:val="bottom"/>
            <w:tcBorders>
              <w:right w:val="single" w:sz="8" w:color="auto"/>
            </w:tcBorders>
          </w:tcPr>
          <w:p>
            <w:pPr>
              <w:spacing w:after="0"/>
              <w:rPr>
                <w:sz w:val="13"/>
                <w:szCs w:val="13"/>
                <w:color w:val="auto"/>
              </w:rPr>
            </w:pPr>
          </w:p>
        </w:tc>
        <w:tc>
          <w:tcPr>
            <w:tcW w:w="3360" w:type="dxa"/>
            <w:vAlign w:val="bottom"/>
            <w:tcBorders>
              <w:top w:val="single" w:sz="8" w:color="auto"/>
              <w:right w:val="single" w:sz="8" w:color="auto"/>
            </w:tcBorders>
            <w:shd w:val="clear" w:color="auto" w:fill="33CCCC"/>
          </w:tcPr>
          <w:p>
            <w:pPr>
              <w:spacing w:after="0" w:line="156" w:lineRule="exact"/>
              <w:rPr>
                <w:sz w:val="20"/>
                <w:szCs w:val="20"/>
                <w:color w:val="auto"/>
              </w:rPr>
            </w:pPr>
            <w:r>
              <w:rPr>
                <w:rFonts w:ascii="Calibri" w:cs="Calibri" w:eastAsia="Calibri" w:hAnsi="Calibri"/>
                <w:sz w:val="13"/>
                <w:szCs w:val="13"/>
                <w:b w:val="1"/>
                <w:bCs w:val="1"/>
                <w:color w:val="FFFFFF"/>
              </w:rPr>
              <w:t>BCP Stand-alone Fees (*)</w:t>
            </w:r>
          </w:p>
        </w:tc>
        <w:tc>
          <w:tcPr>
            <w:tcW w:w="1000" w:type="dxa"/>
            <w:vAlign w:val="bottom"/>
            <w:tcBorders>
              <w:top w:val="single" w:sz="8" w:color="auto"/>
            </w:tcBorders>
            <w:shd w:val="clear" w:color="auto" w:fill="33CCCC"/>
          </w:tcPr>
          <w:p>
            <w:pPr>
              <w:spacing w:after="0"/>
              <w:rPr>
                <w:sz w:val="13"/>
                <w:szCs w:val="13"/>
                <w:color w:val="auto"/>
              </w:rPr>
            </w:pPr>
          </w:p>
        </w:tc>
        <w:tc>
          <w:tcPr>
            <w:tcW w:w="1100" w:type="dxa"/>
            <w:vAlign w:val="bottom"/>
            <w:tcBorders>
              <w:top w:val="single" w:sz="8" w:color="auto"/>
            </w:tcBorders>
            <w:shd w:val="clear" w:color="auto" w:fill="33CCCC"/>
          </w:tcPr>
          <w:p>
            <w:pPr>
              <w:ind w:left="340"/>
              <w:spacing w:after="0" w:line="156" w:lineRule="exact"/>
              <w:rPr>
                <w:sz w:val="20"/>
                <w:szCs w:val="20"/>
                <w:color w:val="auto"/>
              </w:rPr>
            </w:pPr>
            <w:r>
              <w:rPr>
                <w:rFonts w:ascii="Calibri" w:cs="Calibri" w:eastAsia="Calibri" w:hAnsi="Calibri"/>
                <w:sz w:val="13"/>
                <w:szCs w:val="13"/>
                <w:b w:val="1"/>
                <w:bCs w:val="1"/>
                <w:color w:val="FFFFFF"/>
              </w:rPr>
              <w:t>Quarter</w:t>
            </w:r>
          </w:p>
        </w:tc>
        <w:tc>
          <w:tcPr>
            <w:tcW w:w="1040" w:type="dxa"/>
            <w:vAlign w:val="bottom"/>
            <w:tcBorders>
              <w:top w:val="single" w:sz="8" w:color="auto"/>
              <w:right w:val="single" w:sz="8" w:color="auto"/>
            </w:tcBorders>
            <w:shd w:val="clear" w:color="auto" w:fill="33CCCC"/>
          </w:tcPr>
          <w:p>
            <w:pPr>
              <w:spacing w:after="0"/>
              <w:rPr>
                <w:sz w:val="13"/>
                <w:szCs w:val="13"/>
                <w:color w:val="auto"/>
              </w:rPr>
            </w:pPr>
          </w:p>
        </w:tc>
        <w:tc>
          <w:tcPr>
            <w:tcW w:w="1580" w:type="dxa"/>
            <w:vAlign w:val="bottom"/>
            <w:tcBorders>
              <w:top w:val="single" w:sz="8" w:color="auto"/>
              <w:right w:val="single" w:sz="8" w:color="auto"/>
            </w:tcBorders>
            <w:gridSpan w:val="2"/>
            <w:shd w:val="clear" w:color="auto" w:fill="33CCCC"/>
          </w:tcPr>
          <w:p>
            <w:pPr>
              <w:ind w:left="520"/>
              <w:spacing w:after="0" w:line="156" w:lineRule="exact"/>
              <w:rPr>
                <w:sz w:val="20"/>
                <w:szCs w:val="20"/>
                <w:color w:val="auto"/>
              </w:rPr>
            </w:pPr>
            <w:r>
              <w:rPr>
                <w:rFonts w:ascii="Calibri" w:cs="Calibri" w:eastAsia="Calibri" w:hAnsi="Calibri"/>
                <w:sz w:val="13"/>
                <w:szCs w:val="13"/>
                <w:b w:val="1"/>
                <w:bCs w:val="1"/>
                <w:color w:val="FFFFFF"/>
              </w:rPr>
              <w:t>% Change</w:t>
            </w:r>
          </w:p>
        </w:tc>
        <w:tc>
          <w:tcPr>
            <w:tcW w:w="740" w:type="dxa"/>
            <w:vAlign w:val="bottom"/>
            <w:tcBorders>
              <w:top w:val="single" w:sz="8" w:color="auto"/>
            </w:tcBorders>
            <w:shd w:val="clear" w:color="auto" w:fill="33CCCC"/>
          </w:tcPr>
          <w:p>
            <w:pPr>
              <w:spacing w:after="0"/>
              <w:rPr>
                <w:sz w:val="13"/>
                <w:szCs w:val="13"/>
                <w:color w:val="auto"/>
              </w:rPr>
            </w:pPr>
          </w:p>
        </w:tc>
        <w:tc>
          <w:tcPr>
            <w:tcW w:w="1260" w:type="dxa"/>
            <w:vAlign w:val="bottom"/>
            <w:tcBorders>
              <w:top w:val="single" w:sz="8" w:color="auto"/>
              <w:right w:val="single" w:sz="8" w:color="auto"/>
            </w:tcBorders>
            <w:shd w:val="clear" w:color="auto" w:fill="33CCCC"/>
          </w:tcPr>
          <w:p>
            <w:pPr>
              <w:ind w:left="100"/>
              <w:spacing w:after="0" w:line="156" w:lineRule="exact"/>
              <w:rPr>
                <w:sz w:val="20"/>
                <w:szCs w:val="20"/>
                <w:color w:val="auto"/>
              </w:rPr>
            </w:pPr>
            <w:r>
              <w:rPr>
                <w:rFonts w:ascii="Calibri" w:cs="Calibri" w:eastAsia="Calibri" w:hAnsi="Calibri"/>
                <w:sz w:val="13"/>
                <w:szCs w:val="13"/>
                <w:b w:val="1"/>
                <w:bCs w:val="1"/>
                <w:color w:val="FFFFFF"/>
              </w:rPr>
              <w:t>Up to</w:t>
            </w:r>
          </w:p>
        </w:tc>
        <w:tc>
          <w:tcPr>
            <w:tcW w:w="1140" w:type="dxa"/>
            <w:vAlign w:val="bottom"/>
            <w:tcBorders>
              <w:top w:val="single" w:sz="8" w:color="auto"/>
              <w:right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w w:val="98"/>
              </w:rPr>
              <w:t>% change</w:t>
            </w:r>
          </w:p>
        </w:tc>
      </w:tr>
      <w:tr>
        <w:trPr>
          <w:trHeight w:val="181"/>
        </w:trPr>
        <w:tc>
          <w:tcPr>
            <w:tcW w:w="40" w:type="dxa"/>
            <w:vAlign w:val="bottom"/>
            <w:tcBorders>
              <w:right w:val="single" w:sz="8" w:color="auto"/>
            </w:tcBorders>
          </w:tcPr>
          <w:p>
            <w:pPr>
              <w:spacing w:after="0"/>
              <w:rPr>
                <w:sz w:val="15"/>
                <w:szCs w:val="15"/>
                <w:color w:val="auto"/>
              </w:rPr>
            </w:pPr>
          </w:p>
        </w:tc>
        <w:tc>
          <w:tcPr>
            <w:tcW w:w="3360" w:type="dxa"/>
            <w:vAlign w:val="bottom"/>
            <w:tcBorders>
              <w:bottom w:val="single" w:sz="8" w:color="33CCCC"/>
              <w:right w:val="single" w:sz="8" w:color="auto"/>
            </w:tcBorders>
            <w:shd w:val="clear" w:color="auto" w:fill="33CCCC"/>
          </w:tcPr>
          <w:p>
            <w:pPr>
              <w:spacing w:after="0" w:line="156" w:lineRule="exact"/>
              <w:rPr>
                <w:sz w:val="20"/>
                <w:szCs w:val="20"/>
                <w:color w:val="auto"/>
              </w:rPr>
            </w:pPr>
            <w:r>
              <w:rPr>
                <w:rFonts w:ascii="Calibri" w:cs="Calibri" w:eastAsia="Calibri" w:hAnsi="Calibri"/>
                <w:sz w:val="13"/>
                <w:szCs w:val="13"/>
                <w:b w:val="1"/>
                <w:bCs w:val="1"/>
                <w:color w:val="FFFFFF"/>
              </w:rPr>
              <w:t>(S/ 000,000)</w:t>
            </w:r>
          </w:p>
        </w:tc>
        <w:tc>
          <w:tcPr>
            <w:tcW w:w="1000" w:type="dxa"/>
            <w:vAlign w:val="bottom"/>
            <w:tcBorders>
              <w:bottom w:val="single" w:sz="8" w:color="33CCCC"/>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rPr>
              <w:t>2Q24</w:t>
            </w:r>
          </w:p>
        </w:tc>
        <w:tc>
          <w:tcPr>
            <w:tcW w:w="1100" w:type="dxa"/>
            <w:vAlign w:val="bottom"/>
            <w:tcBorders>
              <w:bottom w:val="single" w:sz="8" w:color="33CCCC"/>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w w:val="97"/>
              </w:rPr>
              <w:t>1Q25</w:t>
            </w:r>
          </w:p>
        </w:tc>
        <w:tc>
          <w:tcPr>
            <w:tcW w:w="1040" w:type="dxa"/>
            <w:vAlign w:val="bottom"/>
            <w:tcBorders>
              <w:bottom w:val="single" w:sz="8" w:color="33CCCC"/>
              <w:right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rPr>
              <w:t>2Q25</w:t>
            </w:r>
          </w:p>
        </w:tc>
        <w:tc>
          <w:tcPr>
            <w:tcW w:w="780" w:type="dxa"/>
            <w:vAlign w:val="bottom"/>
            <w:tcBorders>
              <w:bottom w:val="single" w:sz="8" w:color="33CCCC"/>
            </w:tcBorders>
            <w:shd w:val="clear" w:color="auto" w:fill="33CCCC"/>
          </w:tcPr>
          <w:p>
            <w:pPr>
              <w:ind w:left="260"/>
              <w:spacing w:after="0" w:line="156" w:lineRule="exact"/>
              <w:rPr>
                <w:sz w:val="20"/>
                <w:szCs w:val="20"/>
                <w:color w:val="auto"/>
              </w:rPr>
            </w:pPr>
            <w:r>
              <w:rPr>
                <w:rFonts w:ascii="Calibri" w:cs="Calibri" w:eastAsia="Calibri" w:hAnsi="Calibri"/>
                <w:sz w:val="13"/>
                <w:szCs w:val="13"/>
                <w:b w:val="1"/>
                <w:bCs w:val="1"/>
                <w:color w:val="FFFFFF"/>
              </w:rPr>
              <w:t>QoQ</w:t>
            </w:r>
          </w:p>
        </w:tc>
        <w:tc>
          <w:tcPr>
            <w:tcW w:w="800" w:type="dxa"/>
            <w:vAlign w:val="bottom"/>
            <w:tcBorders>
              <w:bottom w:val="single" w:sz="8" w:color="33CCCC"/>
              <w:right w:val="single" w:sz="8" w:color="auto"/>
            </w:tcBorders>
            <w:shd w:val="clear" w:color="auto" w:fill="33CCCC"/>
          </w:tcPr>
          <w:p>
            <w:pPr>
              <w:ind w:left="280"/>
              <w:spacing w:after="0" w:line="156" w:lineRule="exact"/>
              <w:rPr>
                <w:sz w:val="20"/>
                <w:szCs w:val="20"/>
                <w:color w:val="auto"/>
              </w:rPr>
            </w:pPr>
            <w:r>
              <w:rPr>
                <w:rFonts w:ascii="Calibri" w:cs="Calibri" w:eastAsia="Calibri" w:hAnsi="Calibri"/>
                <w:sz w:val="13"/>
                <w:szCs w:val="13"/>
                <w:b w:val="1"/>
                <w:bCs w:val="1"/>
                <w:color w:val="FFFFFF"/>
              </w:rPr>
              <w:t>YoY</w:t>
            </w:r>
          </w:p>
        </w:tc>
        <w:tc>
          <w:tcPr>
            <w:tcW w:w="740" w:type="dxa"/>
            <w:vAlign w:val="bottom"/>
            <w:tcBorders>
              <w:bottom w:val="single" w:sz="8" w:color="33CCCC"/>
            </w:tcBorders>
            <w:shd w:val="clear" w:color="auto" w:fill="33CCCC"/>
          </w:tcPr>
          <w:p>
            <w:pPr>
              <w:ind w:left="320"/>
              <w:spacing w:after="0" w:line="156" w:lineRule="exact"/>
              <w:rPr>
                <w:sz w:val="20"/>
                <w:szCs w:val="20"/>
                <w:color w:val="auto"/>
              </w:rPr>
            </w:pPr>
            <w:r>
              <w:rPr>
                <w:rFonts w:ascii="Calibri" w:cs="Calibri" w:eastAsia="Calibri" w:hAnsi="Calibri"/>
                <w:sz w:val="13"/>
                <w:szCs w:val="13"/>
                <w:b w:val="1"/>
                <w:bCs w:val="1"/>
                <w:color w:val="FFFFFF"/>
              </w:rPr>
              <w:t>Jun 24</w:t>
            </w:r>
          </w:p>
        </w:tc>
        <w:tc>
          <w:tcPr>
            <w:tcW w:w="1260" w:type="dxa"/>
            <w:vAlign w:val="bottom"/>
            <w:tcBorders>
              <w:bottom w:val="single" w:sz="8" w:color="33CCCC"/>
              <w:right w:val="single" w:sz="8" w:color="auto"/>
            </w:tcBorders>
            <w:shd w:val="clear" w:color="auto" w:fill="33CCCC"/>
          </w:tcPr>
          <w:p>
            <w:pPr>
              <w:ind w:left="560"/>
              <w:spacing w:after="0" w:line="156" w:lineRule="exact"/>
              <w:rPr>
                <w:sz w:val="20"/>
                <w:szCs w:val="20"/>
                <w:color w:val="auto"/>
              </w:rPr>
            </w:pPr>
            <w:r>
              <w:rPr>
                <w:rFonts w:ascii="Calibri" w:cs="Calibri" w:eastAsia="Calibri" w:hAnsi="Calibri"/>
                <w:sz w:val="13"/>
                <w:szCs w:val="13"/>
                <w:b w:val="1"/>
                <w:bCs w:val="1"/>
                <w:color w:val="FFFFFF"/>
              </w:rPr>
              <w:t>Jun 25</w:t>
            </w:r>
          </w:p>
        </w:tc>
        <w:tc>
          <w:tcPr>
            <w:tcW w:w="1140" w:type="dxa"/>
            <w:vAlign w:val="bottom"/>
            <w:tcBorders>
              <w:bottom w:val="single" w:sz="8" w:color="33CCCC"/>
              <w:right w:val="single" w:sz="8" w:color="auto"/>
            </w:tcBorders>
            <w:shd w:val="clear" w:color="auto" w:fill="33CCCC"/>
          </w:tcPr>
          <w:p>
            <w:pPr>
              <w:jc w:val="center"/>
              <w:spacing w:after="0" w:line="156" w:lineRule="exact"/>
              <w:rPr>
                <w:sz w:val="20"/>
                <w:szCs w:val="20"/>
                <w:color w:val="auto"/>
              </w:rPr>
            </w:pPr>
            <w:r>
              <w:rPr>
                <w:rFonts w:ascii="Calibri" w:cs="Calibri" w:eastAsia="Calibri" w:hAnsi="Calibri"/>
                <w:sz w:val="13"/>
                <w:szCs w:val="13"/>
                <w:b w:val="1"/>
                <w:bCs w:val="1"/>
                <w:color w:val="FFFFFF"/>
                <w:w w:val="99"/>
              </w:rPr>
              <w:t>Jun 25 / Jun 24</w:t>
            </w:r>
          </w:p>
        </w:tc>
      </w:tr>
      <w:tr>
        <w:trPr>
          <w:trHeight w:val="152"/>
        </w:trPr>
        <w:tc>
          <w:tcPr>
            <w:tcW w:w="40" w:type="dxa"/>
            <w:vAlign w:val="bottom"/>
            <w:tcBorders>
              <w:right w:val="single" w:sz="8" w:color="auto"/>
            </w:tcBorders>
          </w:tcPr>
          <w:p>
            <w:pPr>
              <w:spacing w:after="0"/>
              <w:rPr>
                <w:sz w:val="13"/>
                <w:szCs w:val="13"/>
                <w:color w:val="auto"/>
              </w:rPr>
            </w:pPr>
          </w:p>
        </w:tc>
        <w:tc>
          <w:tcPr>
            <w:tcW w:w="3360" w:type="dxa"/>
            <w:vAlign w:val="bottom"/>
            <w:tcBorders>
              <w:top w:val="single" w:sz="8" w:color="auto"/>
              <w:right w:val="single" w:sz="8" w:color="auto"/>
            </w:tcBorders>
          </w:tcPr>
          <w:p>
            <w:pPr>
              <w:spacing w:after="0" w:line="152" w:lineRule="exact"/>
              <w:rPr>
                <w:sz w:val="20"/>
                <w:szCs w:val="20"/>
                <w:color w:val="auto"/>
              </w:rPr>
            </w:pPr>
            <w:r>
              <w:rPr>
                <w:rFonts w:ascii="Calibri" w:cs="Calibri" w:eastAsia="Calibri" w:hAnsi="Calibri"/>
                <w:sz w:val="11"/>
                <w:szCs w:val="11"/>
                <w:color w:val="auto"/>
              </w:rPr>
              <w:t xml:space="preserve">Payments and transactonal services </w:t>
            </w:r>
            <w:r>
              <w:rPr>
                <w:rFonts w:ascii="Calibri" w:cs="Calibri" w:eastAsia="Calibri" w:hAnsi="Calibri"/>
                <w:sz w:val="16"/>
                <w:szCs w:val="16"/>
                <w:color w:val="auto"/>
                <w:vertAlign w:val="superscript"/>
              </w:rPr>
              <w:t>(1)</w:t>
            </w:r>
          </w:p>
        </w:tc>
        <w:tc>
          <w:tcPr>
            <w:tcW w:w="1000" w:type="dxa"/>
            <w:vAlign w:val="bottom"/>
            <w:tcBorders>
              <w:top w:val="single" w:sz="8" w:color="auto"/>
            </w:tcBorders>
          </w:tcPr>
          <w:p>
            <w:pPr>
              <w:jc w:val="center"/>
              <w:spacing w:after="0" w:line="152" w:lineRule="exact"/>
              <w:rPr>
                <w:sz w:val="20"/>
                <w:szCs w:val="20"/>
                <w:color w:val="auto"/>
              </w:rPr>
            </w:pPr>
            <w:r>
              <w:rPr>
                <w:rFonts w:ascii="Calibri" w:cs="Calibri" w:eastAsia="Calibri" w:hAnsi="Calibri"/>
                <w:sz w:val="13"/>
                <w:szCs w:val="13"/>
                <w:color w:val="auto"/>
              </w:rPr>
              <w:t>263</w:t>
            </w:r>
          </w:p>
        </w:tc>
        <w:tc>
          <w:tcPr>
            <w:tcW w:w="1100" w:type="dxa"/>
            <w:vAlign w:val="bottom"/>
            <w:tcBorders>
              <w:top w:val="single" w:sz="8" w:color="auto"/>
            </w:tcBorders>
          </w:tcPr>
          <w:p>
            <w:pPr>
              <w:jc w:val="center"/>
              <w:spacing w:after="0" w:line="152" w:lineRule="exact"/>
              <w:rPr>
                <w:sz w:val="20"/>
                <w:szCs w:val="20"/>
                <w:color w:val="auto"/>
              </w:rPr>
            </w:pPr>
            <w:r>
              <w:rPr>
                <w:rFonts w:ascii="Calibri" w:cs="Calibri" w:eastAsia="Calibri" w:hAnsi="Calibri"/>
                <w:sz w:val="13"/>
                <w:szCs w:val="13"/>
                <w:color w:val="auto"/>
              </w:rPr>
              <w:t>283</w:t>
            </w:r>
          </w:p>
        </w:tc>
        <w:tc>
          <w:tcPr>
            <w:tcW w:w="1040" w:type="dxa"/>
            <w:vAlign w:val="bottom"/>
            <w:tcBorders>
              <w:top w:val="single" w:sz="8" w:color="auto"/>
              <w:right w:val="single" w:sz="8" w:color="auto"/>
            </w:tcBorders>
          </w:tcPr>
          <w:p>
            <w:pPr>
              <w:jc w:val="center"/>
              <w:ind w:right="15"/>
              <w:spacing w:after="0" w:line="152" w:lineRule="exact"/>
              <w:rPr>
                <w:sz w:val="20"/>
                <w:szCs w:val="20"/>
                <w:color w:val="auto"/>
              </w:rPr>
            </w:pPr>
            <w:r>
              <w:rPr>
                <w:rFonts w:ascii="Calibri" w:cs="Calibri" w:eastAsia="Calibri" w:hAnsi="Calibri"/>
                <w:sz w:val="13"/>
                <w:szCs w:val="13"/>
                <w:color w:val="auto"/>
              </w:rPr>
              <w:t>287</w:t>
            </w:r>
          </w:p>
        </w:tc>
        <w:tc>
          <w:tcPr>
            <w:tcW w:w="780" w:type="dxa"/>
            <w:vAlign w:val="bottom"/>
            <w:tcBorders>
              <w:top w:val="single" w:sz="8" w:color="auto"/>
            </w:tcBorders>
          </w:tcPr>
          <w:p>
            <w:pPr>
              <w:jc w:val="center"/>
              <w:spacing w:after="0" w:line="152" w:lineRule="exact"/>
              <w:rPr>
                <w:sz w:val="20"/>
                <w:szCs w:val="20"/>
                <w:color w:val="auto"/>
              </w:rPr>
            </w:pPr>
            <w:r>
              <w:rPr>
                <w:rFonts w:ascii="Calibri" w:cs="Calibri" w:eastAsia="Calibri" w:hAnsi="Calibri"/>
                <w:sz w:val="13"/>
                <w:szCs w:val="13"/>
                <w:color w:val="auto"/>
              </w:rPr>
              <w:t>1.3%</w:t>
            </w:r>
          </w:p>
        </w:tc>
        <w:tc>
          <w:tcPr>
            <w:tcW w:w="800" w:type="dxa"/>
            <w:vAlign w:val="bottom"/>
            <w:tcBorders>
              <w:top w:val="single" w:sz="8" w:color="auto"/>
              <w:right w:val="single" w:sz="8" w:color="auto"/>
            </w:tcBorders>
          </w:tcPr>
          <w:p>
            <w:pPr>
              <w:jc w:val="center"/>
              <w:spacing w:after="0" w:line="152" w:lineRule="exact"/>
              <w:rPr>
                <w:sz w:val="20"/>
                <w:szCs w:val="20"/>
                <w:color w:val="auto"/>
              </w:rPr>
            </w:pPr>
            <w:r>
              <w:rPr>
                <w:rFonts w:ascii="Calibri" w:cs="Calibri" w:eastAsia="Calibri" w:hAnsi="Calibri"/>
                <w:sz w:val="13"/>
                <w:szCs w:val="13"/>
                <w:color w:val="auto"/>
              </w:rPr>
              <w:t>9.0%</w:t>
            </w:r>
          </w:p>
        </w:tc>
        <w:tc>
          <w:tcPr>
            <w:tcW w:w="740" w:type="dxa"/>
            <w:vAlign w:val="bottom"/>
            <w:tcBorders>
              <w:top w:val="single" w:sz="8" w:color="auto"/>
            </w:tcBorders>
          </w:tcPr>
          <w:p>
            <w:pPr>
              <w:jc w:val="center"/>
              <w:ind w:left="155"/>
              <w:spacing w:after="0" w:line="152" w:lineRule="exact"/>
              <w:rPr>
                <w:sz w:val="20"/>
                <w:szCs w:val="20"/>
                <w:color w:val="auto"/>
              </w:rPr>
            </w:pPr>
            <w:r>
              <w:rPr>
                <w:rFonts w:ascii="Calibri" w:cs="Calibri" w:eastAsia="Calibri" w:hAnsi="Calibri"/>
                <w:sz w:val="13"/>
                <w:szCs w:val="13"/>
                <w:color w:val="auto"/>
              </w:rPr>
              <w:t>535</w:t>
            </w:r>
          </w:p>
        </w:tc>
        <w:tc>
          <w:tcPr>
            <w:tcW w:w="1260" w:type="dxa"/>
            <w:vAlign w:val="bottom"/>
            <w:tcBorders>
              <w:top w:val="single" w:sz="8" w:color="auto"/>
              <w:right w:val="single" w:sz="8" w:color="auto"/>
            </w:tcBorders>
          </w:tcPr>
          <w:p>
            <w:pPr>
              <w:jc w:val="center"/>
              <w:ind w:left="155"/>
              <w:spacing w:after="0" w:line="152" w:lineRule="exact"/>
              <w:rPr>
                <w:sz w:val="20"/>
                <w:szCs w:val="20"/>
                <w:color w:val="auto"/>
              </w:rPr>
            </w:pPr>
            <w:r>
              <w:rPr>
                <w:rFonts w:ascii="Calibri" w:cs="Calibri" w:eastAsia="Calibri" w:hAnsi="Calibri"/>
                <w:sz w:val="13"/>
                <w:szCs w:val="13"/>
                <w:color w:val="auto"/>
              </w:rPr>
              <w:t>570</w:t>
            </w:r>
          </w:p>
        </w:tc>
        <w:tc>
          <w:tcPr>
            <w:tcW w:w="1140" w:type="dxa"/>
            <w:vAlign w:val="bottom"/>
            <w:tcBorders>
              <w:top w:val="single" w:sz="8" w:color="auto"/>
              <w:right w:val="single" w:sz="8" w:color="auto"/>
            </w:tcBorders>
          </w:tcPr>
          <w:p>
            <w:pPr>
              <w:jc w:val="center"/>
              <w:spacing w:after="0" w:line="152" w:lineRule="exact"/>
              <w:rPr>
                <w:sz w:val="20"/>
                <w:szCs w:val="20"/>
                <w:color w:val="auto"/>
              </w:rPr>
            </w:pPr>
            <w:r>
              <w:rPr>
                <w:rFonts w:ascii="Calibri" w:cs="Calibri" w:eastAsia="Calibri" w:hAnsi="Calibri"/>
                <w:sz w:val="13"/>
                <w:szCs w:val="13"/>
                <w:color w:val="auto"/>
              </w:rPr>
              <w:t>6.5%</w:t>
            </w:r>
          </w:p>
        </w:tc>
      </w:tr>
      <w:tr>
        <w:trPr>
          <w:trHeight w:val="169"/>
        </w:trPr>
        <w:tc>
          <w:tcPr>
            <w:tcW w:w="40" w:type="dxa"/>
            <w:vAlign w:val="bottom"/>
            <w:tcBorders>
              <w:right w:val="single" w:sz="8" w:color="auto"/>
            </w:tcBorders>
          </w:tcPr>
          <w:p>
            <w:pPr>
              <w:spacing w:after="0"/>
              <w:rPr>
                <w:sz w:val="14"/>
                <w:szCs w:val="14"/>
                <w:color w:val="auto"/>
              </w:rPr>
            </w:pPr>
          </w:p>
        </w:tc>
        <w:tc>
          <w:tcPr>
            <w:tcW w:w="3360" w:type="dxa"/>
            <w:vAlign w:val="bottom"/>
            <w:tcBorders>
              <w:right w:val="single" w:sz="8" w:color="auto"/>
            </w:tcBorders>
          </w:tcPr>
          <w:p>
            <w:pPr>
              <w:spacing w:after="0" w:line="169" w:lineRule="exact"/>
              <w:rPr>
                <w:sz w:val="20"/>
                <w:szCs w:val="20"/>
                <w:color w:val="auto"/>
              </w:rPr>
            </w:pPr>
            <w:r>
              <w:rPr>
                <w:rFonts w:ascii="Calibri" w:cs="Calibri" w:eastAsia="Calibri" w:hAnsi="Calibri"/>
                <w:sz w:val="12"/>
                <w:szCs w:val="12"/>
                <w:color w:val="auto"/>
              </w:rPr>
              <w:t xml:space="preserve">Yape </w:t>
            </w:r>
            <w:r>
              <w:rPr>
                <w:rFonts w:ascii="Calibri" w:cs="Calibri" w:eastAsia="Calibri" w:hAnsi="Calibri"/>
                <w:sz w:val="18"/>
                <w:szCs w:val="18"/>
                <w:color w:val="auto"/>
                <w:vertAlign w:val="superscript"/>
              </w:rPr>
              <w:t>(2)</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70</w:t>
            </w:r>
          </w:p>
        </w:tc>
        <w:tc>
          <w:tcPr>
            <w:tcW w:w="1100" w:type="dxa"/>
            <w:vAlign w:val="bottom"/>
          </w:tcPr>
          <w:p>
            <w:pPr>
              <w:jc w:val="center"/>
              <w:spacing w:after="0"/>
              <w:rPr>
                <w:sz w:val="20"/>
                <w:szCs w:val="20"/>
                <w:color w:val="auto"/>
              </w:rPr>
            </w:pPr>
            <w:r>
              <w:rPr>
                <w:rFonts w:ascii="Calibri" w:cs="Calibri" w:eastAsia="Calibri" w:hAnsi="Calibri"/>
                <w:sz w:val="13"/>
                <w:szCs w:val="13"/>
                <w:color w:val="auto"/>
              </w:rPr>
              <w:t>121</w:t>
            </w:r>
          </w:p>
        </w:tc>
        <w:tc>
          <w:tcPr>
            <w:tcW w:w="1040" w:type="dxa"/>
            <w:vAlign w:val="bottom"/>
            <w:tcBorders>
              <w:right w:val="single" w:sz="8" w:color="auto"/>
            </w:tcBorders>
          </w:tcPr>
          <w:p>
            <w:pPr>
              <w:jc w:val="center"/>
              <w:ind w:right="15"/>
              <w:spacing w:after="0"/>
              <w:rPr>
                <w:sz w:val="20"/>
                <w:szCs w:val="20"/>
                <w:color w:val="auto"/>
              </w:rPr>
            </w:pPr>
            <w:r>
              <w:rPr>
                <w:rFonts w:ascii="Calibri" w:cs="Calibri" w:eastAsia="Calibri" w:hAnsi="Calibri"/>
                <w:sz w:val="13"/>
                <w:szCs w:val="13"/>
                <w:color w:val="auto"/>
              </w:rPr>
              <w:t>132</w:t>
            </w:r>
          </w:p>
        </w:tc>
        <w:tc>
          <w:tcPr>
            <w:tcW w:w="780" w:type="dxa"/>
            <w:vAlign w:val="bottom"/>
          </w:tcPr>
          <w:p>
            <w:pPr>
              <w:jc w:val="center"/>
              <w:spacing w:after="0"/>
              <w:rPr>
                <w:sz w:val="20"/>
                <w:szCs w:val="20"/>
                <w:color w:val="auto"/>
              </w:rPr>
            </w:pPr>
            <w:r>
              <w:rPr>
                <w:rFonts w:ascii="Calibri" w:cs="Calibri" w:eastAsia="Calibri" w:hAnsi="Calibri"/>
                <w:sz w:val="13"/>
                <w:szCs w:val="13"/>
                <w:color w:val="auto"/>
              </w:rPr>
              <w:t>9.1%</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88.7%</w:t>
            </w:r>
          </w:p>
        </w:tc>
        <w:tc>
          <w:tcPr>
            <w:tcW w:w="740" w:type="dxa"/>
            <w:vAlign w:val="bottom"/>
          </w:tcPr>
          <w:p>
            <w:pPr>
              <w:jc w:val="center"/>
              <w:ind w:left="155"/>
              <w:spacing w:after="0"/>
              <w:rPr>
                <w:sz w:val="20"/>
                <w:szCs w:val="20"/>
                <w:color w:val="auto"/>
              </w:rPr>
            </w:pPr>
            <w:r>
              <w:rPr>
                <w:rFonts w:ascii="Calibri" w:cs="Calibri" w:eastAsia="Calibri" w:hAnsi="Calibri"/>
                <w:sz w:val="13"/>
                <w:szCs w:val="13"/>
                <w:color w:val="auto"/>
              </w:rPr>
              <w:t>124</w:t>
            </w:r>
          </w:p>
        </w:tc>
        <w:tc>
          <w:tcPr>
            <w:tcW w:w="126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rPr>
              <w:t>252</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7"/>
              </w:rPr>
              <w:t>103.9%</w:t>
            </w:r>
          </w:p>
        </w:tc>
      </w:tr>
      <w:tr>
        <w:trPr>
          <w:trHeight w:val="169"/>
        </w:trPr>
        <w:tc>
          <w:tcPr>
            <w:tcW w:w="40" w:type="dxa"/>
            <w:vAlign w:val="bottom"/>
            <w:tcBorders>
              <w:right w:val="single" w:sz="8" w:color="auto"/>
            </w:tcBorders>
          </w:tcPr>
          <w:p>
            <w:pPr>
              <w:spacing w:after="0"/>
              <w:rPr>
                <w:sz w:val="14"/>
                <w:szCs w:val="14"/>
                <w:color w:val="auto"/>
              </w:rPr>
            </w:pPr>
          </w:p>
        </w:tc>
        <w:tc>
          <w:tcPr>
            <w:tcW w:w="3360" w:type="dxa"/>
            <w:vAlign w:val="bottom"/>
            <w:tcBorders>
              <w:right w:val="single" w:sz="8" w:color="auto"/>
            </w:tcBorders>
          </w:tcPr>
          <w:p>
            <w:pPr>
              <w:spacing w:after="0" w:line="169" w:lineRule="exact"/>
              <w:rPr>
                <w:sz w:val="20"/>
                <w:szCs w:val="20"/>
                <w:color w:val="auto"/>
              </w:rPr>
            </w:pPr>
            <w:r>
              <w:rPr>
                <w:rFonts w:ascii="Calibri" w:cs="Calibri" w:eastAsia="Calibri" w:hAnsi="Calibri"/>
                <w:sz w:val="12"/>
                <w:szCs w:val="12"/>
                <w:color w:val="auto"/>
              </w:rPr>
              <w:t xml:space="preserve">Liability and Transactonal Accounts </w:t>
            </w:r>
            <w:r>
              <w:rPr>
                <w:rFonts w:ascii="Calibri" w:cs="Calibri" w:eastAsia="Calibri" w:hAnsi="Calibri"/>
                <w:sz w:val="18"/>
                <w:szCs w:val="18"/>
                <w:color w:val="auto"/>
                <w:vertAlign w:val="superscript"/>
              </w:rPr>
              <w:t>(3)</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190</w:t>
            </w:r>
          </w:p>
        </w:tc>
        <w:tc>
          <w:tcPr>
            <w:tcW w:w="1100" w:type="dxa"/>
            <w:vAlign w:val="bottom"/>
          </w:tcPr>
          <w:p>
            <w:pPr>
              <w:jc w:val="center"/>
              <w:spacing w:after="0"/>
              <w:rPr>
                <w:sz w:val="20"/>
                <w:szCs w:val="20"/>
                <w:color w:val="auto"/>
              </w:rPr>
            </w:pPr>
            <w:r>
              <w:rPr>
                <w:rFonts w:ascii="Calibri" w:cs="Calibri" w:eastAsia="Calibri" w:hAnsi="Calibri"/>
                <w:sz w:val="13"/>
                <w:szCs w:val="13"/>
                <w:color w:val="auto"/>
              </w:rPr>
              <w:t>197</w:t>
            </w:r>
          </w:p>
        </w:tc>
        <w:tc>
          <w:tcPr>
            <w:tcW w:w="1040" w:type="dxa"/>
            <w:vAlign w:val="bottom"/>
            <w:tcBorders>
              <w:right w:val="single" w:sz="8" w:color="auto"/>
            </w:tcBorders>
          </w:tcPr>
          <w:p>
            <w:pPr>
              <w:jc w:val="center"/>
              <w:ind w:right="15"/>
              <w:spacing w:after="0"/>
              <w:rPr>
                <w:sz w:val="20"/>
                <w:szCs w:val="20"/>
                <w:color w:val="auto"/>
              </w:rPr>
            </w:pPr>
            <w:r>
              <w:rPr>
                <w:rFonts w:ascii="Calibri" w:cs="Calibri" w:eastAsia="Calibri" w:hAnsi="Calibri"/>
                <w:sz w:val="13"/>
                <w:szCs w:val="13"/>
                <w:color w:val="auto"/>
              </w:rPr>
              <w:t>201</w:t>
            </w:r>
          </w:p>
        </w:tc>
        <w:tc>
          <w:tcPr>
            <w:tcW w:w="780" w:type="dxa"/>
            <w:vAlign w:val="bottom"/>
          </w:tcPr>
          <w:p>
            <w:pPr>
              <w:jc w:val="center"/>
              <w:spacing w:after="0"/>
              <w:rPr>
                <w:sz w:val="20"/>
                <w:szCs w:val="20"/>
                <w:color w:val="auto"/>
              </w:rPr>
            </w:pPr>
            <w:r>
              <w:rPr>
                <w:rFonts w:ascii="Calibri" w:cs="Calibri" w:eastAsia="Calibri" w:hAnsi="Calibri"/>
                <w:sz w:val="13"/>
                <w:szCs w:val="13"/>
                <w:color w:val="auto"/>
              </w:rPr>
              <w:t>2.0%</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5.6%</w:t>
            </w:r>
          </w:p>
        </w:tc>
        <w:tc>
          <w:tcPr>
            <w:tcW w:w="740" w:type="dxa"/>
            <w:vAlign w:val="bottom"/>
          </w:tcPr>
          <w:p>
            <w:pPr>
              <w:jc w:val="center"/>
              <w:ind w:left="155"/>
              <w:spacing w:after="0"/>
              <w:rPr>
                <w:sz w:val="20"/>
                <w:szCs w:val="20"/>
                <w:color w:val="auto"/>
              </w:rPr>
            </w:pPr>
            <w:r>
              <w:rPr>
                <w:rFonts w:ascii="Calibri" w:cs="Calibri" w:eastAsia="Calibri" w:hAnsi="Calibri"/>
                <w:sz w:val="13"/>
                <w:szCs w:val="13"/>
                <w:color w:val="auto"/>
              </w:rPr>
              <w:t>369</w:t>
            </w:r>
          </w:p>
        </w:tc>
        <w:tc>
          <w:tcPr>
            <w:tcW w:w="126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rPr>
              <w:t>398</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7.7%</w:t>
            </w:r>
          </w:p>
        </w:tc>
      </w:tr>
      <w:tr>
        <w:trPr>
          <w:trHeight w:val="173"/>
        </w:trPr>
        <w:tc>
          <w:tcPr>
            <w:tcW w:w="40" w:type="dxa"/>
            <w:vAlign w:val="bottom"/>
            <w:tcBorders>
              <w:right w:val="single" w:sz="8" w:color="auto"/>
            </w:tcBorders>
          </w:tcPr>
          <w:p>
            <w:pPr>
              <w:spacing w:after="0"/>
              <w:rPr>
                <w:sz w:val="15"/>
                <w:szCs w:val="15"/>
                <w:color w:val="auto"/>
              </w:rPr>
            </w:pPr>
          </w:p>
        </w:tc>
        <w:tc>
          <w:tcPr>
            <w:tcW w:w="3360" w:type="dxa"/>
            <w:vAlign w:val="bottom"/>
            <w:tcBorders>
              <w:right w:val="single" w:sz="8" w:color="auto"/>
            </w:tcBorders>
          </w:tcPr>
          <w:p>
            <w:pPr>
              <w:spacing w:after="0" w:line="173" w:lineRule="exact"/>
              <w:rPr>
                <w:sz w:val="20"/>
                <w:szCs w:val="20"/>
                <w:color w:val="auto"/>
              </w:rPr>
            </w:pPr>
            <w:r>
              <w:rPr>
                <w:rFonts w:ascii="Calibri" w:cs="Calibri" w:eastAsia="Calibri" w:hAnsi="Calibri"/>
                <w:sz w:val="12"/>
                <w:szCs w:val="12"/>
                <w:color w:val="auto"/>
              </w:rPr>
              <w:t xml:space="preserve">Loan Disbursement </w:t>
            </w:r>
            <w:r>
              <w:rPr>
                <w:rFonts w:ascii="Calibri" w:cs="Calibri" w:eastAsia="Calibri" w:hAnsi="Calibri"/>
                <w:sz w:val="18"/>
                <w:szCs w:val="18"/>
                <w:color w:val="auto"/>
                <w:vertAlign w:val="superscript"/>
              </w:rPr>
              <w:t>(4)</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101</w:t>
            </w:r>
          </w:p>
        </w:tc>
        <w:tc>
          <w:tcPr>
            <w:tcW w:w="1100" w:type="dxa"/>
            <w:vAlign w:val="bottom"/>
          </w:tcPr>
          <w:p>
            <w:pPr>
              <w:jc w:val="center"/>
              <w:spacing w:after="0"/>
              <w:rPr>
                <w:sz w:val="20"/>
                <w:szCs w:val="20"/>
                <w:color w:val="auto"/>
              </w:rPr>
            </w:pPr>
            <w:r>
              <w:rPr>
                <w:rFonts w:ascii="Calibri" w:cs="Calibri" w:eastAsia="Calibri" w:hAnsi="Calibri"/>
                <w:sz w:val="13"/>
                <w:szCs w:val="13"/>
                <w:color w:val="auto"/>
                <w:w w:val="90"/>
              </w:rPr>
              <w:t>98</w:t>
            </w:r>
          </w:p>
        </w:tc>
        <w:tc>
          <w:tcPr>
            <w:tcW w:w="1040" w:type="dxa"/>
            <w:vAlign w:val="bottom"/>
            <w:tcBorders>
              <w:right w:val="single" w:sz="8" w:color="auto"/>
            </w:tcBorders>
          </w:tcPr>
          <w:p>
            <w:pPr>
              <w:jc w:val="center"/>
              <w:ind w:right="15"/>
              <w:spacing w:after="0"/>
              <w:rPr>
                <w:sz w:val="20"/>
                <w:szCs w:val="20"/>
                <w:color w:val="auto"/>
              </w:rPr>
            </w:pPr>
            <w:r>
              <w:rPr>
                <w:rFonts w:ascii="Calibri" w:cs="Calibri" w:eastAsia="Calibri" w:hAnsi="Calibri"/>
                <w:sz w:val="13"/>
                <w:szCs w:val="13"/>
                <w:color w:val="auto"/>
              </w:rPr>
              <w:t>104</w:t>
            </w:r>
          </w:p>
        </w:tc>
        <w:tc>
          <w:tcPr>
            <w:tcW w:w="780" w:type="dxa"/>
            <w:vAlign w:val="bottom"/>
          </w:tcPr>
          <w:p>
            <w:pPr>
              <w:jc w:val="center"/>
              <w:spacing w:after="0"/>
              <w:rPr>
                <w:sz w:val="20"/>
                <w:szCs w:val="20"/>
                <w:color w:val="auto"/>
              </w:rPr>
            </w:pPr>
            <w:r>
              <w:rPr>
                <w:rFonts w:ascii="Calibri" w:cs="Calibri" w:eastAsia="Calibri" w:hAnsi="Calibri"/>
                <w:sz w:val="13"/>
                <w:szCs w:val="13"/>
                <w:color w:val="auto"/>
              </w:rPr>
              <w:t>6.7%</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3.1%</w:t>
            </w:r>
          </w:p>
        </w:tc>
        <w:tc>
          <w:tcPr>
            <w:tcW w:w="740" w:type="dxa"/>
            <w:vAlign w:val="bottom"/>
          </w:tcPr>
          <w:p>
            <w:pPr>
              <w:jc w:val="center"/>
              <w:ind w:left="155"/>
              <w:spacing w:after="0"/>
              <w:rPr>
                <w:sz w:val="20"/>
                <w:szCs w:val="20"/>
                <w:color w:val="auto"/>
              </w:rPr>
            </w:pPr>
            <w:r>
              <w:rPr>
                <w:rFonts w:ascii="Calibri" w:cs="Calibri" w:eastAsia="Calibri" w:hAnsi="Calibri"/>
                <w:sz w:val="13"/>
                <w:szCs w:val="13"/>
                <w:color w:val="auto"/>
              </w:rPr>
              <w:t>191</w:t>
            </w:r>
          </w:p>
        </w:tc>
        <w:tc>
          <w:tcPr>
            <w:tcW w:w="126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rPr>
              <w:t>202</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5.9%</w:t>
            </w:r>
          </w:p>
        </w:tc>
      </w:tr>
      <w:tr>
        <w:trPr>
          <w:trHeight w:val="156"/>
        </w:trPr>
        <w:tc>
          <w:tcPr>
            <w:tcW w:w="40" w:type="dxa"/>
            <w:vAlign w:val="bottom"/>
            <w:tcBorders>
              <w:right w:val="single" w:sz="8" w:color="auto"/>
            </w:tcBorders>
          </w:tcPr>
          <w:p>
            <w:pPr>
              <w:spacing w:after="0"/>
              <w:rPr>
                <w:sz w:val="13"/>
                <w:szCs w:val="13"/>
                <w:color w:val="auto"/>
              </w:rPr>
            </w:pPr>
          </w:p>
        </w:tc>
        <w:tc>
          <w:tcPr>
            <w:tcW w:w="3360" w:type="dxa"/>
            <w:vAlign w:val="bottom"/>
            <w:tcBorders>
              <w:right w:val="single" w:sz="8" w:color="auto"/>
            </w:tcBorders>
          </w:tcPr>
          <w:p>
            <w:pPr>
              <w:spacing w:after="0" w:line="156" w:lineRule="exact"/>
              <w:rPr>
                <w:sz w:val="20"/>
                <w:szCs w:val="20"/>
                <w:color w:val="auto"/>
              </w:rPr>
            </w:pPr>
            <w:r>
              <w:rPr>
                <w:rFonts w:ascii="Calibri" w:cs="Calibri" w:eastAsia="Calibri" w:hAnsi="Calibri"/>
                <w:sz w:val="13"/>
                <w:szCs w:val="13"/>
                <w:color w:val="auto"/>
              </w:rPr>
              <w:t>Of-balance sheet</w:t>
            </w:r>
          </w:p>
        </w:tc>
        <w:tc>
          <w:tcPr>
            <w:tcW w:w="1000" w:type="dxa"/>
            <w:vAlign w:val="bottom"/>
          </w:tcPr>
          <w:p>
            <w:pPr>
              <w:jc w:val="center"/>
              <w:spacing w:after="0" w:line="156" w:lineRule="exact"/>
              <w:rPr>
                <w:sz w:val="20"/>
                <w:szCs w:val="20"/>
                <w:color w:val="auto"/>
              </w:rPr>
            </w:pPr>
            <w:r>
              <w:rPr>
                <w:rFonts w:ascii="Calibri" w:cs="Calibri" w:eastAsia="Calibri" w:hAnsi="Calibri"/>
                <w:sz w:val="13"/>
                <w:szCs w:val="13"/>
                <w:color w:val="auto"/>
              </w:rPr>
              <w:t>55</w:t>
            </w:r>
          </w:p>
        </w:tc>
        <w:tc>
          <w:tcPr>
            <w:tcW w:w="1100" w:type="dxa"/>
            <w:vAlign w:val="bottom"/>
          </w:tcPr>
          <w:p>
            <w:pPr>
              <w:jc w:val="center"/>
              <w:spacing w:after="0" w:line="156" w:lineRule="exact"/>
              <w:rPr>
                <w:sz w:val="20"/>
                <w:szCs w:val="20"/>
                <w:color w:val="auto"/>
              </w:rPr>
            </w:pPr>
            <w:r>
              <w:rPr>
                <w:rFonts w:ascii="Calibri" w:cs="Calibri" w:eastAsia="Calibri" w:hAnsi="Calibri"/>
                <w:sz w:val="13"/>
                <w:szCs w:val="13"/>
                <w:color w:val="auto"/>
                <w:w w:val="90"/>
              </w:rPr>
              <w:t>56</w:t>
            </w:r>
          </w:p>
        </w:tc>
        <w:tc>
          <w:tcPr>
            <w:tcW w:w="104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53</w:t>
            </w:r>
          </w:p>
        </w:tc>
        <w:tc>
          <w:tcPr>
            <w:tcW w:w="780" w:type="dxa"/>
            <w:vAlign w:val="bottom"/>
          </w:tcPr>
          <w:p>
            <w:pPr>
              <w:jc w:val="center"/>
              <w:spacing w:after="0" w:line="156" w:lineRule="exact"/>
              <w:rPr>
                <w:sz w:val="20"/>
                <w:szCs w:val="20"/>
                <w:color w:val="auto"/>
              </w:rPr>
            </w:pPr>
            <w:r>
              <w:rPr>
                <w:rFonts w:ascii="Calibri" w:cs="Calibri" w:eastAsia="Calibri" w:hAnsi="Calibri"/>
                <w:sz w:val="13"/>
                <w:szCs w:val="13"/>
                <w:color w:val="auto"/>
              </w:rPr>
              <w:t>-5.9%</w:t>
            </w:r>
          </w:p>
        </w:tc>
        <w:tc>
          <w:tcPr>
            <w:tcW w:w="80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-3.9%</w:t>
            </w:r>
          </w:p>
        </w:tc>
        <w:tc>
          <w:tcPr>
            <w:tcW w:w="740" w:type="dxa"/>
            <w:vAlign w:val="bottom"/>
          </w:tcPr>
          <w:p>
            <w:pPr>
              <w:jc w:val="center"/>
              <w:ind w:left="155"/>
              <w:spacing w:after="0" w:line="156" w:lineRule="exact"/>
              <w:rPr>
                <w:sz w:val="20"/>
                <w:szCs w:val="20"/>
                <w:color w:val="auto"/>
              </w:rPr>
            </w:pPr>
            <w:r>
              <w:rPr>
                <w:rFonts w:ascii="Calibri" w:cs="Calibri" w:eastAsia="Calibri" w:hAnsi="Calibri"/>
                <w:sz w:val="13"/>
                <w:szCs w:val="13"/>
                <w:color w:val="auto"/>
              </w:rPr>
              <w:t>112</w:t>
            </w:r>
          </w:p>
        </w:tc>
        <w:tc>
          <w:tcPr>
            <w:tcW w:w="1260" w:type="dxa"/>
            <w:vAlign w:val="bottom"/>
            <w:tcBorders>
              <w:right w:val="single" w:sz="8" w:color="auto"/>
            </w:tcBorders>
          </w:tcPr>
          <w:p>
            <w:pPr>
              <w:jc w:val="center"/>
              <w:ind w:left="155"/>
              <w:spacing w:after="0" w:line="156" w:lineRule="exact"/>
              <w:rPr>
                <w:sz w:val="20"/>
                <w:szCs w:val="20"/>
                <w:color w:val="auto"/>
              </w:rPr>
            </w:pPr>
            <w:r>
              <w:rPr>
                <w:rFonts w:ascii="Calibri" w:cs="Calibri" w:eastAsia="Calibri" w:hAnsi="Calibri"/>
                <w:sz w:val="13"/>
                <w:szCs w:val="13"/>
                <w:color w:val="auto"/>
              </w:rPr>
              <w:t>109</w:t>
            </w:r>
          </w:p>
        </w:tc>
        <w:tc>
          <w:tcPr>
            <w:tcW w:w="114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3"/>
                <w:szCs w:val="13"/>
                <w:color w:val="auto"/>
              </w:rPr>
              <w:t>-2.9%</w:t>
            </w:r>
          </w:p>
        </w:tc>
      </w:tr>
      <w:tr>
        <w:trPr>
          <w:trHeight w:val="169"/>
        </w:trPr>
        <w:tc>
          <w:tcPr>
            <w:tcW w:w="40" w:type="dxa"/>
            <w:vAlign w:val="bottom"/>
            <w:tcBorders>
              <w:right w:val="single" w:sz="8" w:color="auto"/>
            </w:tcBorders>
          </w:tcPr>
          <w:p>
            <w:pPr>
              <w:spacing w:after="0"/>
              <w:rPr>
                <w:sz w:val="14"/>
                <w:szCs w:val="14"/>
                <w:color w:val="auto"/>
              </w:rPr>
            </w:pPr>
          </w:p>
        </w:tc>
        <w:tc>
          <w:tcPr>
            <w:tcW w:w="3360" w:type="dxa"/>
            <w:vAlign w:val="bottom"/>
            <w:tcBorders>
              <w:right w:val="single" w:sz="8" w:color="auto"/>
            </w:tcBorders>
          </w:tcPr>
          <w:p>
            <w:pPr>
              <w:spacing w:after="0"/>
              <w:rPr>
                <w:sz w:val="20"/>
                <w:szCs w:val="20"/>
                <w:color w:val="auto"/>
              </w:rPr>
            </w:pPr>
            <w:r>
              <w:rPr>
                <w:rFonts w:ascii="Calibri" w:cs="Calibri" w:eastAsia="Calibri" w:hAnsi="Calibri"/>
                <w:sz w:val="13"/>
                <w:szCs w:val="13"/>
                <w:color w:val="auto"/>
              </w:rPr>
              <w:t>Insurances</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35</w:t>
            </w:r>
          </w:p>
        </w:tc>
        <w:tc>
          <w:tcPr>
            <w:tcW w:w="1100" w:type="dxa"/>
            <w:vAlign w:val="bottom"/>
          </w:tcPr>
          <w:p>
            <w:pPr>
              <w:jc w:val="center"/>
              <w:spacing w:after="0"/>
              <w:rPr>
                <w:sz w:val="20"/>
                <w:szCs w:val="20"/>
                <w:color w:val="auto"/>
              </w:rPr>
            </w:pPr>
            <w:r>
              <w:rPr>
                <w:rFonts w:ascii="Calibri" w:cs="Calibri" w:eastAsia="Calibri" w:hAnsi="Calibri"/>
                <w:sz w:val="13"/>
                <w:szCs w:val="13"/>
                <w:color w:val="auto"/>
                <w:w w:val="90"/>
              </w:rPr>
              <w:t>48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40</w:t>
            </w:r>
          </w:p>
        </w:tc>
        <w:tc>
          <w:tcPr>
            <w:tcW w:w="780" w:type="dxa"/>
            <w:vAlign w:val="bottom"/>
          </w:tcPr>
          <w:p>
            <w:pPr>
              <w:jc w:val="center"/>
              <w:spacing w:after="0"/>
              <w:rPr>
                <w:sz w:val="20"/>
                <w:szCs w:val="20"/>
                <w:color w:val="auto"/>
              </w:rPr>
            </w:pPr>
            <w:r>
              <w:rPr>
                <w:rFonts w:ascii="Calibri" w:cs="Calibri" w:eastAsia="Calibri" w:hAnsi="Calibri"/>
                <w:sz w:val="13"/>
                <w:szCs w:val="13"/>
                <w:color w:val="auto"/>
                <w:w w:val="98"/>
              </w:rPr>
              <w:t>-17.8%</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13.9%</w:t>
            </w:r>
          </w:p>
        </w:tc>
        <w:tc>
          <w:tcPr>
            <w:tcW w:w="740" w:type="dxa"/>
            <w:vAlign w:val="bottom"/>
          </w:tcPr>
          <w:p>
            <w:pPr>
              <w:jc w:val="center"/>
              <w:ind w:left="155"/>
              <w:spacing w:after="0"/>
              <w:rPr>
                <w:sz w:val="20"/>
                <w:szCs w:val="20"/>
                <w:color w:val="auto"/>
              </w:rPr>
            </w:pPr>
            <w:r>
              <w:rPr>
                <w:rFonts w:ascii="Calibri" w:cs="Calibri" w:eastAsia="Calibri" w:hAnsi="Calibri"/>
                <w:sz w:val="13"/>
                <w:szCs w:val="13"/>
                <w:color w:val="auto"/>
                <w:w w:val="90"/>
              </w:rPr>
              <w:t>68</w:t>
            </w:r>
          </w:p>
        </w:tc>
        <w:tc>
          <w:tcPr>
            <w:tcW w:w="126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0"/>
              </w:rPr>
              <w:t>88</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28.3%</w:t>
            </w:r>
          </w:p>
        </w:tc>
      </w:tr>
      <w:tr>
        <w:trPr>
          <w:trHeight w:val="169"/>
        </w:trPr>
        <w:tc>
          <w:tcPr>
            <w:tcW w:w="40" w:type="dxa"/>
            <w:vAlign w:val="bottom"/>
            <w:tcBorders>
              <w:right w:val="single" w:sz="8" w:color="auto"/>
            </w:tcBorders>
          </w:tcPr>
          <w:p>
            <w:pPr>
              <w:spacing w:after="0"/>
              <w:rPr>
                <w:sz w:val="14"/>
                <w:szCs w:val="14"/>
                <w:color w:val="auto"/>
              </w:rPr>
            </w:pPr>
          </w:p>
        </w:tc>
        <w:tc>
          <w:tcPr>
            <w:tcW w:w="3360" w:type="dxa"/>
            <w:vAlign w:val="bottom"/>
            <w:tcBorders>
              <w:right w:val="single" w:sz="8" w:color="auto"/>
            </w:tcBorders>
          </w:tcPr>
          <w:p>
            <w:pPr>
              <w:spacing w:after="0"/>
              <w:rPr>
                <w:sz w:val="20"/>
                <w:szCs w:val="20"/>
                <w:color w:val="auto"/>
              </w:rPr>
            </w:pPr>
            <w:r>
              <w:rPr>
                <w:rFonts w:ascii="Calibri" w:cs="Calibri" w:eastAsia="Calibri" w:hAnsi="Calibri"/>
                <w:sz w:val="13"/>
                <w:szCs w:val="13"/>
                <w:color w:val="auto"/>
              </w:rPr>
              <w:t>Wealth Management and Corporate Finance</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18</w:t>
            </w:r>
          </w:p>
        </w:tc>
        <w:tc>
          <w:tcPr>
            <w:tcW w:w="1100" w:type="dxa"/>
            <w:vAlign w:val="bottom"/>
          </w:tcPr>
          <w:p>
            <w:pPr>
              <w:jc w:val="center"/>
              <w:spacing w:after="0"/>
              <w:rPr>
                <w:sz w:val="20"/>
                <w:szCs w:val="20"/>
                <w:color w:val="auto"/>
              </w:rPr>
            </w:pPr>
            <w:r>
              <w:rPr>
                <w:rFonts w:ascii="Calibri" w:cs="Calibri" w:eastAsia="Calibri" w:hAnsi="Calibri"/>
                <w:sz w:val="13"/>
                <w:szCs w:val="13"/>
                <w:color w:val="auto"/>
                <w:w w:val="90"/>
              </w:rPr>
              <w:t>15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20</w:t>
            </w:r>
          </w:p>
        </w:tc>
        <w:tc>
          <w:tcPr>
            <w:tcW w:w="780" w:type="dxa"/>
            <w:vAlign w:val="bottom"/>
          </w:tcPr>
          <w:p>
            <w:pPr>
              <w:jc w:val="center"/>
              <w:spacing w:after="0"/>
              <w:rPr>
                <w:sz w:val="20"/>
                <w:szCs w:val="20"/>
                <w:color w:val="auto"/>
              </w:rPr>
            </w:pPr>
            <w:r>
              <w:rPr>
                <w:rFonts w:ascii="Calibri" w:cs="Calibri" w:eastAsia="Calibri" w:hAnsi="Calibri"/>
                <w:sz w:val="13"/>
                <w:szCs w:val="13"/>
                <w:color w:val="auto"/>
                <w:w w:val="98"/>
              </w:rPr>
              <w:t>32.5%</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12.8%</w:t>
            </w:r>
          </w:p>
        </w:tc>
        <w:tc>
          <w:tcPr>
            <w:tcW w:w="740" w:type="dxa"/>
            <w:vAlign w:val="bottom"/>
          </w:tcPr>
          <w:p>
            <w:pPr>
              <w:jc w:val="center"/>
              <w:ind w:left="155"/>
              <w:spacing w:after="0"/>
              <w:rPr>
                <w:sz w:val="20"/>
                <w:szCs w:val="20"/>
                <w:color w:val="auto"/>
              </w:rPr>
            </w:pPr>
            <w:r>
              <w:rPr>
                <w:rFonts w:ascii="Calibri" w:cs="Calibri" w:eastAsia="Calibri" w:hAnsi="Calibri"/>
                <w:sz w:val="13"/>
                <w:szCs w:val="13"/>
                <w:color w:val="auto"/>
                <w:w w:val="90"/>
              </w:rPr>
              <w:t>27</w:t>
            </w:r>
          </w:p>
        </w:tc>
        <w:tc>
          <w:tcPr>
            <w:tcW w:w="126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0"/>
              </w:rPr>
              <w:t>35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28.5%</w:t>
            </w:r>
          </w:p>
        </w:tc>
      </w:tr>
      <w:tr>
        <w:trPr>
          <w:trHeight w:val="189"/>
        </w:trPr>
        <w:tc>
          <w:tcPr>
            <w:tcW w:w="40" w:type="dxa"/>
            <w:vAlign w:val="bottom"/>
            <w:tcBorders>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spacing w:after="0" w:line="189" w:lineRule="exact"/>
              <w:rPr>
                <w:sz w:val="20"/>
                <w:szCs w:val="20"/>
                <w:color w:val="auto"/>
              </w:rPr>
            </w:pPr>
            <w:r>
              <w:rPr>
                <w:rFonts w:ascii="Calibri" w:cs="Calibri" w:eastAsia="Calibri" w:hAnsi="Calibri"/>
                <w:sz w:val="13"/>
                <w:szCs w:val="13"/>
                <w:color w:val="auto"/>
              </w:rPr>
              <w:t xml:space="preserve">Others </w:t>
            </w:r>
            <w:r>
              <w:rPr>
                <w:rFonts w:ascii="Calibri" w:cs="Calibri" w:eastAsia="Calibri" w:hAnsi="Calibri"/>
                <w:sz w:val="20"/>
                <w:szCs w:val="20"/>
                <w:color w:val="auto"/>
                <w:vertAlign w:val="superscript"/>
              </w:rPr>
              <w:t>(5)</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rPr>
              <w:t>11</w:t>
            </w:r>
          </w:p>
        </w:tc>
        <w:tc>
          <w:tcPr>
            <w:tcW w:w="110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w w:val="90"/>
              </w:rPr>
              <w:t>14</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18</w:t>
            </w:r>
          </w:p>
        </w:tc>
        <w:tc>
          <w:tcPr>
            <w:tcW w:w="78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w w:val="98"/>
              </w:rPr>
              <w:t>30.8%</w:t>
            </w:r>
          </w:p>
        </w:tc>
        <w:tc>
          <w:tcPr>
            <w:tcW w:w="8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w w:val="98"/>
              </w:rPr>
              <w:t>59.5%</w:t>
            </w:r>
          </w:p>
        </w:tc>
        <w:tc>
          <w:tcPr>
            <w:tcW w:w="740" w:type="dxa"/>
            <w:vAlign w:val="bottom"/>
            <w:tcBorders>
              <w:bottom w:val="single" w:sz="8" w:color="auto"/>
            </w:tcBorders>
          </w:tcPr>
          <w:p>
            <w:pPr>
              <w:jc w:val="center"/>
              <w:ind w:left="155"/>
              <w:spacing w:after="0"/>
              <w:rPr>
                <w:sz w:val="20"/>
                <w:szCs w:val="20"/>
                <w:color w:val="auto"/>
              </w:rPr>
            </w:pPr>
            <w:r>
              <w:rPr>
                <w:rFonts w:ascii="Calibri" w:cs="Calibri" w:eastAsia="Calibri" w:hAnsi="Calibri"/>
                <w:sz w:val="13"/>
                <w:szCs w:val="13"/>
                <w:color w:val="auto"/>
                <w:w w:val="90"/>
              </w:rPr>
              <w:t>21</w:t>
            </w:r>
          </w:p>
        </w:tc>
        <w:tc>
          <w:tcPr>
            <w:tcW w:w="1260" w:type="dxa"/>
            <w:vAlign w:val="bottom"/>
            <w:tcBorders>
              <w:bottom w:val="single" w:sz="8" w:color="auto"/>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0"/>
              </w:rPr>
              <w:t>32</w:t>
            </w:r>
          </w:p>
        </w:tc>
        <w:tc>
          <w:tcPr>
            <w:tcW w:w="11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54.1%</w:t>
            </w:r>
          </w:p>
        </w:tc>
      </w:tr>
      <w:tr>
        <w:trPr>
          <w:trHeight w:val="155"/>
        </w:trPr>
        <w:tc>
          <w:tcPr>
            <w:tcW w:w="40" w:type="dxa"/>
            <w:vAlign w:val="bottom"/>
            <w:tcBorders>
              <w:right w:val="single" w:sz="8" w:color="auto"/>
            </w:tcBorders>
          </w:tcPr>
          <w:p>
            <w:pPr>
              <w:spacing w:after="0"/>
              <w:rPr>
                <w:sz w:val="13"/>
                <w:szCs w:val="13"/>
                <w:color w:val="auto"/>
              </w:rPr>
            </w:pPr>
          </w:p>
        </w:tc>
        <w:tc>
          <w:tcPr>
            <w:tcW w:w="3360" w:type="dxa"/>
            <w:vAlign w:val="bottom"/>
            <w:tcBorders>
              <w:bottom w:val="single" w:sz="8" w:color="auto"/>
              <w:right w:val="single" w:sz="8" w:color="auto"/>
            </w:tcBorders>
          </w:tcPr>
          <w:p>
            <w:pPr>
              <w:spacing w:after="0" w:line="149" w:lineRule="exact"/>
              <w:rPr>
                <w:sz w:val="20"/>
                <w:szCs w:val="20"/>
                <w:color w:val="auto"/>
              </w:rPr>
            </w:pPr>
            <w:r>
              <w:rPr>
                <w:rFonts w:ascii="Calibri" w:cs="Calibri" w:eastAsia="Calibri" w:hAnsi="Calibri"/>
                <w:sz w:val="13"/>
                <w:szCs w:val="13"/>
                <w:b w:val="1"/>
                <w:bCs w:val="1"/>
                <w:color w:val="auto"/>
              </w:rPr>
              <w:t>Total</w:t>
            </w:r>
          </w:p>
        </w:tc>
        <w:tc>
          <w:tcPr>
            <w:tcW w:w="100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rPr>
              <w:t>743</w:t>
            </w:r>
          </w:p>
        </w:tc>
        <w:tc>
          <w:tcPr>
            <w:tcW w:w="110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rPr>
              <w:t>831</w:t>
            </w:r>
          </w:p>
        </w:tc>
        <w:tc>
          <w:tcPr>
            <w:tcW w:w="1040" w:type="dxa"/>
            <w:vAlign w:val="bottom"/>
            <w:tcBorders>
              <w:bottom w:val="single" w:sz="8" w:color="auto"/>
              <w:right w:val="single" w:sz="8" w:color="auto"/>
            </w:tcBorders>
          </w:tcPr>
          <w:p>
            <w:pPr>
              <w:jc w:val="center"/>
              <w:ind w:right="15"/>
              <w:spacing w:after="0" w:line="149" w:lineRule="exact"/>
              <w:rPr>
                <w:sz w:val="20"/>
                <w:szCs w:val="20"/>
                <w:color w:val="auto"/>
              </w:rPr>
            </w:pPr>
            <w:r>
              <w:rPr>
                <w:rFonts w:ascii="Calibri" w:cs="Calibri" w:eastAsia="Calibri" w:hAnsi="Calibri"/>
                <w:sz w:val="13"/>
                <w:szCs w:val="13"/>
                <w:b w:val="1"/>
                <w:bCs w:val="1"/>
                <w:color w:val="auto"/>
              </w:rPr>
              <w:t>854</w:t>
            </w:r>
          </w:p>
        </w:tc>
        <w:tc>
          <w:tcPr>
            <w:tcW w:w="78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9"/>
              </w:rPr>
              <w:t>2.7%</w:t>
            </w:r>
          </w:p>
        </w:tc>
        <w:tc>
          <w:tcPr>
            <w:tcW w:w="800" w:type="dxa"/>
            <w:vAlign w:val="bottom"/>
            <w:tcBorders>
              <w:bottom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7"/>
              </w:rPr>
              <w:t>15.0%</w:t>
            </w:r>
          </w:p>
        </w:tc>
        <w:tc>
          <w:tcPr>
            <w:tcW w:w="740" w:type="dxa"/>
            <w:vAlign w:val="bottom"/>
            <w:tcBorders>
              <w:bottom w:val="single" w:sz="8" w:color="auto"/>
            </w:tcBorders>
          </w:tcPr>
          <w:p>
            <w:pPr>
              <w:jc w:val="center"/>
              <w:ind w:left="175"/>
              <w:spacing w:after="0" w:line="149" w:lineRule="exact"/>
              <w:rPr>
                <w:sz w:val="20"/>
                <w:szCs w:val="20"/>
                <w:color w:val="auto"/>
              </w:rPr>
            </w:pPr>
            <w:r>
              <w:rPr>
                <w:rFonts w:ascii="Calibri" w:cs="Calibri" w:eastAsia="Calibri" w:hAnsi="Calibri"/>
                <w:sz w:val="13"/>
                <w:szCs w:val="13"/>
                <w:b w:val="1"/>
                <w:bCs w:val="1"/>
                <w:color w:val="auto"/>
              </w:rPr>
              <w:t>1,447</w:t>
            </w:r>
          </w:p>
        </w:tc>
        <w:tc>
          <w:tcPr>
            <w:tcW w:w="1260" w:type="dxa"/>
            <w:vAlign w:val="bottom"/>
            <w:tcBorders>
              <w:bottom w:val="single" w:sz="8" w:color="auto"/>
              <w:right w:val="single" w:sz="8" w:color="auto"/>
            </w:tcBorders>
          </w:tcPr>
          <w:p>
            <w:pPr>
              <w:jc w:val="center"/>
              <w:ind w:left="135"/>
              <w:spacing w:after="0" w:line="149" w:lineRule="exact"/>
              <w:rPr>
                <w:sz w:val="20"/>
                <w:szCs w:val="20"/>
                <w:color w:val="auto"/>
              </w:rPr>
            </w:pPr>
            <w:r>
              <w:rPr>
                <w:rFonts w:ascii="Calibri" w:cs="Calibri" w:eastAsia="Calibri" w:hAnsi="Calibri"/>
                <w:sz w:val="13"/>
                <w:szCs w:val="13"/>
                <w:b w:val="1"/>
                <w:bCs w:val="1"/>
                <w:color w:val="auto"/>
              </w:rPr>
              <w:t>1,685</w:t>
            </w:r>
          </w:p>
        </w:tc>
        <w:tc>
          <w:tcPr>
            <w:tcW w:w="1140" w:type="dxa"/>
            <w:vAlign w:val="bottom"/>
            <w:tcBorders>
              <w:bottom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rPr>
              <w:t>16.5%</w:t>
            </w:r>
          </w:p>
        </w:tc>
      </w:tr>
      <w:tr>
        <w:trPr>
          <w:trHeight w:val="134"/>
        </w:trPr>
        <w:tc>
          <w:tcPr>
            <w:tcW w:w="4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alibri" w:cs="Calibri" w:eastAsia="Calibri" w:hAnsi="Calibri"/>
                <w:sz w:val="11"/>
                <w:szCs w:val="11"/>
                <w:color w:val="auto"/>
              </w:rPr>
              <w:t>(*) Management Figures.</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ind w:firstLine="4"/>
        <w:spacing w:after="0" w:line="218" w:lineRule="auto"/>
        <w:tabs>
          <w:tab w:leader="none" w:pos="158" w:val="left"/>
        </w:tabs>
        <w:numPr>
          <w:ilvl w:val="0"/>
          <w:numId w:val="33"/>
        </w:numPr>
        <w:rPr>
          <w:rFonts w:ascii="Calibri" w:cs="Calibri" w:eastAsia="Calibri" w:hAnsi="Calibri"/>
          <w:sz w:val="11"/>
          <w:szCs w:val="11"/>
          <w:color w:val="auto"/>
        </w:rPr>
      </w:pPr>
      <w:r>
        <w:rPr>
          <w:rFonts w:ascii="Calibri" w:cs="Calibri" w:eastAsia="Calibri" w:hAnsi="Calibri"/>
          <w:sz w:val="11"/>
          <w:szCs w:val="11"/>
          <w:color w:val="auto"/>
        </w:rPr>
        <w:t>Corresponds to fees from credit and debit cards, payments and collectons. Beginning in 1Q25, accountng reclassifcatons related to expenses associated with the credit card loyalty program have been incorporated. These reclassifcatons afected Administratve and General Expenses and Fee Income. Figures for prior periods have been restated for comparability and may difer from those previously reported.</w:t>
      </w:r>
    </w:p>
    <w:p>
      <w:pPr>
        <w:ind w:left="160" w:hanging="156"/>
        <w:spacing w:after="0" w:line="232" w:lineRule="auto"/>
        <w:tabs>
          <w:tab w:leader="none" w:pos="160" w:val="left"/>
        </w:tabs>
        <w:numPr>
          <w:ilvl w:val="0"/>
          <w:numId w:val="33"/>
        </w:numPr>
        <w:rPr>
          <w:rFonts w:ascii="Calibri" w:cs="Calibri" w:eastAsia="Calibri" w:hAnsi="Calibri"/>
          <w:sz w:val="11"/>
          <w:szCs w:val="11"/>
          <w:color w:val="auto"/>
        </w:rPr>
      </w:pPr>
      <w:r>
        <w:rPr>
          <w:rFonts w:ascii="Calibri" w:cs="Calibri" w:eastAsia="Calibri" w:hAnsi="Calibri"/>
          <w:sz w:val="11"/>
          <w:szCs w:val="11"/>
          <w:color w:val="auto"/>
        </w:rPr>
        <w:t>Not includes fees related to E-Commerce. Not includes FX and remitances. Beginning in 1Q25, accountng reclassifcatons associated with Yape’s transactonal fee expenses have been incorporated.</w:t>
      </w:r>
    </w:p>
    <w:p>
      <w:pPr>
        <w:spacing w:after="0" w:line="233" w:lineRule="auto"/>
        <w:rPr>
          <w:sz w:val="20"/>
          <w:szCs w:val="20"/>
          <w:color w:val="auto"/>
        </w:rPr>
      </w:pPr>
      <w:r>
        <w:rPr>
          <w:rFonts w:ascii="Calibri" w:cs="Calibri" w:eastAsia="Calibri" w:hAnsi="Calibri"/>
          <w:sz w:val="11"/>
          <w:szCs w:val="11"/>
          <w:color w:val="auto"/>
        </w:rPr>
        <w:t>These reclassifcatons afected Administratve and General Expenses and Fee Income. Figures for prior periods have been restated for comparability and may difer from those previously reported.</w:t>
      </w:r>
    </w:p>
    <w:p>
      <w:pPr>
        <w:ind w:left="160" w:hanging="156"/>
        <w:spacing w:after="0" w:line="232" w:lineRule="auto"/>
        <w:tabs>
          <w:tab w:leader="none" w:pos="160" w:val="left"/>
        </w:tabs>
        <w:numPr>
          <w:ilvl w:val="0"/>
          <w:numId w:val="34"/>
        </w:numPr>
        <w:rPr>
          <w:rFonts w:ascii="Calibri" w:cs="Calibri" w:eastAsia="Calibri" w:hAnsi="Calibri"/>
          <w:sz w:val="11"/>
          <w:szCs w:val="11"/>
          <w:color w:val="auto"/>
        </w:rPr>
      </w:pPr>
      <w:r>
        <w:rPr>
          <w:rFonts w:ascii="Calibri" w:cs="Calibri" w:eastAsia="Calibri" w:hAnsi="Calibri"/>
          <w:sz w:val="11"/>
          <w:szCs w:val="11"/>
          <w:color w:val="auto"/>
        </w:rPr>
        <w:t>Corresponds to fees from Account maintenance, interbank transfers, natonal transfers, and internatonal transfers.</w:t>
      </w:r>
    </w:p>
    <w:p>
      <w:pPr>
        <w:ind w:left="160" w:hanging="156"/>
        <w:spacing w:after="0" w:line="232" w:lineRule="auto"/>
        <w:tabs>
          <w:tab w:leader="none" w:pos="160" w:val="left"/>
        </w:tabs>
        <w:numPr>
          <w:ilvl w:val="0"/>
          <w:numId w:val="34"/>
        </w:numPr>
        <w:rPr>
          <w:rFonts w:ascii="Calibri" w:cs="Calibri" w:eastAsia="Calibri" w:hAnsi="Calibri"/>
          <w:sz w:val="11"/>
          <w:szCs w:val="11"/>
          <w:color w:val="auto"/>
        </w:rPr>
      </w:pPr>
      <w:r>
        <w:rPr>
          <w:rFonts w:ascii="Calibri" w:cs="Calibri" w:eastAsia="Calibri" w:hAnsi="Calibri"/>
          <w:sz w:val="11"/>
          <w:szCs w:val="11"/>
          <w:color w:val="auto"/>
        </w:rPr>
        <w:t>Corresponds to fees from retail and wholesale loan disbursements.</w:t>
      </w:r>
    </w:p>
    <w:p>
      <w:pPr>
        <w:ind w:left="160" w:hanging="156"/>
        <w:spacing w:after="0" w:line="232" w:lineRule="auto"/>
        <w:tabs>
          <w:tab w:leader="none" w:pos="160" w:val="left"/>
        </w:tabs>
        <w:numPr>
          <w:ilvl w:val="0"/>
          <w:numId w:val="34"/>
        </w:numPr>
        <w:rPr>
          <w:rFonts w:ascii="Calibri" w:cs="Calibri" w:eastAsia="Calibri" w:hAnsi="Calibri"/>
          <w:sz w:val="11"/>
          <w:szCs w:val="11"/>
          <w:color w:val="auto"/>
        </w:rPr>
      </w:pPr>
      <w:r>
        <w:rPr>
          <w:rFonts w:ascii="Calibri" w:cs="Calibri" w:eastAsia="Calibri" w:hAnsi="Calibri"/>
          <w:sz w:val="11"/>
          <w:szCs w:val="11"/>
          <w:color w:val="auto"/>
        </w:rPr>
        <w:t>Use of third-party networks, other services to third partes, and Commissions in foreign branches.</w:t>
      </w:r>
    </w:p>
    <w:p>
      <w:pPr>
        <w:spacing w:after="0" w:line="15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QoQ, Fee Income </w:t>
      </w:r>
      <w:r>
        <w:rPr>
          <w:rFonts w:ascii="Calibri" w:cs="Calibri" w:eastAsia="Calibri" w:hAnsi="Calibri"/>
          <w:sz w:val="17"/>
          <w:szCs w:val="17"/>
          <w:color w:val="auto"/>
        </w:rPr>
        <w:t>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rose 2.7%, driven by growth via:</w:t>
      </w:r>
    </w:p>
    <w:p>
      <w:pPr>
        <w:spacing w:after="0" w:line="1" w:lineRule="exact"/>
        <w:rPr>
          <w:sz w:val="20"/>
          <w:szCs w:val="20"/>
          <w:color w:val="auto"/>
        </w:rPr>
      </w:pPr>
    </w:p>
    <w:p>
      <w:pPr>
        <w:ind w:left="780" w:hanging="308"/>
        <w:spacing w:after="0"/>
        <w:tabs>
          <w:tab w:leader="none" w:pos="780" w:val="left"/>
        </w:tabs>
        <w:numPr>
          <w:ilvl w:val="0"/>
          <w:numId w:val="35"/>
        </w:numPr>
        <w:rPr>
          <w:rFonts w:ascii="Calibri" w:cs="Calibri" w:eastAsia="Calibri" w:hAnsi="Calibri"/>
          <w:sz w:val="17"/>
          <w:szCs w:val="17"/>
          <w:color w:val="auto"/>
        </w:rPr>
      </w:pPr>
      <w:r>
        <w:rPr>
          <w:rFonts w:ascii="Calibri" w:cs="Calibri" w:eastAsia="Calibri" w:hAnsi="Calibri"/>
          <w:sz w:val="17"/>
          <w:szCs w:val="17"/>
          <w:b w:val="1"/>
          <w:bCs w:val="1"/>
          <w:color w:val="auto"/>
        </w:rPr>
        <w:t>Yape</w:t>
      </w:r>
      <w:r>
        <w:rPr>
          <w:rFonts w:ascii="Calibri" w:cs="Calibri" w:eastAsia="Calibri" w:hAnsi="Calibri"/>
          <w:sz w:val="17"/>
          <w:szCs w:val="17"/>
          <w:color w:val="auto"/>
        </w:rPr>
        <w:t>, mainly due to Bill Payments and Checkout.</w:t>
      </w:r>
    </w:p>
    <w:p>
      <w:pPr>
        <w:spacing w:after="0" w:line="2" w:lineRule="exact"/>
        <w:rPr>
          <w:rFonts w:ascii="Calibri" w:cs="Calibri" w:eastAsia="Calibri" w:hAnsi="Calibri"/>
          <w:sz w:val="17"/>
          <w:szCs w:val="17"/>
          <w:color w:val="auto"/>
        </w:rPr>
      </w:pPr>
    </w:p>
    <w:p>
      <w:pPr>
        <w:jc w:val="both"/>
        <w:ind w:left="780" w:hanging="308"/>
        <w:spacing w:after="0" w:line="239" w:lineRule="auto"/>
        <w:tabs>
          <w:tab w:leader="none" w:pos="780" w:val="left"/>
        </w:tabs>
        <w:numPr>
          <w:ilvl w:val="0"/>
          <w:numId w:val="35"/>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Core Business, </w:t>
      </w:r>
      <w:r>
        <w:rPr>
          <w:rFonts w:ascii="Calibri" w:cs="Calibri" w:eastAsia="Calibri" w:hAnsi="Calibri"/>
          <w:sz w:val="17"/>
          <w:szCs w:val="17"/>
          <w:color w:val="auto"/>
        </w:rPr>
        <w:t>represented by accountng lines with more recurring and stable results, showed improved performance, mainly driven by</w:t>
      </w:r>
      <w:r>
        <w:rPr>
          <w:rFonts w:ascii="Calibri" w:cs="Calibri" w:eastAsia="Calibri" w:hAnsi="Calibri"/>
          <w:sz w:val="17"/>
          <w:szCs w:val="17"/>
          <w:b w:val="1"/>
          <w:bCs w:val="1"/>
          <w:color w:val="auto"/>
        </w:rPr>
        <w:t xml:space="preserve"> Loan disbursements, </w:t>
      </w:r>
      <w:r>
        <w:rPr>
          <w:rFonts w:ascii="Calibri" w:cs="Calibri" w:eastAsia="Calibri" w:hAnsi="Calibri"/>
          <w:sz w:val="17"/>
          <w:szCs w:val="17"/>
          <w:color w:val="auto"/>
        </w:rPr>
        <w:t>in line with recovery in structural commercial loans. To a lesser extent</w:t>
      </w:r>
      <w:r>
        <w:rPr>
          <w:rFonts w:ascii="Calibri" w:cs="Calibri" w:eastAsia="Calibri" w:hAnsi="Calibri"/>
          <w:sz w:val="17"/>
          <w:szCs w:val="17"/>
          <w:b w:val="1"/>
          <w:bCs w:val="1"/>
          <w:color w:val="auto"/>
        </w:rPr>
        <w:t>, Payment and transactonal services</w:t>
      </w:r>
      <w:r>
        <w:rPr>
          <w:rFonts w:ascii="Calibri" w:cs="Calibri" w:eastAsia="Calibri" w:hAnsi="Calibri"/>
          <w:sz w:val="17"/>
          <w:szCs w:val="17"/>
          <w:color w:val="auto"/>
        </w:rPr>
        <w:t>, as well as</w:t>
      </w:r>
      <w:r>
        <w:rPr>
          <w:rFonts w:ascii="Calibri" w:cs="Calibri" w:eastAsia="Calibri" w:hAnsi="Calibri"/>
          <w:sz w:val="17"/>
          <w:szCs w:val="17"/>
          <w:b w:val="1"/>
          <w:bCs w:val="1"/>
          <w:color w:val="auto"/>
        </w:rPr>
        <w:t xml:space="preserve"> Liability and transactonal accounts</w:t>
      </w:r>
      <w:r>
        <w:rPr>
          <w:rFonts w:ascii="Calibri" w:cs="Calibri" w:eastAsia="Calibri" w:hAnsi="Calibri"/>
          <w:sz w:val="17"/>
          <w:szCs w:val="17"/>
          <w:color w:val="auto"/>
        </w:rPr>
        <w:t>, contributed to growth through an uptck in transactonal actvity.</w:t>
      </w:r>
    </w:p>
    <w:p>
      <w:pPr>
        <w:spacing w:after="0" w:line="3" w:lineRule="exact"/>
        <w:rPr>
          <w:rFonts w:ascii="Calibri" w:cs="Calibri" w:eastAsia="Calibri" w:hAnsi="Calibri"/>
          <w:sz w:val="17"/>
          <w:szCs w:val="17"/>
          <w:color w:val="auto"/>
        </w:rPr>
      </w:pPr>
    </w:p>
    <w:p>
      <w:pPr>
        <w:ind w:left="780" w:hanging="308"/>
        <w:spacing w:after="0"/>
        <w:tabs>
          <w:tab w:leader="none" w:pos="780" w:val="left"/>
        </w:tabs>
        <w:numPr>
          <w:ilvl w:val="0"/>
          <w:numId w:val="35"/>
        </w:numPr>
        <w:rPr>
          <w:rFonts w:ascii="Calibri" w:cs="Calibri" w:eastAsia="Calibri" w:hAnsi="Calibri"/>
          <w:sz w:val="17"/>
          <w:szCs w:val="17"/>
          <w:color w:val="auto"/>
        </w:rPr>
      </w:pPr>
      <w:r>
        <w:rPr>
          <w:rFonts w:ascii="Calibri" w:cs="Calibri" w:eastAsia="Calibri" w:hAnsi="Calibri"/>
          <w:sz w:val="17"/>
          <w:szCs w:val="17"/>
          <w:b w:val="1"/>
          <w:bCs w:val="1"/>
          <w:color w:val="auto"/>
        </w:rPr>
        <w:t>Wealth Management and Corporate Finance</w:t>
      </w:r>
      <w:r>
        <w:rPr>
          <w:rFonts w:ascii="Calibri" w:cs="Calibri" w:eastAsia="Calibri" w:hAnsi="Calibri"/>
          <w:sz w:val="17"/>
          <w:szCs w:val="17"/>
          <w:color w:val="auto"/>
        </w:rPr>
        <w:t>, due to extraordinary income in the month of April from structuring and advisory fees.</w:t>
      </w:r>
    </w:p>
    <w:p>
      <w:pPr>
        <w:spacing w:after="0" w:line="22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Expansion was partally ofset by a drop in </w:t>
      </w:r>
      <w:r>
        <w:rPr>
          <w:rFonts w:ascii="Calibri" w:cs="Calibri" w:eastAsia="Calibri" w:hAnsi="Calibri"/>
          <w:sz w:val="17"/>
          <w:szCs w:val="17"/>
          <w:b w:val="1"/>
          <w:bCs w:val="1"/>
          <w:color w:val="auto"/>
        </w:rPr>
        <w:t>Insurance</w:t>
      </w:r>
      <w:r>
        <w:rPr>
          <w:rFonts w:ascii="Calibri" w:cs="Calibri" w:eastAsia="Calibri" w:hAnsi="Calibri"/>
          <w:sz w:val="17"/>
          <w:szCs w:val="17"/>
          <w:color w:val="auto"/>
        </w:rPr>
        <w:t>, which refects a base efect given that in 1Q25, extraordinary income was reported for D&amp;S insurance.</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YoY</w:t>
      </w: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 Fee Income </w:t>
      </w:r>
      <w:r>
        <w:rPr>
          <w:rFonts w:ascii="Calibri" w:cs="Calibri" w:eastAsia="Calibri" w:hAnsi="Calibri"/>
          <w:sz w:val="17"/>
          <w:szCs w:val="17"/>
          <w:color w:val="auto"/>
        </w:rPr>
        <w:t>rose 15.0%, fueled mainly by growth in:</w:t>
      </w:r>
    </w:p>
    <w:p>
      <w:pPr>
        <w:spacing w:after="0" w:line="1" w:lineRule="exact"/>
        <w:rPr>
          <w:sz w:val="20"/>
          <w:szCs w:val="20"/>
          <w:color w:val="auto"/>
        </w:rPr>
      </w:pPr>
    </w:p>
    <w:p>
      <w:pPr>
        <w:ind w:left="780" w:hanging="308"/>
        <w:spacing w:after="0"/>
        <w:tabs>
          <w:tab w:leader="none" w:pos="780" w:val="left"/>
        </w:tabs>
        <w:numPr>
          <w:ilvl w:val="0"/>
          <w:numId w:val="36"/>
        </w:numPr>
        <w:rPr>
          <w:rFonts w:ascii="Calibri" w:cs="Calibri" w:eastAsia="Calibri" w:hAnsi="Calibri"/>
          <w:sz w:val="17"/>
          <w:szCs w:val="17"/>
          <w:color w:val="auto"/>
        </w:rPr>
      </w:pPr>
      <w:r>
        <w:rPr>
          <w:rFonts w:ascii="Calibri" w:cs="Calibri" w:eastAsia="Calibri" w:hAnsi="Calibri"/>
          <w:sz w:val="17"/>
          <w:szCs w:val="17"/>
          <w:b w:val="1"/>
          <w:bCs w:val="1"/>
          <w:color w:val="auto"/>
        </w:rPr>
        <w:t>Yape</w:t>
      </w:r>
      <w:r>
        <w:rPr>
          <w:rFonts w:ascii="Calibri" w:cs="Calibri" w:eastAsia="Calibri" w:hAnsi="Calibri"/>
          <w:sz w:val="17"/>
          <w:szCs w:val="17"/>
          <w:color w:val="auto"/>
        </w:rPr>
        <w:t>, which accounted for 56% of growth in fee income, boosted by Bill Payments and Merchant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708660</wp:posOffset>
            </wp:positionV>
            <wp:extent cx="713740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138430</wp:posOffset>
            </wp:positionV>
            <wp:extent cx="6451600" cy="4292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51600" cy="429260"/>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34" w:name="page35"/>
    <w:bookmarkEnd w:id="34"/>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380" w:hanging="307"/>
        <w:spacing w:after="0"/>
        <w:tabs>
          <w:tab w:leader="none" w:pos="380" w:val="left"/>
        </w:tabs>
        <w:numPr>
          <w:ilvl w:val="0"/>
          <w:numId w:val="37"/>
        </w:numPr>
        <w:rPr>
          <w:rFonts w:ascii="Calibri" w:cs="Calibri" w:eastAsia="Calibri" w:hAnsi="Calibri"/>
          <w:sz w:val="21"/>
          <w:szCs w:val="21"/>
          <w:b w:val="1"/>
          <w:bCs w:val="1"/>
          <w:color w:val="FFFFFF"/>
        </w:rPr>
      </w:pPr>
      <w:r>
        <w:rPr>
          <w:rFonts w:ascii="Calibri" w:cs="Calibri" w:eastAsia="Calibri" w:hAnsi="Calibri"/>
          <w:sz w:val="21"/>
          <w:szCs w:val="21"/>
          <w:b w:val="1"/>
          <w:bCs w:val="1"/>
          <w:color w:val="FFFFFF"/>
        </w:rPr>
        <w:t>Other Income</w:t>
      </w:r>
    </w:p>
    <w:p>
      <w:pPr>
        <w:spacing w:after="0" w:line="57" w:lineRule="exact"/>
        <w:rPr>
          <w:rFonts w:ascii="Calibri" w:cs="Calibri" w:eastAsia="Calibri" w:hAnsi="Calibri"/>
          <w:sz w:val="21"/>
          <w:szCs w:val="21"/>
          <w:b w:val="1"/>
          <w:bCs w:val="1"/>
          <w:color w:val="FFFFFF"/>
        </w:rPr>
      </w:pPr>
    </w:p>
    <w:p>
      <w:pPr>
        <w:jc w:val="both"/>
        <w:ind w:left="780" w:hanging="308"/>
        <w:spacing w:after="0" w:line="239" w:lineRule="auto"/>
        <w:tabs>
          <w:tab w:leader="none" w:pos="780" w:val="left"/>
        </w:tabs>
        <w:numPr>
          <w:ilvl w:val="1"/>
          <w:numId w:val="37"/>
        </w:numPr>
        <w:rPr>
          <w:rFonts w:ascii="Calibri" w:cs="Calibri" w:eastAsia="Calibri" w:hAnsi="Calibri"/>
          <w:sz w:val="17"/>
          <w:szCs w:val="17"/>
          <w:color w:val="auto"/>
        </w:rPr>
      </w:pPr>
      <w:r>
        <w:rPr>
          <w:rFonts w:ascii="Calibri" w:cs="Calibri" w:eastAsia="Calibri" w:hAnsi="Calibri"/>
          <w:sz w:val="17"/>
          <w:szCs w:val="17"/>
          <w:b w:val="1"/>
          <w:bCs w:val="1"/>
          <w:color w:val="auto"/>
        </w:rPr>
        <w:t>Core businesses</w:t>
      </w:r>
      <w:r>
        <w:rPr>
          <w:rFonts w:ascii="Calibri" w:cs="Calibri" w:eastAsia="Calibri" w:hAnsi="Calibri"/>
          <w:sz w:val="17"/>
          <w:szCs w:val="17"/>
          <w:color w:val="auto"/>
        </w:rPr>
        <w:t>, where commission growth was mainly driven by (i)</w:t>
      </w:r>
      <w:r>
        <w:rPr>
          <w:rFonts w:ascii="Calibri" w:cs="Calibri" w:eastAsia="Calibri" w:hAnsi="Calibri"/>
          <w:sz w:val="17"/>
          <w:szCs w:val="17"/>
          <w:b w:val="1"/>
          <w:bCs w:val="1"/>
          <w:color w:val="auto"/>
        </w:rPr>
        <w:t xml:space="preserve"> Payment and transactonal services</w:t>
      </w:r>
      <w:r>
        <w:rPr>
          <w:rFonts w:ascii="Calibri" w:cs="Calibri" w:eastAsia="Calibri" w:hAnsi="Calibri"/>
          <w:sz w:val="17"/>
          <w:szCs w:val="17"/>
          <w:color w:val="auto"/>
        </w:rPr>
        <w:t>, which accounted for 21% of the increase, rose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on the back of higher billing in credit and debit cards, and (ii) </w:t>
      </w:r>
      <w:r>
        <w:rPr>
          <w:rFonts w:ascii="Calibri" w:cs="Calibri" w:eastAsia="Calibri" w:hAnsi="Calibri"/>
          <w:sz w:val="17"/>
          <w:szCs w:val="17"/>
          <w:b w:val="1"/>
          <w:bCs w:val="1"/>
          <w:color w:val="auto"/>
        </w:rPr>
        <w:t>Liability and transactonal accounts</w:t>
      </w:r>
      <w:r>
        <w:rPr>
          <w:rFonts w:ascii="Calibri" w:cs="Calibri" w:eastAsia="Calibri" w:hAnsi="Calibri"/>
          <w:sz w:val="17"/>
          <w:szCs w:val="17"/>
          <w:color w:val="auto"/>
        </w:rPr>
        <w:t>, which contributed 10% of the growth, associated with higher volumes of interbank and internatonal transfers, as well as an increase in current account openings.</w:t>
      </w:r>
    </w:p>
    <w:p>
      <w:pPr>
        <w:spacing w:after="0" w:line="21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YTD, Fee Income </w:t>
      </w:r>
      <w:r>
        <w:rPr>
          <w:rFonts w:ascii="Calibri" w:cs="Calibri" w:eastAsia="Calibri" w:hAnsi="Calibri"/>
          <w:sz w:val="17"/>
          <w:szCs w:val="17"/>
          <w:color w:val="auto"/>
        </w:rPr>
        <w:t>rose 16.5%, primarily due to:</w:t>
      </w:r>
    </w:p>
    <w:p>
      <w:pPr>
        <w:spacing w:after="0" w:line="2" w:lineRule="exact"/>
        <w:rPr>
          <w:sz w:val="20"/>
          <w:szCs w:val="20"/>
          <w:color w:val="auto"/>
        </w:rPr>
      </w:pPr>
    </w:p>
    <w:p>
      <w:pPr>
        <w:ind w:left="780" w:hanging="308"/>
        <w:spacing w:after="0" w:line="239" w:lineRule="auto"/>
        <w:tabs>
          <w:tab w:leader="none" w:pos="780" w:val="left"/>
        </w:tabs>
        <w:numPr>
          <w:ilvl w:val="0"/>
          <w:numId w:val="38"/>
        </w:numPr>
        <w:rPr>
          <w:rFonts w:ascii="Calibri" w:cs="Calibri" w:eastAsia="Calibri" w:hAnsi="Calibri"/>
          <w:sz w:val="17"/>
          <w:szCs w:val="17"/>
          <w:color w:val="auto"/>
        </w:rPr>
      </w:pPr>
      <w:r>
        <w:rPr>
          <w:rFonts w:ascii="Calibri" w:cs="Calibri" w:eastAsia="Calibri" w:hAnsi="Calibri"/>
          <w:sz w:val="17"/>
          <w:szCs w:val="17"/>
          <w:b w:val="1"/>
          <w:bCs w:val="1"/>
          <w:color w:val="auto"/>
        </w:rPr>
        <w:t>Yape</w:t>
      </w:r>
      <w:r>
        <w:rPr>
          <w:rFonts w:ascii="Calibri" w:cs="Calibri" w:eastAsia="Calibri" w:hAnsi="Calibri"/>
          <w:sz w:val="17"/>
          <w:szCs w:val="17"/>
          <w:color w:val="auto"/>
        </w:rPr>
        <w:t>, which accounted for 54% of the increase in fee income. The most mature functonalites, such as Bill Payments, Merchant fees, and Top-Ups were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main contributors, while new solutons like Checkout, Yape for Businesses, and Remitances are showing signifcant progress.</w:t>
      </w:r>
    </w:p>
    <w:p>
      <w:pPr>
        <w:spacing w:after="0" w:line="2" w:lineRule="exact"/>
        <w:rPr>
          <w:rFonts w:ascii="Calibri" w:cs="Calibri" w:eastAsia="Calibri" w:hAnsi="Calibri"/>
          <w:sz w:val="17"/>
          <w:szCs w:val="17"/>
          <w:color w:val="auto"/>
        </w:rPr>
      </w:pPr>
    </w:p>
    <w:p>
      <w:pPr>
        <w:jc w:val="both"/>
        <w:ind w:left="780" w:hanging="308"/>
        <w:spacing w:after="0"/>
        <w:tabs>
          <w:tab w:leader="none" w:pos="780" w:val="left"/>
        </w:tabs>
        <w:numPr>
          <w:ilvl w:val="0"/>
          <w:numId w:val="3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Core businesses, </w:t>
      </w:r>
      <w:r>
        <w:rPr>
          <w:rFonts w:ascii="Calibri" w:cs="Calibri" w:eastAsia="Calibri" w:hAnsi="Calibri"/>
          <w:sz w:val="17"/>
          <w:szCs w:val="17"/>
          <w:color w:val="auto"/>
        </w:rPr>
        <w:t>through, in order of impact,</w:t>
      </w:r>
      <w:r>
        <w:rPr>
          <w:rFonts w:ascii="Calibri" w:cs="Calibri" w:eastAsia="Calibri" w:hAnsi="Calibri"/>
          <w:sz w:val="17"/>
          <w:szCs w:val="17"/>
          <w:b w:val="1"/>
          <w:bCs w:val="1"/>
          <w:color w:val="auto"/>
        </w:rPr>
        <w:t xml:space="preserve"> (i) Payments and services, </w:t>
      </w:r>
      <w:r>
        <w:rPr>
          <w:rFonts w:ascii="Calibri" w:cs="Calibri" w:eastAsia="Calibri" w:hAnsi="Calibri"/>
          <w:sz w:val="17"/>
          <w:szCs w:val="17"/>
          <w:color w:val="auto"/>
        </w:rPr>
        <w:t>which fueled 15% of the growth in fee income through an uptck in transactons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with credit and debit cards. Merchant fees for credit and debit card transactons have been rising at double-digit rates (CAGR); this growth, however, has been partally atenuated by an increase in fees paid for the loyalty program and incentves, and (ii) </w:t>
      </w:r>
      <w:r>
        <w:rPr>
          <w:rFonts w:ascii="Calibri" w:cs="Calibri" w:eastAsia="Calibri" w:hAnsi="Calibri"/>
          <w:sz w:val="17"/>
          <w:szCs w:val="17"/>
          <w:b w:val="1"/>
          <w:bCs w:val="1"/>
          <w:color w:val="auto"/>
        </w:rPr>
        <w:t>Liability and transactonal account</w:t>
      </w:r>
      <w:r>
        <w:rPr>
          <w:rFonts w:ascii="Calibri" w:cs="Calibri" w:eastAsia="Calibri" w:hAnsi="Calibri"/>
          <w:sz w:val="17"/>
          <w:szCs w:val="17"/>
          <w:color w:val="auto"/>
        </w:rPr>
        <w:t>s, which rose on the back of Wires and Transfers (+8.9%) and Current Accounts (+12.5%) and through the same dynamics seen YoY; these accounts represented 12% of total growth in fee income over the period.</w:t>
      </w:r>
    </w:p>
    <w:p>
      <w:pPr>
        <w:spacing w:after="0" w:line="1" w:lineRule="exact"/>
        <w:rPr>
          <w:rFonts w:ascii="Calibri" w:cs="Calibri" w:eastAsia="Calibri" w:hAnsi="Calibri"/>
          <w:sz w:val="17"/>
          <w:szCs w:val="17"/>
          <w:color w:val="auto"/>
        </w:rPr>
      </w:pPr>
    </w:p>
    <w:p>
      <w:pPr>
        <w:ind w:left="780" w:hanging="308"/>
        <w:spacing w:after="0"/>
        <w:tabs>
          <w:tab w:leader="none" w:pos="780" w:val="left"/>
        </w:tabs>
        <w:numPr>
          <w:ilvl w:val="0"/>
          <w:numId w:val="3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Insurance, </w:t>
      </w:r>
      <w:r>
        <w:rPr>
          <w:rFonts w:ascii="Calibri" w:cs="Calibri" w:eastAsia="Calibri" w:hAnsi="Calibri"/>
          <w:sz w:val="17"/>
          <w:szCs w:val="17"/>
          <w:color w:val="auto"/>
        </w:rPr>
        <w:t>which fueled 8% of the growth in fee income on the back of regularizatons with Pacifco.</w:t>
      </w:r>
    </w:p>
    <w:p>
      <w:pPr>
        <w:spacing w:after="0" w:line="2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6.2 Other Non-core Income</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31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Other Non-Core Income</w:t>
            </w:r>
          </w:p>
        </w:tc>
        <w:tc>
          <w:tcPr>
            <w:tcW w:w="980" w:type="dxa"/>
            <w:vAlign w:val="bottom"/>
            <w:tcBorders>
              <w:top w:val="single" w:sz="8" w:color="auto"/>
            </w:tcBorders>
            <w:shd w:val="clear" w:color="auto" w:fill="33CCCC"/>
          </w:tcPr>
          <w:p>
            <w:pPr>
              <w:spacing w:after="0"/>
              <w:rPr>
                <w:sz w:val="13"/>
                <w:szCs w:val="13"/>
                <w:color w:val="auto"/>
              </w:rPr>
            </w:pPr>
          </w:p>
        </w:tc>
        <w:tc>
          <w:tcPr>
            <w:tcW w:w="980" w:type="dxa"/>
            <w:vAlign w:val="bottom"/>
            <w:tcBorders>
              <w:top w:val="single" w:sz="8" w:color="auto"/>
            </w:tcBorders>
            <w:shd w:val="clear" w:color="auto" w:fill="33CCCC"/>
          </w:tcPr>
          <w:p>
            <w:pPr>
              <w:ind w:left="300"/>
              <w:spacing w:after="0"/>
              <w:rPr>
                <w:sz w:val="20"/>
                <w:szCs w:val="20"/>
                <w:color w:val="auto"/>
              </w:rPr>
            </w:pPr>
            <w:r>
              <w:rPr>
                <w:rFonts w:ascii="Calibri" w:cs="Calibri" w:eastAsia="Calibri" w:hAnsi="Calibri"/>
                <w:sz w:val="12"/>
                <w:szCs w:val="12"/>
                <w:b w:val="1"/>
                <w:bCs w:val="1"/>
                <w:color w:val="FFFFFF"/>
              </w:rPr>
              <w:t>Quarter</w:t>
            </w:r>
          </w:p>
        </w:tc>
        <w:tc>
          <w:tcPr>
            <w:tcW w:w="1020" w:type="dxa"/>
            <w:vAlign w:val="bottom"/>
            <w:tcBorders>
              <w:top w:val="single" w:sz="8" w:color="auto"/>
              <w:right w:val="single" w:sz="8" w:color="auto"/>
            </w:tcBorders>
            <w:shd w:val="clear" w:color="auto" w:fill="33CCCC"/>
          </w:tcPr>
          <w:p>
            <w:pPr>
              <w:spacing w:after="0"/>
              <w:rPr>
                <w:sz w:val="13"/>
                <w:szCs w:val="13"/>
                <w:color w:val="auto"/>
              </w:rPr>
            </w:pPr>
          </w:p>
        </w:tc>
        <w:tc>
          <w:tcPr>
            <w:tcW w:w="720" w:type="dxa"/>
            <w:vAlign w:val="bottom"/>
            <w:tcBorders>
              <w:top w:val="single" w:sz="8" w:color="auto"/>
            </w:tcBorders>
            <w:shd w:val="clear" w:color="auto" w:fill="33CCCC"/>
          </w:tcPr>
          <w:p>
            <w:pPr>
              <w:spacing w:after="0"/>
              <w:rPr>
                <w:sz w:val="13"/>
                <w:szCs w:val="13"/>
                <w:color w:val="auto"/>
              </w:rPr>
            </w:pPr>
          </w:p>
        </w:tc>
        <w:tc>
          <w:tcPr>
            <w:tcW w:w="1240" w:type="dxa"/>
            <w:vAlign w:val="bottom"/>
            <w:tcBorders>
              <w:top w:val="single" w:sz="8" w:color="auto"/>
              <w:right w:val="single" w:sz="8" w:color="auto"/>
            </w:tcBorders>
            <w:shd w:val="clear" w:color="auto" w:fill="33CCCC"/>
          </w:tcPr>
          <w:p>
            <w:pPr>
              <w:spacing w:after="0"/>
              <w:rPr>
                <w:sz w:val="20"/>
                <w:szCs w:val="20"/>
                <w:color w:val="auto"/>
              </w:rPr>
            </w:pPr>
            <w:r>
              <w:rPr>
                <w:rFonts w:ascii="Calibri" w:cs="Calibri" w:eastAsia="Calibri" w:hAnsi="Calibri"/>
                <w:sz w:val="12"/>
                <w:szCs w:val="12"/>
                <w:b w:val="1"/>
                <w:bCs w:val="1"/>
                <w:color w:val="FFFFFF"/>
              </w:rPr>
              <w:t>% change</w:t>
            </w:r>
          </w:p>
        </w:tc>
        <w:tc>
          <w:tcPr>
            <w:tcW w:w="780" w:type="dxa"/>
            <w:vAlign w:val="bottom"/>
            <w:tcBorders>
              <w:top w:val="single" w:sz="8" w:color="auto"/>
            </w:tcBorders>
            <w:shd w:val="clear" w:color="auto" w:fill="33CCCC"/>
          </w:tcPr>
          <w:p>
            <w:pPr>
              <w:spacing w:after="0"/>
              <w:rPr>
                <w:sz w:val="13"/>
                <w:szCs w:val="13"/>
                <w:color w:val="auto"/>
              </w:rPr>
            </w:pPr>
          </w:p>
        </w:tc>
        <w:tc>
          <w:tcPr>
            <w:tcW w:w="120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2"/>
                <w:szCs w:val="12"/>
                <w:b w:val="1"/>
                <w:bCs w:val="1"/>
                <w:color w:val="FFFFFF"/>
              </w:rPr>
              <w:t>Up to</w:t>
            </w:r>
          </w:p>
        </w:tc>
        <w:tc>
          <w:tcPr>
            <w:tcW w:w="11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rPr>
              <w:t>% change</w:t>
            </w:r>
          </w:p>
        </w:tc>
      </w:tr>
      <w:tr>
        <w:trPr>
          <w:trHeight w:val="143"/>
        </w:trPr>
        <w:tc>
          <w:tcPr>
            <w:tcW w:w="3180" w:type="dxa"/>
            <w:vAlign w:val="bottom"/>
            <w:tcBorders>
              <w:left w:val="single" w:sz="8" w:color="auto"/>
              <w:bottom w:val="single" w:sz="8" w:color="auto"/>
              <w:right w:val="single" w:sz="8" w:color="auto"/>
            </w:tcBorders>
            <w:shd w:val="clear" w:color="auto" w:fill="33CCCC"/>
          </w:tcPr>
          <w:p>
            <w:pPr>
              <w:ind w:left="20"/>
              <w:spacing w:after="0" w:line="143" w:lineRule="exact"/>
              <w:rPr>
                <w:sz w:val="20"/>
                <w:szCs w:val="20"/>
                <w:color w:val="auto"/>
              </w:rPr>
            </w:pPr>
            <w:r>
              <w:rPr>
                <w:rFonts w:ascii="Calibri" w:cs="Calibri" w:eastAsia="Calibri" w:hAnsi="Calibri"/>
                <w:sz w:val="12"/>
                <w:szCs w:val="12"/>
                <w:b w:val="1"/>
                <w:bCs w:val="1"/>
                <w:color w:val="FFFFFF"/>
              </w:rPr>
              <w:t>(S/ 000)</w:t>
            </w:r>
          </w:p>
        </w:tc>
        <w:tc>
          <w:tcPr>
            <w:tcW w:w="98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2Q24</w:t>
            </w:r>
          </w:p>
        </w:tc>
        <w:tc>
          <w:tcPr>
            <w:tcW w:w="98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1Q25</w:t>
            </w:r>
          </w:p>
        </w:tc>
        <w:tc>
          <w:tcPr>
            <w:tcW w:w="102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rPr>
              <w:t>2Q25</w:t>
            </w:r>
          </w:p>
        </w:tc>
        <w:tc>
          <w:tcPr>
            <w:tcW w:w="720" w:type="dxa"/>
            <w:vAlign w:val="bottom"/>
            <w:tcBorders>
              <w:bottom w:val="single" w:sz="8" w:color="auto"/>
            </w:tcBorders>
            <w:shd w:val="clear" w:color="auto" w:fill="33CCCC"/>
          </w:tcPr>
          <w:p>
            <w:pPr>
              <w:ind w:left="360"/>
              <w:spacing w:after="0" w:line="143" w:lineRule="exact"/>
              <w:rPr>
                <w:sz w:val="20"/>
                <w:szCs w:val="20"/>
                <w:color w:val="auto"/>
              </w:rPr>
            </w:pPr>
            <w:r>
              <w:rPr>
                <w:rFonts w:ascii="Calibri" w:cs="Calibri" w:eastAsia="Calibri" w:hAnsi="Calibri"/>
                <w:sz w:val="12"/>
                <w:szCs w:val="12"/>
                <w:b w:val="1"/>
                <w:bCs w:val="1"/>
                <w:color w:val="FFFFFF"/>
              </w:rPr>
              <w:t>QoQ</w:t>
            </w:r>
          </w:p>
        </w:tc>
        <w:tc>
          <w:tcPr>
            <w:tcW w:w="1240" w:type="dxa"/>
            <w:vAlign w:val="bottom"/>
            <w:tcBorders>
              <w:bottom w:val="single" w:sz="8" w:color="auto"/>
              <w:right w:val="single" w:sz="8" w:color="auto"/>
            </w:tcBorders>
            <w:shd w:val="clear" w:color="auto" w:fill="33CCCC"/>
          </w:tcPr>
          <w:p>
            <w:pPr>
              <w:ind w:left="640"/>
              <w:spacing w:after="0" w:line="143" w:lineRule="exact"/>
              <w:rPr>
                <w:sz w:val="20"/>
                <w:szCs w:val="20"/>
                <w:color w:val="auto"/>
              </w:rPr>
            </w:pPr>
            <w:r>
              <w:rPr>
                <w:rFonts w:ascii="Calibri" w:cs="Calibri" w:eastAsia="Calibri" w:hAnsi="Calibri"/>
                <w:sz w:val="12"/>
                <w:szCs w:val="12"/>
                <w:b w:val="1"/>
                <w:bCs w:val="1"/>
                <w:color w:val="FFFFFF"/>
              </w:rPr>
              <w:t>YoY</w:t>
            </w:r>
          </w:p>
        </w:tc>
        <w:tc>
          <w:tcPr>
            <w:tcW w:w="780" w:type="dxa"/>
            <w:vAlign w:val="bottom"/>
            <w:tcBorders>
              <w:bottom w:val="single" w:sz="8" w:color="auto"/>
            </w:tcBorders>
            <w:shd w:val="clear" w:color="auto" w:fill="33CCCC"/>
          </w:tcPr>
          <w:p>
            <w:pPr>
              <w:ind w:left="320"/>
              <w:spacing w:after="0" w:line="143" w:lineRule="exact"/>
              <w:rPr>
                <w:sz w:val="20"/>
                <w:szCs w:val="20"/>
                <w:color w:val="auto"/>
              </w:rPr>
            </w:pPr>
            <w:r>
              <w:rPr>
                <w:rFonts w:ascii="Calibri" w:cs="Calibri" w:eastAsia="Calibri" w:hAnsi="Calibri"/>
                <w:sz w:val="12"/>
                <w:szCs w:val="12"/>
                <w:b w:val="1"/>
                <w:bCs w:val="1"/>
                <w:color w:val="FFFFFF"/>
              </w:rPr>
              <w:t>Jun 24</w:t>
            </w:r>
          </w:p>
        </w:tc>
        <w:tc>
          <w:tcPr>
            <w:tcW w:w="1200" w:type="dxa"/>
            <w:vAlign w:val="bottom"/>
            <w:tcBorders>
              <w:bottom w:val="single" w:sz="8" w:color="auto"/>
              <w:right w:val="single" w:sz="8" w:color="auto"/>
            </w:tcBorders>
            <w:shd w:val="clear" w:color="auto" w:fill="33CCCC"/>
          </w:tcPr>
          <w:p>
            <w:pPr>
              <w:ind w:left="540"/>
              <w:spacing w:after="0" w:line="143" w:lineRule="exact"/>
              <w:rPr>
                <w:sz w:val="20"/>
                <w:szCs w:val="20"/>
                <w:color w:val="auto"/>
              </w:rPr>
            </w:pPr>
            <w:r>
              <w:rPr>
                <w:rFonts w:ascii="Calibri" w:cs="Calibri" w:eastAsia="Calibri" w:hAnsi="Calibri"/>
                <w:sz w:val="12"/>
                <w:szCs w:val="12"/>
                <w:b w:val="1"/>
                <w:bCs w:val="1"/>
                <w:color w:val="FFFFFF"/>
              </w:rPr>
              <w:t>Jun 25</w:t>
            </w:r>
          </w:p>
        </w:tc>
        <w:tc>
          <w:tcPr>
            <w:tcW w:w="116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9"/>
              </w:rPr>
              <w:t>Jun 25 / Jun 24</w:t>
            </w:r>
          </w:p>
        </w:tc>
      </w:tr>
      <w:tr>
        <w:trPr>
          <w:trHeight w:val="145"/>
        </w:trPr>
        <w:tc>
          <w:tcPr>
            <w:tcW w:w="318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4"/>
                <w:szCs w:val="14"/>
                <w:color w:val="auto"/>
              </w:rPr>
              <w:t>Net Gain on Securites</w:t>
            </w:r>
          </w:p>
        </w:tc>
        <w:tc>
          <w:tcPr>
            <w:tcW w:w="980" w:type="dxa"/>
            <w:vAlign w:val="bottom"/>
          </w:tcPr>
          <w:p>
            <w:pPr>
              <w:jc w:val="center"/>
              <w:spacing w:after="0" w:line="145" w:lineRule="exact"/>
              <w:rPr>
                <w:sz w:val="20"/>
                <w:szCs w:val="20"/>
                <w:color w:val="auto"/>
              </w:rPr>
            </w:pPr>
            <w:r>
              <w:rPr>
                <w:rFonts w:ascii="Calibri" w:cs="Calibri" w:eastAsia="Calibri" w:hAnsi="Calibri"/>
                <w:sz w:val="14"/>
                <w:szCs w:val="14"/>
                <w:color w:val="auto"/>
                <w:w w:val="97"/>
              </w:rPr>
              <w:t>92,711</w:t>
            </w:r>
          </w:p>
        </w:tc>
        <w:tc>
          <w:tcPr>
            <w:tcW w:w="980" w:type="dxa"/>
            <w:vAlign w:val="bottom"/>
          </w:tcPr>
          <w:p>
            <w:pPr>
              <w:jc w:val="center"/>
              <w:spacing w:after="0" w:line="145" w:lineRule="exact"/>
              <w:rPr>
                <w:sz w:val="20"/>
                <w:szCs w:val="20"/>
                <w:color w:val="auto"/>
              </w:rPr>
            </w:pPr>
            <w:r>
              <w:rPr>
                <w:rFonts w:ascii="Calibri" w:cs="Calibri" w:eastAsia="Calibri" w:hAnsi="Calibri"/>
                <w:sz w:val="14"/>
                <w:szCs w:val="14"/>
                <w:color w:val="auto"/>
                <w:w w:val="96"/>
              </w:rPr>
              <w:t>(28,149)</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4"/>
                <w:szCs w:val="14"/>
                <w:color w:val="auto"/>
                <w:w w:val="99"/>
              </w:rPr>
              <w:t>179,174</w:t>
            </w:r>
          </w:p>
        </w:tc>
        <w:tc>
          <w:tcPr>
            <w:tcW w:w="720" w:type="dxa"/>
            <w:vAlign w:val="bottom"/>
          </w:tcPr>
          <w:p>
            <w:pPr>
              <w:jc w:val="center"/>
              <w:ind w:left="152"/>
              <w:spacing w:after="0" w:line="145" w:lineRule="exact"/>
              <w:rPr>
                <w:sz w:val="20"/>
                <w:szCs w:val="20"/>
                <w:color w:val="auto"/>
              </w:rPr>
            </w:pPr>
            <w:r>
              <w:rPr>
                <w:rFonts w:ascii="Calibri" w:cs="Calibri" w:eastAsia="Calibri" w:hAnsi="Calibri"/>
                <w:sz w:val="14"/>
                <w:szCs w:val="14"/>
                <w:color w:val="auto"/>
                <w:w w:val="99"/>
              </w:rPr>
              <w:t>-736.5%</w:t>
            </w:r>
          </w:p>
        </w:tc>
        <w:tc>
          <w:tcPr>
            <w:tcW w:w="1240" w:type="dxa"/>
            <w:vAlign w:val="bottom"/>
            <w:tcBorders>
              <w:right w:val="single" w:sz="8" w:color="auto"/>
            </w:tcBorders>
          </w:tcPr>
          <w:p>
            <w:pPr>
              <w:jc w:val="center"/>
              <w:ind w:left="153"/>
              <w:spacing w:after="0" w:line="145" w:lineRule="exact"/>
              <w:rPr>
                <w:sz w:val="20"/>
                <w:szCs w:val="20"/>
                <w:color w:val="auto"/>
              </w:rPr>
            </w:pPr>
            <w:r>
              <w:rPr>
                <w:rFonts w:ascii="Calibri" w:cs="Calibri" w:eastAsia="Calibri" w:hAnsi="Calibri"/>
                <w:sz w:val="14"/>
                <w:szCs w:val="14"/>
                <w:color w:val="auto"/>
                <w:w w:val="97"/>
              </w:rPr>
              <w:t>93.3%</w:t>
            </w:r>
          </w:p>
        </w:tc>
        <w:tc>
          <w:tcPr>
            <w:tcW w:w="780" w:type="dxa"/>
            <w:vAlign w:val="bottom"/>
          </w:tcPr>
          <w:p>
            <w:pPr>
              <w:jc w:val="center"/>
              <w:ind w:left="132"/>
              <w:spacing w:after="0" w:line="145" w:lineRule="exact"/>
              <w:rPr>
                <w:sz w:val="20"/>
                <w:szCs w:val="20"/>
                <w:color w:val="auto"/>
              </w:rPr>
            </w:pPr>
            <w:r>
              <w:rPr>
                <w:rFonts w:ascii="Calibri" w:cs="Calibri" w:eastAsia="Calibri" w:hAnsi="Calibri"/>
                <w:sz w:val="14"/>
                <w:szCs w:val="14"/>
                <w:color w:val="auto"/>
                <w:w w:val="99"/>
              </w:rPr>
              <w:t>154,456</w:t>
            </w:r>
          </w:p>
        </w:tc>
        <w:tc>
          <w:tcPr>
            <w:tcW w:w="1200" w:type="dxa"/>
            <w:vAlign w:val="bottom"/>
            <w:tcBorders>
              <w:right w:val="single" w:sz="8" w:color="auto"/>
            </w:tcBorders>
          </w:tcPr>
          <w:p>
            <w:pPr>
              <w:jc w:val="center"/>
              <w:ind w:left="113"/>
              <w:spacing w:after="0" w:line="145" w:lineRule="exact"/>
              <w:rPr>
                <w:sz w:val="20"/>
                <w:szCs w:val="20"/>
                <w:color w:val="auto"/>
              </w:rPr>
            </w:pPr>
            <w:r>
              <w:rPr>
                <w:rFonts w:ascii="Calibri" w:cs="Calibri" w:eastAsia="Calibri" w:hAnsi="Calibri"/>
                <w:sz w:val="14"/>
                <w:szCs w:val="14"/>
                <w:color w:val="auto"/>
                <w:w w:val="99"/>
              </w:rPr>
              <w:t>151,025</w:t>
            </w:r>
          </w:p>
        </w:tc>
        <w:tc>
          <w:tcPr>
            <w:tcW w:w="11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4"/>
                <w:szCs w:val="14"/>
                <w:color w:val="auto"/>
                <w:w w:val="99"/>
              </w:rPr>
              <w:t>-2.2%</w:t>
            </w:r>
          </w:p>
        </w:tc>
      </w:tr>
      <w:tr>
        <w:trPr>
          <w:trHeight w:val="169"/>
        </w:trPr>
        <w:tc>
          <w:tcPr>
            <w:tcW w:w="318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1"/>
                <w:szCs w:val="11"/>
                <w:color w:val="auto"/>
              </w:rPr>
              <w:t xml:space="preserve">Net Gain from Associates </w:t>
            </w:r>
            <w:r>
              <w:rPr>
                <w:rFonts w:ascii="Calibri" w:cs="Calibri" w:eastAsia="Calibri" w:hAnsi="Calibri"/>
                <w:sz w:val="18"/>
                <w:szCs w:val="18"/>
                <w:color w:val="auto"/>
                <w:vertAlign w:val="superscript"/>
              </w:rPr>
              <w:t>(1)</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28,728</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24,068</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6,556</w:t>
            </w:r>
          </w:p>
        </w:tc>
        <w:tc>
          <w:tcPr>
            <w:tcW w:w="720" w:type="dxa"/>
            <w:vAlign w:val="bottom"/>
          </w:tcPr>
          <w:p>
            <w:pPr>
              <w:jc w:val="center"/>
              <w:ind w:left="152"/>
              <w:spacing w:after="0" w:line="169" w:lineRule="exact"/>
              <w:rPr>
                <w:sz w:val="20"/>
                <w:szCs w:val="20"/>
                <w:color w:val="auto"/>
              </w:rPr>
            </w:pPr>
            <w:r>
              <w:rPr>
                <w:rFonts w:ascii="Calibri" w:cs="Calibri" w:eastAsia="Calibri" w:hAnsi="Calibri"/>
                <w:sz w:val="14"/>
                <w:szCs w:val="14"/>
                <w:color w:val="auto"/>
                <w:w w:val="97"/>
              </w:rPr>
              <w:t>-72.8%</w:t>
            </w:r>
          </w:p>
        </w:tc>
        <w:tc>
          <w:tcPr>
            <w:tcW w:w="1240" w:type="dxa"/>
            <w:vAlign w:val="bottom"/>
            <w:tcBorders>
              <w:right w:val="single" w:sz="8" w:color="auto"/>
            </w:tcBorders>
          </w:tcPr>
          <w:p>
            <w:pPr>
              <w:jc w:val="center"/>
              <w:ind w:left="153"/>
              <w:spacing w:after="0" w:line="169" w:lineRule="exact"/>
              <w:rPr>
                <w:sz w:val="20"/>
                <w:szCs w:val="20"/>
                <w:color w:val="auto"/>
              </w:rPr>
            </w:pPr>
            <w:r>
              <w:rPr>
                <w:rFonts w:ascii="Calibri" w:cs="Calibri" w:eastAsia="Calibri" w:hAnsi="Calibri"/>
                <w:sz w:val="14"/>
                <w:szCs w:val="14"/>
                <w:color w:val="auto"/>
                <w:w w:val="97"/>
              </w:rPr>
              <w:t>-77.2%</w:t>
            </w:r>
          </w:p>
        </w:tc>
        <w:tc>
          <w:tcPr>
            <w:tcW w:w="780" w:type="dxa"/>
            <w:vAlign w:val="bottom"/>
          </w:tcPr>
          <w:p>
            <w:pPr>
              <w:jc w:val="center"/>
              <w:ind w:left="132"/>
              <w:spacing w:after="0" w:line="169" w:lineRule="exact"/>
              <w:rPr>
                <w:sz w:val="20"/>
                <w:szCs w:val="20"/>
                <w:color w:val="auto"/>
              </w:rPr>
            </w:pPr>
            <w:r>
              <w:rPr>
                <w:rFonts w:ascii="Calibri" w:cs="Calibri" w:eastAsia="Calibri" w:hAnsi="Calibri"/>
                <w:sz w:val="14"/>
                <w:szCs w:val="14"/>
                <w:color w:val="auto"/>
                <w:w w:val="97"/>
              </w:rPr>
              <w:t>61,023</w:t>
            </w:r>
          </w:p>
        </w:tc>
        <w:tc>
          <w:tcPr>
            <w:tcW w:w="1200" w:type="dxa"/>
            <w:vAlign w:val="bottom"/>
            <w:tcBorders>
              <w:right w:val="single" w:sz="8" w:color="auto"/>
            </w:tcBorders>
          </w:tcPr>
          <w:p>
            <w:pPr>
              <w:jc w:val="center"/>
              <w:ind w:left="113"/>
              <w:spacing w:after="0" w:line="169" w:lineRule="exact"/>
              <w:rPr>
                <w:sz w:val="20"/>
                <w:szCs w:val="20"/>
                <w:color w:val="auto"/>
              </w:rPr>
            </w:pPr>
            <w:r>
              <w:rPr>
                <w:rFonts w:ascii="Calibri" w:cs="Calibri" w:eastAsia="Calibri" w:hAnsi="Calibri"/>
                <w:sz w:val="14"/>
                <w:szCs w:val="14"/>
                <w:color w:val="auto"/>
                <w:w w:val="97"/>
              </w:rPr>
              <w:t>30,624</w:t>
            </w:r>
          </w:p>
        </w:tc>
        <w:tc>
          <w:tcPr>
            <w:tcW w:w="11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-49.8%</w:t>
            </w:r>
          </w:p>
        </w:tc>
      </w:tr>
      <w:tr>
        <w:trPr>
          <w:trHeight w:val="172"/>
        </w:trPr>
        <w:tc>
          <w:tcPr>
            <w:tcW w:w="3180" w:type="dxa"/>
            <w:vAlign w:val="bottom"/>
            <w:tcBorders>
              <w:left w:val="single" w:sz="8" w:color="auto"/>
              <w:right w:val="single" w:sz="8" w:color="auto"/>
            </w:tcBorders>
          </w:tcPr>
          <w:p>
            <w:pPr>
              <w:ind w:left="20"/>
              <w:spacing w:after="0" w:line="172" w:lineRule="exact"/>
              <w:rPr>
                <w:sz w:val="20"/>
                <w:szCs w:val="20"/>
                <w:color w:val="auto"/>
              </w:rPr>
            </w:pPr>
            <w:r>
              <w:rPr>
                <w:rFonts w:ascii="Calibri" w:cs="Calibri" w:eastAsia="Calibri" w:hAnsi="Calibri"/>
                <w:sz w:val="11"/>
                <w:szCs w:val="11"/>
                <w:color w:val="auto"/>
              </w:rPr>
              <w:t xml:space="preserve">Net Gain of Derivatves Held for Trading </w:t>
            </w:r>
            <w:r>
              <w:rPr>
                <w:rFonts w:ascii="Calibri" w:cs="Calibri" w:eastAsia="Calibri" w:hAnsi="Calibri"/>
                <w:sz w:val="18"/>
                <w:szCs w:val="18"/>
                <w:color w:val="auto"/>
                <w:vertAlign w:val="superscript"/>
              </w:rPr>
              <w:t>(2)</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41,748</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18,499</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21,418</w:t>
            </w:r>
          </w:p>
        </w:tc>
        <w:tc>
          <w:tcPr>
            <w:tcW w:w="720" w:type="dxa"/>
            <w:vAlign w:val="bottom"/>
          </w:tcPr>
          <w:p>
            <w:pPr>
              <w:jc w:val="center"/>
              <w:ind w:left="152"/>
              <w:spacing w:after="0" w:line="169" w:lineRule="exact"/>
              <w:rPr>
                <w:sz w:val="20"/>
                <w:szCs w:val="20"/>
                <w:color w:val="auto"/>
              </w:rPr>
            </w:pPr>
            <w:r>
              <w:rPr>
                <w:rFonts w:ascii="Calibri" w:cs="Calibri" w:eastAsia="Calibri" w:hAnsi="Calibri"/>
                <w:sz w:val="14"/>
                <w:szCs w:val="14"/>
                <w:color w:val="auto"/>
                <w:w w:val="97"/>
              </w:rPr>
              <w:t>15.8%</w:t>
            </w:r>
          </w:p>
        </w:tc>
        <w:tc>
          <w:tcPr>
            <w:tcW w:w="1240" w:type="dxa"/>
            <w:vAlign w:val="bottom"/>
            <w:tcBorders>
              <w:right w:val="single" w:sz="8" w:color="auto"/>
            </w:tcBorders>
          </w:tcPr>
          <w:p>
            <w:pPr>
              <w:jc w:val="center"/>
              <w:ind w:left="153"/>
              <w:spacing w:after="0" w:line="169" w:lineRule="exact"/>
              <w:rPr>
                <w:sz w:val="20"/>
                <w:szCs w:val="20"/>
                <w:color w:val="auto"/>
              </w:rPr>
            </w:pPr>
            <w:r>
              <w:rPr>
                <w:rFonts w:ascii="Calibri" w:cs="Calibri" w:eastAsia="Calibri" w:hAnsi="Calibri"/>
                <w:sz w:val="14"/>
                <w:szCs w:val="14"/>
                <w:color w:val="auto"/>
                <w:w w:val="97"/>
              </w:rPr>
              <w:t>-48.7%</w:t>
            </w:r>
          </w:p>
        </w:tc>
        <w:tc>
          <w:tcPr>
            <w:tcW w:w="780" w:type="dxa"/>
            <w:vAlign w:val="bottom"/>
          </w:tcPr>
          <w:p>
            <w:pPr>
              <w:jc w:val="center"/>
              <w:ind w:left="132"/>
              <w:spacing w:after="0" w:line="169" w:lineRule="exact"/>
              <w:rPr>
                <w:sz w:val="20"/>
                <w:szCs w:val="20"/>
                <w:color w:val="auto"/>
              </w:rPr>
            </w:pPr>
            <w:r>
              <w:rPr>
                <w:rFonts w:ascii="Calibri" w:cs="Calibri" w:eastAsia="Calibri" w:hAnsi="Calibri"/>
                <w:sz w:val="14"/>
                <w:szCs w:val="14"/>
                <w:color w:val="auto"/>
                <w:w w:val="97"/>
              </w:rPr>
              <w:t>81,732</w:t>
            </w:r>
          </w:p>
        </w:tc>
        <w:tc>
          <w:tcPr>
            <w:tcW w:w="1200" w:type="dxa"/>
            <w:vAlign w:val="bottom"/>
            <w:tcBorders>
              <w:right w:val="single" w:sz="8" w:color="auto"/>
            </w:tcBorders>
          </w:tcPr>
          <w:p>
            <w:pPr>
              <w:jc w:val="center"/>
              <w:ind w:left="113"/>
              <w:spacing w:after="0" w:line="169" w:lineRule="exact"/>
              <w:rPr>
                <w:sz w:val="20"/>
                <w:szCs w:val="20"/>
                <w:color w:val="auto"/>
              </w:rPr>
            </w:pPr>
            <w:r>
              <w:rPr>
                <w:rFonts w:ascii="Calibri" w:cs="Calibri" w:eastAsia="Calibri" w:hAnsi="Calibri"/>
                <w:sz w:val="14"/>
                <w:szCs w:val="14"/>
                <w:color w:val="auto"/>
                <w:w w:val="97"/>
              </w:rPr>
              <w:t>39,917</w:t>
            </w:r>
          </w:p>
        </w:tc>
        <w:tc>
          <w:tcPr>
            <w:tcW w:w="11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-51.2%</w:t>
            </w:r>
          </w:p>
        </w:tc>
      </w:tr>
      <w:tr>
        <w:trPr>
          <w:trHeight w:val="166"/>
        </w:trPr>
        <w:tc>
          <w:tcPr>
            <w:tcW w:w="3180" w:type="dxa"/>
            <w:vAlign w:val="bottom"/>
            <w:tcBorders>
              <w:left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color w:val="auto"/>
              </w:rPr>
              <w:t>Net Gain from Exchange Diferences</w:t>
            </w:r>
          </w:p>
        </w:tc>
        <w:tc>
          <w:tcPr>
            <w:tcW w:w="980" w:type="dxa"/>
            <w:vAlign w:val="bottom"/>
          </w:tcPr>
          <w:p>
            <w:pPr>
              <w:jc w:val="center"/>
              <w:spacing w:after="0" w:line="166" w:lineRule="exact"/>
              <w:rPr>
                <w:sz w:val="20"/>
                <w:szCs w:val="20"/>
                <w:color w:val="auto"/>
              </w:rPr>
            </w:pPr>
            <w:r>
              <w:rPr>
                <w:rFonts w:ascii="Calibri" w:cs="Calibri" w:eastAsia="Calibri" w:hAnsi="Calibri"/>
                <w:sz w:val="14"/>
                <w:szCs w:val="14"/>
                <w:color w:val="auto"/>
                <w:w w:val="98"/>
              </w:rPr>
              <w:t>(7,933)</w:t>
            </w:r>
          </w:p>
        </w:tc>
        <w:tc>
          <w:tcPr>
            <w:tcW w:w="980" w:type="dxa"/>
            <w:vAlign w:val="bottom"/>
          </w:tcPr>
          <w:p>
            <w:pPr>
              <w:jc w:val="center"/>
              <w:spacing w:after="0" w:line="166" w:lineRule="exact"/>
              <w:rPr>
                <w:sz w:val="20"/>
                <w:szCs w:val="20"/>
                <w:color w:val="auto"/>
              </w:rPr>
            </w:pPr>
            <w:r>
              <w:rPr>
                <w:rFonts w:ascii="Calibri" w:cs="Calibri" w:eastAsia="Calibri" w:hAnsi="Calibri"/>
                <w:sz w:val="14"/>
                <w:szCs w:val="14"/>
                <w:color w:val="auto"/>
                <w:w w:val="97"/>
              </w:rPr>
              <w:t>15,959</w:t>
            </w:r>
          </w:p>
        </w:tc>
        <w:tc>
          <w:tcPr>
            <w:tcW w:w="102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10,195</w:t>
            </w:r>
          </w:p>
        </w:tc>
        <w:tc>
          <w:tcPr>
            <w:tcW w:w="720" w:type="dxa"/>
            <w:vAlign w:val="bottom"/>
          </w:tcPr>
          <w:p>
            <w:pPr>
              <w:jc w:val="center"/>
              <w:ind w:left="152"/>
              <w:spacing w:after="0" w:line="166" w:lineRule="exact"/>
              <w:rPr>
                <w:sz w:val="20"/>
                <w:szCs w:val="20"/>
                <w:color w:val="auto"/>
              </w:rPr>
            </w:pPr>
            <w:r>
              <w:rPr>
                <w:rFonts w:ascii="Calibri" w:cs="Calibri" w:eastAsia="Calibri" w:hAnsi="Calibri"/>
                <w:sz w:val="14"/>
                <w:szCs w:val="14"/>
                <w:color w:val="auto"/>
                <w:w w:val="97"/>
              </w:rPr>
              <w:t>-36.1%</w:t>
            </w:r>
          </w:p>
        </w:tc>
        <w:tc>
          <w:tcPr>
            <w:tcW w:w="1240" w:type="dxa"/>
            <w:vAlign w:val="bottom"/>
            <w:tcBorders>
              <w:right w:val="single" w:sz="8" w:color="auto"/>
            </w:tcBorders>
          </w:tcPr>
          <w:p>
            <w:pPr>
              <w:jc w:val="center"/>
              <w:ind w:left="153"/>
              <w:spacing w:after="0" w:line="166" w:lineRule="exact"/>
              <w:rPr>
                <w:sz w:val="20"/>
                <w:szCs w:val="20"/>
                <w:color w:val="auto"/>
              </w:rPr>
            </w:pPr>
            <w:r>
              <w:rPr>
                <w:rFonts w:ascii="Calibri" w:cs="Calibri" w:eastAsia="Calibri" w:hAnsi="Calibri"/>
                <w:sz w:val="14"/>
                <w:szCs w:val="14"/>
                <w:color w:val="auto"/>
                <w:w w:val="99"/>
              </w:rPr>
              <w:t>-228.5%</w:t>
            </w:r>
          </w:p>
        </w:tc>
        <w:tc>
          <w:tcPr>
            <w:tcW w:w="780" w:type="dxa"/>
            <w:vAlign w:val="bottom"/>
          </w:tcPr>
          <w:p>
            <w:pPr>
              <w:jc w:val="center"/>
              <w:ind w:left="132"/>
              <w:spacing w:after="0" w:line="166" w:lineRule="exact"/>
              <w:rPr>
                <w:sz w:val="20"/>
                <w:szCs w:val="20"/>
                <w:color w:val="auto"/>
              </w:rPr>
            </w:pPr>
            <w:r>
              <w:rPr>
                <w:rFonts w:ascii="Calibri" w:cs="Calibri" w:eastAsia="Calibri" w:hAnsi="Calibri"/>
                <w:sz w:val="14"/>
                <w:szCs w:val="14"/>
                <w:color w:val="auto"/>
                <w:w w:val="96"/>
              </w:rPr>
              <w:t>(13,554)</w:t>
            </w:r>
          </w:p>
        </w:tc>
        <w:tc>
          <w:tcPr>
            <w:tcW w:w="1200" w:type="dxa"/>
            <w:vAlign w:val="bottom"/>
            <w:tcBorders>
              <w:right w:val="single" w:sz="8" w:color="auto"/>
            </w:tcBorders>
          </w:tcPr>
          <w:p>
            <w:pPr>
              <w:jc w:val="center"/>
              <w:ind w:left="113"/>
              <w:spacing w:after="0" w:line="166" w:lineRule="exact"/>
              <w:rPr>
                <w:sz w:val="20"/>
                <w:szCs w:val="20"/>
                <w:color w:val="auto"/>
              </w:rPr>
            </w:pPr>
            <w:r>
              <w:rPr>
                <w:rFonts w:ascii="Calibri" w:cs="Calibri" w:eastAsia="Calibri" w:hAnsi="Calibri"/>
                <w:sz w:val="14"/>
                <w:szCs w:val="14"/>
                <w:color w:val="auto"/>
                <w:w w:val="97"/>
              </w:rPr>
              <w:t>26,154</w:t>
            </w:r>
          </w:p>
        </w:tc>
        <w:tc>
          <w:tcPr>
            <w:tcW w:w="116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9"/>
              </w:rPr>
              <w:t>-293.0%</w:t>
            </w:r>
          </w:p>
        </w:tc>
      </w:tr>
      <w:tr>
        <w:trPr>
          <w:trHeight w:val="180"/>
        </w:trPr>
        <w:tc>
          <w:tcPr>
            <w:tcW w:w="318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Other Non-operatve Income</w:t>
            </w:r>
          </w:p>
        </w:tc>
        <w:tc>
          <w:tcPr>
            <w:tcW w:w="9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139,499</w:t>
            </w:r>
          </w:p>
        </w:tc>
        <w:tc>
          <w:tcPr>
            <w:tcW w:w="9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322,001</w:t>
            </w:r>
          </w:p>
        </w:tc>
        <w:tc>
          <w:tcPr>
            <w:tcW w:w="102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58,461</w:t>
            </w:r>
          </w:p>
        </w:tc>
        <w:tc>
          <w:tcPr>
            <w:tcW w:w="720" w:type="dxa"/>
            <w:vAlign w:val="bottom"/>
            <w:tcBorders>
              <w:bottom w:val="single" w:sz="8" w:color="auto"/>
            </w:tcBorders>
          </w:tcPr>
          <w:p>
            <w:pPr>
              <w:jc w:val="center"/>
              <w:ind w:left="152"/>
              <w:spacing w:after="0" w:line="169" w:lineRule="exact"/>
              <w:rPr>
                <w:sz w:val="20"/>
                <w:szCs w:val="20"/>
                <w:color w:val="auto"/>
              </w:rPr>
            </w:pPr>
            <w:r>
              <w:rPr>
                <w:rFonts w:ascii="Calibri" w:cs="Calibri" w:eastAsia="Calibri" w:hAnsi="Calibri"/>
                <w:sz w:val="14"/>
                <w:szCs w:val="14"/>
                <w:color w:val="auto"/>
                <w:w w:val="97"/>
              </w:rPr>
              <w:t>-81.8%</w:t>
            </w:r>
          </w:p>
        </w:tc>
        <w:tc>
          <w:tcPr>
            <w:tcW w:w="1240" w:type="dxa"/>
            <w:vAlign w:val="bottom"/>
            <w:tcBorders>
              <w:bottom w:val="single" w:sz="8" w:color="auto"/>
              <w:right w:val="single" w:sz="8" w:color="auto"/>
            </w:tcBorders>
          </w:tcPr>
          <w:p>
            <w:pPr>
              <w:jc w:val="center"/>
              <w:ind w:left="153"/>
              <w:spacing w:after="0" w:line="169" w:lineRule="exact"/>
              <w:rPr>
                <w:sz w:val="20"/>
                <w:szCs w:val="20"/>
                <w:color w:val="auto"/>
              </w:rPr>
            </w:pPr>
            <w:r>
              <w:rPr>
                <w:rFonts w:ascii="Calibri" w:cs="Calibri" w:eastAsia="Calibri" w:hAnsi="Calibri"/>
                <w:sz w:val="14"/>
                <w:szCs w:val="14"/>
                <w:color w:val="auto"/>
                <w:w w:val="97"/>
              </w:rPr>
              <w:t>-58.1%</w:t>
            </w:r>
          </w:p>
        </w:tc>
        <w:tc>
          <w:tcPr>
            <w:tcW w:w="780" w:type="dxa"/>
            <w:vAlign w:val="bottom"/>
            <w:tcBorders>
              <w:bottom w:val="single" w:sz="8" w:color="auto"/>
            </w:tcBorders>
          </w:tcPr>
          <w:p>
            <w:pPr>
              <w:jc w:val="center"/>
              <w:ind w:left="132"/>
              <w:spacing w:after="0" w:line="169" w:lineRule="exact"/>
              <w:rPr>
                <w:sz w:val="20"/>
                <w:szCs w:val="20"/>
                <w:color w:val="auto"/>
              </w:rPr>
            </w:pPr>
            <w:r>
              <w:rPr>
                <w:rFonts w:ascii="Calibri" w:cs="Calibri" w:eastAsia="Calibri" w:hAnsi="Calibri"/>
                <w:sz w:val="14"/>
                <w:szCs w:val="14"/>
                <w:color w:val="auto"/>
                <w:w w:val="99"/>
              </w:rPr>
              <w:t>241,720</w:t>
            </w:r>
          </w:p>
        </w:tc>
        <w:tc>
          <w:tcPr>
            <w:tcW w:w="1200" w:type="dxa"/>
            <w:vAlign w:val="bottom"/>
            <w:tcBorders>
              <w:bottom w:val="single" w:sz="8" w:color="auto"/>
              <w:right w:val="single" w:sz="8" w:color="auto"/>
            </w:tcBorders>
          </w:tcPr>
          <w:p>
            <w:pPr>
              <w:jc w:val="center"/>
              <w:ind w:left="113"/>
              <w:spacing w:after="0" w:line="169" w:lineRule="exact"/>
              <w:rPr>
                <w:sz w:val="20"/>
                <w:szCs w:val="20"/>
                <w:color w:val="auto"/>
              </w:rPr>
            </w:pPr>
            <w:r>
              <w:rPr>
                <w:rFonts w:ascii="Calibri" w:cs="Calibri" w:eastAsia="Calibri" w:hAnsi="Calibri"/>
                <w:sz w:val="14"/>
                <w:szCs w:val="14"/>
                <w:color w:val="auto"/>
                <w:w w:val="99"/>
              </w:rPr>
              <w:t>380,462</w:t>
            </w:r>
          </w:p>
        </w:tc>
        <w:tc>
          <w:tcPr>
            <w:tcW w:w="116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57.4%</w:t>
            </w:r>
          </w:p>
        </w:tc>
      </w:tr>
      <w:tr>
        <w:trPr>
          <w:trHeight w:val="168"/>
        </w:trPr>
        <w:tc>
          <w:tcPr>
            <w:tcW w:w="3180" w:type="dxa"/>
            <w:vAlign w:val="bottom"/>
            <w:tcBorders>
              <w:left w:val="single" w:sz="8" w:color="auto"/>
              <w:bottom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b w:val="1"/>
                <w:bCs w:val="1"/>
                <w:color w:val="auto"/>
              </w:rPr>
              <w:t>Total Other Non-Core Income</w:t>
            </w:r>
          </w:p>
        </w:tc>
        <w:tc>
          <w:tcPr>
            <w:tcW w:w="98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9"/>
              </w:rPr>
              <w:t>294,753</w:t>
            </w:r>
          </w:p>
        </w:tc>
        <w:tc>
          <w:tcPr>
            <w:tcW w:w="98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9"/>
              </w:rPr>
              <w:t>352,378</w:t>
            </w:r>
          </w:p>
        </w:tc>
        <w:tc>
          <w:tcPr>
            <w:tcW w:w="102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9"/>
              </w:rPr>
              <w:t>275,804</w:t>
            </w:r>
          </w:p>
        </w:tc>
        <w:tc>
          <w:tcPr>
            <w:tcW w:w="720" w:type="dxa"/>
            <w:vAlign w:val="bottom"/>
            <w:tcBorders>
              <w:bottom w:val="single" w:sz="8" w:color="auto"/>
            </w:tcBorders>
          </w:tcPr>
          <w:p>
            <w:pPr>
              <w:jc w:val="center"/>
              <w:ind w:left="152"/>
              <w:spacing w:after="0" w:line="166" w:lineRule="exact"/>
              <w:rPr>
                <w:sz w:val="20"/>
                <w:szCs w:val="20"/>
                <w:color w:val="auto"/>
              </w:rPr>
            </w:pPr>
            <w:r>
              <w:rPr>
                <w:rFonts w:ascii="Calibri" w:cs="Calibri" w:eastAsia="Calibri" w:hAnsi="Calibri"/>
                <w:sz w:val="14"/>
                <w:szCs w:val="14"/>
                <w:b w:val="1"/>
                <w:bCs w:val="1"/>
                <w:color w:val="auto"/>
                <w:w w:val="96"/>
              </w:rPr>
              <w:t>-21.7%</w:t>
            </w:r>
          </w:p>
        </w:tc>
        <w:tc>
          <w:tcPr>
            <w:tcW w:w="1240" w:type="dxa"/>
            <w:vAlign w:val="bottom"/>
            <w:tcBorders>
              <w:bottom w:val="single" w:sz="8" w:color="auto"/>
              <w:right w:val="single" w:sz="8" w:color="auto"/>
            </w:tcBorders>
          </w:tcPr>
          <w:p>
            <w:pPr>
              <w:jc w:val="center"/>
              <w:ind w:left="173"/>
              <w:spacing w:after="0" w:line="166" w:lineRule="exact"/>
              <w:rPr>
                <w:sz w:val="20"/>
                <w:szCs w:val="20"/>
                <w:color w:val="auto"/>
              </w:rPr>
            </w:pPr>
            <w:r>
              <w:rPr>
                <w:rFonts w:ascii="Calibri" w:cs="Calibri" w:eastAsia="Calibri" w:hAnsi="Calibri"/>
                <w:sz w:val="14"/>
                <w:szCs w:val="14"/>
                <w:b w:val="1"/>
                <w:bCs w:val="1"/>
                <w:color w:val="auto"/>
                <w:w w:val="98"/>
              </w:rPr>
              <w:t>-6.4%</w:t>
            </w:r>
          </w:p>
        </w:tc>
        <w:tc>
          <w:tcPr>
            <w:tcW w:w="780" w:type="dxa"/>
            <w:vAlign w:val="bottom"/>
            <w:tcBorders>
              <w:bottom w:val="single" w:sz="8" w:color="auto"/>
            </w:tcBorders>
          </w:tcPr>
          <w:p>
            <w:pPr>
              <w:jc w:val="center"/>
              <w:ind w:left="132"/>
              <w:spacing w:after="0" w:line="166" w:lineRule="exact"/>
              <w:rPr>
                <w:sz w:val="20"/>
                <w:szCs w:val="20"/>
                <w:color w:val="auto"/>
              </w:rPr>
            </w:pPr>
            <w:r>
              <w:rPr>
                <w:rFonts w:ascii="Calibri" w:cs="Calibri" w:eastAsia="Calibri" w:hAnsi="Calibri"/>
                <w:sz w:val="14"/>
                <w:szCs w:val="14"/>
                <w:b w:val="1"/>
                <w:bCs w:val="1"/>
                <w:color w:val="auto"/>
                <w:w w:val="99"/>
              </w:rPr>
              <w:t>525,377</w:t>
            </w:r>
          </w:p>
        </w:tc>
        <w:tc>
          <w:tcPr>
            <w:tcW w:w="1200" w:type="dxa"/>
            <w:vAlign w:val="bottom"/>
            <w:tcBorders>
              <w:bottom w:val="single" w:sz="8" w:color="auto"/>
              <w:right w:val="single" w:sz="8" w:color="auto"/>
            </w:tcBorders>
          </w:tcPr>
          <w:p>
            <w:pPr>
              <w:jc w:val="center"/>
              <w:ind w:left="113"/>
              <w:spacing w:after="0" w:line="166" w:lineRule="exact"/>
              <w:rPr>
                <w:sz w:val="20"/>
                <w:szCs w:val="20"/>
                <w:color w:val="auto"/>
              </w:rPr>
            </w:pPr>
            <w:r>
              <w:rPr>
                <w:rFonts w:ascii="Calibri" w:cs="Calibri" w:eastAsia="Calibri" w:hAnsi="Calibri"/>
                <w:sz w:val="14"/>
                <w:szCs w:val="14"/>
                <w:b w:val="1"/>
                <w:bCs w:val="1"/>
                <w:color w:val="auto"/>
                <w:w w:val="99"/>
              </w:rPr>
              <w:t>628,182</w:t>
            </w:r>
          </w:p>
        </w:tc>
        <w:tc>
          <w:tcPr>
            <w:tcW w:w="116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6"/>
              </w:rPr>
              <w:t>19.6%</w:t>
            </w:r>
          </w:p>
        </w:tc>
      </w:tr>
    </w:tbl>
    <w:p>
      <w:pPr>
        <w:ind w:right="300" w:firstLine="4"/>
        <w:spacing w:after="0" w:line="222" w:lineRule="auto"/>
        <w:tabs>
          <w:tab w:leader="none" w:pos="151" w:val="left"/>
        </w:tabs>
        <w:numPr>
          <w:ilvl w:val="0"/>
          <w:numId w:val="39"/>
        </w:numPr>
        <w:rPr>
          <w:rFonts w:ascii="Calibri" w:cs="Calibri" w:eastAsia="Calibri" w:hAnsi="Calibri"/>
          <w:sz w:val="11"/>
          <w:szCs w:val="11"/>
          <w:color w:val="auto"/>
        </w:rPr>
      </w:pPr>
      <w:r>
        <w:rPr>
          <w:rFonts w:ascii="Calibri" w:cs="Calibri" w:eastAsia="Calibri" w:hAnsi="Calibri"/>
          <w:sz w:val="11"/>
          <w:szCs w:val="11"/>
          <w:color w:val="auto"/>
        </w:rPr>
        <w:t>Includes gains on other investments. Beginning in 1Q25, revenues from the EPS and Medical Services businesses are no longer reported under Net Gain from Associates. Instead, they are fully consolidated into the Underwritng Insurance Result and the newly created Medical Services Result, respectvely.</w:t>
      </w:r>
    </w:p>
    <w:p>
      <w:pPr>
        <w:ind w:right="20" w:firstLine="4"/>
        <w:spacing w:after="0" w:line="232" w:lineRule="auto"/>
        <w:tabs>
          <w:tab w:leader="none" w:pos="151" w:val="left"/>
        </w:tabs>
        <w:numPr>
          <w:ilvl w:val="0"/>
          <w:numId w:val="39"/>
        </w:numPr>
        <w:rPr>
          <w:rFonts w:ascii="Calibri" w:cs="Calibri" w:eastAsia="Calibri" w:hAnsi="Calibri"/>
          <w:sz w:val="11"/>
          <w:szCs w:val="11"/>
          <w:color w:val="auto"/>
        </w:rPr>
      </w:pPr>
      <w:r>
        <w:rPr>
          <w:rFonts w:ascii="Calibri" w:cs="Calibri" w:eastAsia="Calibri" w:hAnsi="Calibri"/>
          <w:sz w:val="11"/>
          <w:szCs w:val="11"/>
          <w:color w:val="auto"/>
        </w:rPr>
        <w:t>Beginning in 1Q25, accountng reclassifcatons related to FX operatons at BCP Bolivia have been incorporated. These reclassifcatons afected Fee Income and Net Gain on Derivatves Held for Trading, which are now consolidated into Net Gain on Foreign Exchange Transactons. Figures for prior periods have been restated for comparability and may difer from those previously reported.</w:t>
      </w:r>
    </w:p>
    <w:p>
      <w:pPr>
        <w:spacing w:after="0" w:line="158" w:lineRule="exact"/>
        <w:rPr>
          <w:sz w:val="20"/>
          <w:szCs w:val="20"/>
          <w:color w:val="auto"/>
        </w:rPr>
      </w:pPr>
    </w:p>
    <w:tbl>
      <w:tblPr>
        <w:tblLayout w:type="fixed"/>
        <w:tblInd w:w="1820" w:type="dxa"/>
        <w:tblCellMar>
          <w:top w:w="0" w:type="dxa"/>
          <w:left w:w="0" w:type="dxa"/>
          <w:bottom w:w="0" w:type="dxa"/>
          <w:right w:w="0" w:type="dxa"/>
        </w:tblCellMar>
      </w:tblPr>
      <w:tr>
        <w:trPr>
          <w:trHeight w:val="208"/>
        </w:trPr>
        <w:tc>
          <w:tcPr>
            <w:tcW w:w="3580" w:type="dxa"/>
            <w:vAlign w:val="bottom"/>
          </w:tcPr>
          <w:p>
            <w:pPr>
              <w:jc w:val="center"/>
              <w:ind w:right="1816"/>
              <w:spacing w:after="0"/>
              <w:rPr>
                <w:sz w:val="20"/>
                <w:szCs w:val="20"/>
                <w:color w:val="auto"/>
              </w:rPr>
            </w:pPr>
            <w:r>
              <w:rPr>
                <w:rFonts w:ascii="Calibri" w:cs="Calibri" w:eastAsia="Calibri" w:hAnsi="Calibri"/>
                <w:sz w:val="17"/>
                <w:szCs w:val="17"/>
                <w:b w:val="1"/>
                <w:bCs w:val="1"/>
                <w:color w:val="auto"/>
                <w:w w:val="99"/>
              </w:rPr>
              <w:t>Other Non-Core Income</w:t>
            </w:r>
          </w:p>
        </w:tc>
        <w:tc>
          <w:tcPr>
            <w:tcW w:w="3600" w:type="dxa"/>
            <w:vAlign w:val="bottom"/>
          </w:tcPr>
          <w:p>
            <w:pPr>
              <w:jc w:val="center"/>
              <w:ind w:left="1836"/>
              <w:spacing w:after="0"/>
              <w:rPr>
                <w:sz w:val="20"/>
                <w:szCs w:val="20"/>
                <w:color w:val="auto"/>
              </w:rPr>
            </w:pPr>
            <w:r>
              <w:rPr>
                <w:rFonts w:ascii="Calibri" w:cs="Calibri" w:eastAsia="Calibri" w:hAnsi="Calibri"/>
                <w:sz w:val="17"/>
                <w:szCs w:val="17"/>
                <w:b w:val="1"/>
                <w:bCs w:val="1"/>
                <w:color w:val="auto"/>
                <w:w w:val="99"/>
              </w:rPr>
              <w:t>Other Non-Core Income</w:t>
            </w:r>
          </w:p>
        </w:tc>
      </w:tr>
      <w:tr>
        <w:trPr>
          <w:trHeight w:val="208"/>
        </w:trPr>
        <w:tc>
          <w:tcPr>
            <w:tcW w:w="3580" w:type="dxa"/>
            <w:vAlign w:val="bottom"/>
          </w:tcPr>
          <w:p>
            <w:pPr>
              <w:jc w:val="center"/>
              <w:ind w:right="1836"/>
              <w:spacing w:after="0"/>
              <w:rPr>
                <w:sz w:val="20"/>
                <w:szCs w:val="20"/>
                <w:color w:val="auto"/>
              </w:rPr>
            </w:pPr>
            <w:r>
              <w:rPr>
                <w:rFonts w:ascii="Calibri" w:cs="Calibri" w:eastAsia="Calibri" w:hAnsi="Calibri"/>
                <w:sz w:val="17"/>
                <w:szCs w:val="17"/>
                <w:b w:val="1"/>
                <w:bCs w:val="1"/>
                <w:color w:val="auto"/>
              </w:rPr>
              <w:t>QoQ evoluton</w:t>
            </w:r>
          </w:p>
        </w:tc>
        <w:tc>
          <w:tcPr>
            <w:tcW w:w="3600" w:type="dxa"/>
            <w:vAlign w:val="bottom"/>
          </w:tcPr>
          <w:p>
            <w:pPr>
              <w:jc w:val="center"/>
              <w:ind w:left="1836"/>
              <w:spacing w:after="0"/>
              <w:rPr>
                <w:sz w:val="20"/>
                <w:szCs w:val="20"/>
                <w:color w:val="auto"/>
              </w:rPr>
            </w:pPr>
            <w:r>
              <w:rPr>
                <w:rFonts w:ascii="Calibri" w:cs="Calibri" w:eastAsia="Calibri" w:hAnsi="Calibri"/>
                <w:sz w:val="17"/>
                <w:szCs w:val="17"/>
                <w:b w:val="1"/>
                <w:bCs w:val="1"/>
                <w:color w:val="auto"/>
              </w:rPr>
              <w:t>YoY evoluton</w:t>
            </w:r>
          </w:p>
        </w:tc>
      </w:tr>
      <w:tr>
        <w:trPr>
          <w:trHeight w:val="243"/>
        </w:trPr>
        <w:tc>
          <w:tcPr>
            <w:tcW w:w="3580" w:type="dxa"/>
            <w:vAlign w:val="bottom"/>
          </w:tcPr>
          <w:p>
            <w:pPr>
              <w:jc w:val="center"/>
              <w:ind w:right="1836"/>
              <w:spacing w:after="0"/>
              <w:rPr>
                <w:sz w:val="20"/>
                <w:szCs w:val="20"/>
                <w:color w:val="auto"/>
              </w:rPr>
            </w:pPr>
            <w:r>
              <w:rPr>
                <w:rFonts w:ascii="Calibri" w:cs="Calibri" w:eastAsia="Calibri" w:hAnsi="Calibri"/>
                <w:sz w:val="16"/>
                <w:szCs w:val="16"/>
                <w:color w:val="auto"/>
                <w:w w:val="97"/>
              </w:rPr>
              <w:t>(millions of soles)</w:t>
            </w:r>
          </w:p>
        </w:tc>
        <w:tc>
          <w:tcPr>
            <w:tcW w:w="3600" w:type="dxa"/>
            <w:vAlign w:val="bottom"/>
          </w:tcPr>
          <w:p>
            <w:pPr>
              <w:jc w:val="center"/>
              <w:ind w:left="1836"/>
              <w:spacing w:after="0"/>
              <w:rPr>
                <w:sz w:val="20"/>
                <w:szCs w:val="20"/>
                <w:color w:val="auto"/>
              </w:rPr>
            </w:pPr>
            <w:r>
              <w:rPr>
                <w:rFonts w:ascii="Calibri" w:cs="Calibri" w:eastAsia="Calibri" w:hAnsi="Calibri"/>
                <w:sz w:val="16"/>
                <w:szCs w:val="16"/>
                <w:color w:val="auto"/>
                <w:w w:val="98"/>
              </w:rPr>
              <w:t>(millions of soles)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17145</wp:posOffset>
            </wp:positionV>
            <wp:extent cx="6336030" cy="12141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36030"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Other Non-Core Income</w:t>
      </w:r>
    </w:p>
    <w:p>
      <w:pPr>
        <w:spacing w:after="0" w:line="1"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YTD evoluton</w:t>
      </w:r>
    </w:p>
    <w:p>
      <w:pPr>
        <w:jc w:val="center"/>
        <w:spacing w:after="0" w:line="234" w:lineRule="auto"/>
        <w:rPr>
          <w:sz w:val="20"/>
          <w:szCs w:val="20"/>
          <w:color w:val="auto"/>
        </w:rPr>
      </w:pPr>
      <w:r>
        <w:rPr>
          <w:rFonts w:ascii="Calibri" w:cs="Calibri" w:eastAsia="Calibri" w:hAnsi="Calibri"/>
          <w:sz w:val="16"/>
          <w:szCs w:val="16"/>
          <w:color w:val="auto"/>
        </w:rPr>
        <w:t>(millions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17780</wp:posOffset>
            </wp:positionV>
            <wp:extent cx="3411855" cy="14706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11855" cy="147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11"/>
          <w:szCs w:val="11"/>
          <w:color w:val="auto"/>
        </w:rPr>
        <w:t>(1) Others: include Grupo Credito, Credicorp Stand-alone, eliminatons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610235</wp:posOffset>
            </wp:positionV>
            <wp:extent cx="713740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89535</wp:posOffset>
            </wp:positionV>
            <wp:extent cx="6484620" cy="3797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84620" cy="379730"/>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35" w:name="page36"/>
    <w:bookmarkEnd w:id="35"/>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220980</wp:posOffset>
            </wp:positionV>
            <wp:extent cx="7137400" cy="628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06. Other Income</w:t>
      </w:r>
    </w:p>
    <w:p>
      <w:pPr>
        <w:spacing w:after="0" w:line="2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 Other Non-core Income </w:t>
      </w:r>
      <w:r>
        <w:rPr>
          <w:rFonts w:ascii="Calibri" w:cs="Calibri" w:eastAsia="Calibri" w:hAnsi="Calibri"/>
          <w:sz w:val="17"/>
          <w:szCs w:val="17"/>
          <w:color w:val="auto"/>
        </w:rPr>
        <w:t>dropped 21.7%, driven mainly by:</w:t>
      </w:r>
    </w:p>
    <w:p>
      <w:pPr>
        <w:spacing w:after="0" w:line="235" w:lineRule="exact"/>
        <w:rPr>
          <w:sz w:val="20"/>
          <w:szCs w:val="20"/>
          <w:color w:val="auto"/>
        </w:rPr>
      </w:pPr>
    </w:p>
    <w:p>
      <w:pPr>
        <w:ind w:left="780" w:hanging="308"/>
        <w:spacing w:after="0"/>
        <w:tabs>
          <w:tab w:leader="none" w:pos="780" w:val="left"/>
        </w:tabs>
        <w:numPr>
          <w:ilvl w:val="0"/>
          <w:numId w:val="40"/>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Other Income: </w:t>
      </w:r>
      <w:r>
        <w:rPr>
          <w:rFonts w:ascii="Calibri" w:cs="Calibri" w:eastAsia="Calibri" w:hAnsi="Calibri"/>
          <w:sz w:val="17"/>
          <w:szCs w:val="17"/>
          <w:color w:val="auto"/>
        </w:rPr>
        <w:t>in</w:t>
      </w:r>
      <w:r>
        <w:rPr>
          <w:rFonts w:ascii="Calibri" w:cs="Calibri" w:eastAsia="Calibri" w:hAnsi="Calibri"/>
          <w:sz w:val="17"/>
          <w:szCs w:val="17"/>
          <w:b w:val="1"/>
          <w:bCs w:val="1"/>
          <w:color w:val="auto"/>
        </w:rPr>
        <w:t xml:space="preserve"> Others, </w:t>
      </w:r>
      <w:r>
        <w:rPr>
          <w:rFonts w:ascii="Calibri" w:cs="Calibri" w:eastAsia="Calibri" w:hAnsi="Calibri"/>
          <w:sz w:val="17"/>
          <w:szCs w:val="17"/>
          <w:color w:val="auto"/>
        </w:rPr>
        <w:t>due to the extraordinary gain associated with the consolidaton of Banmedica from 1Q25 of S/236 million.</w:t>
      </w:r>
    </w:p>
    <w:p>
      <w:pPr>
        <w:spacing w:after="0" w:line="2" w:lineRule="exact"/>
        <w:rPr>
          <w:rFonts w:ascii="Calibri" w:cs="Calibri" w:eastAsia="Calibri" w:hAnsi="Calibri"/>
          <w:sz w:val="17"/>
          <w:szCs w:val="17"/>
          <w:color w:val="auto"/>
        </w:rPr>
      </w:pPr>
    </w:p>
    <w:p>
      <w:pPr>
        <w:jc w:val="both"/>
        <w:ind w:left="780" w:hanging="308"/>
        <w:spacing w:after="0" w:line="239" w:lineRule="auto"/>
        <w:tabs>
          <w:tab w:leader="none" w:pos="780" w:val="left"/>
        </w:tabs>
        <w:numPr>
          <w:ilvl w:val="0"/>
          <w:numId w:val="40"/>
        </w:numPr>
        <w:rPr>
          <w:rFonts w:ascii="Calibri" w:cs="Calibri" w:eastAsia="Calibri" w:hAnsi="Calibri"/>
          <w:sz w:val="17"/>
          <w:szCs w:val="17"/>
          <w:color w:val="auto"/>
        </w:rPr>
      </w:pPr>
      <w:r>
        <w:rPr>
          <w:rFonts w:ascii="Calibri" w:cs="Calibri" w:eastAsia="Calibri" w:hAnsi="Calibri"/>
          <w:sz w:val="17"/>
          <w:szCs w:val="17"/>
          <w:b w:val="1"/>
          <w:bCs w:val="1"/>
          <w:color w:val="auto"/>
        </w:rPr>
        <w:t>Net gain from associates</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Pacifco</w:t>
      </w:r>
      <w:r>
        <w:rPr>
          <w:rFonts w:ascii="Calibri" w:cs="Calibri" w:eastAsia="Calibri" w:hAnsi="Calibri"/>
          <w:sz w:val="17"/>
          <w:szCs w:val="17"/>
          <w:color w:val="auto"/>
        </w:rPr>
        <w:t>, which experienced a change in accountng afer the acquisiton of Banmedica; currently, the results for corporate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health insurance and medical services are consolidated in the Insurance Underwritng Result and Medical Services line rather than in the gain from associates line.</w:t>
      </w:r>
    </w:p>
    <w:p>
      <w:pPr>
        <w:spacing w:after="0" w:line="21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The aforementoned was partally atenuated by growth in </w:t>
      </w:r>
      <w:r>
        <w:rPr>
          <w:rFonts w:ascii="Calibri" w:cs="Calibri" w:eastAsia="Calibri" w:hAnsi="Calibri"/>
          <w:sz w:val="17"/>
          <w:szCs w:val="17"/>
          <w:b w:val="1"/>
          <w:bCs w:val="1"/>
          <w:color w:val="auto"/>
        </w:rPr>
        <w:t>the Net Gain (Loss) on Securites at BCP Stand-alone</w:t>
      </w:r>
      <w:r>
        <w:rPr>
          <w:rFonts w:ascii="Calibri" w:cs="Calibri" w:eastAsia="Calibri" w:hAnsi="Calibri"/>
          <w:sz w:val="17"/>
          <w:szCs w:val="17"/>
          <w:color w:val="auto"/>
        </w:rPr>
        <w:t xml:space="preserve">. This evoluton was driven primarily by an exchange of sovereign bonds in the trading portolio for S/106 million, which extended the duraton of the investment portolio, and secondarily by a base efect at </w:t>
      </w:r>
      <w:r>
        <w:rPr>
          <w:rFonts w:ascii="Calibri" w:cs="Calibri" w:eastAsia="Calibri" w:hAnsi="Calibri"/>
          <w:sz w:val="17"/>
          <w:szCs w:val="17"/>
          <w:b w:val="1"/>
          <w:bCs w:val="1"/>
          <w:color w:val="auto"/>
        </w:rPr>
        <w:t>Pacifco</w:t>
      </w:r>
      <w:r>
        <w:rPr>
          <w:rFonts w:ascii="Calibri" w:cs="Calibri" w:eastAsia="Calibri" w:hAnsi="Calibri"/>
          <w:sz w:val="17"/>
          <w:szCs w:val="17"/>
          <w:color w:val="auto"/>
        </w:rPr>
        <w:t>, which registered less impact from a credit downgrade in the investment portolio this quarter than last, and</w:t>
      </w:r>
      <w:r>
        <w:rPr>
          <w:rFonts w:ascii="Calibri" w:cs="Calibri" w:eastAsia="Calibri" w:hAnsi="Calibri"/>
          <w:sz w:val="17"/>
          <w:szCs w:val="17"/>
          <w:b w:val="1"/>
          <w:bCs w:val="1"/>
          <w:color w:val="auto"/>
        </w:rPr>
        <w:t xml:space="preserve"> Others</w:t>
      </w:r>
      <w:r>
        <w:rPr>
          <w:rFonts w:ascii="Calibri" w:cs="Calibri" w:eastAsia="Calibri" w:hAnsi="Calibri"/>
          <w:sz w:val="17"/>
          <w:szCs w:val="17"/>
          <w:color w:val="auto"/>
        </w:rPr>
        <w:t>, due to a fund devaluaton in 1Q25.</w:t>
      </w:r>
    </w:p>
    <w:p>
      <w:pPr>
        <w:spacing w:after="0" w:line="21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YoY, Other Non-core Income </w:t>
      </w:r>
      <w:r>
        <w:rPr>
          <w:rFonts w:ascii="Calibri" w:cs="Calibri" w:eastAsia="Calibri" w:hAnsi="Calibri"/>
          <w:sz w:val="17"/>
          <w:szCs w:val="17"/>
          <w:color w:val="auto"/>
        </w:rPr>
        <w:t>dropped 6.4% due to:</w:t>
      </w:r>
    </w:p>
    <w:p>
      <w:pPr>
        <w:spacing w:after="0" w:line="236" w:lineRule="exact"/>
        <w:rPr>
          <w:sz w:val="20"/>
          <w:szCs w:val="20"/>
          <w:color w:val="auto"/>
        </w:rPr>
      </w:pPr>
    </w:p>
    <w:p>
      <w:pPr>
        <w:ind w:left="780" w:hanging="308"/>
        <w:spacing w:after="0" w:line="239" w:lineRule="auto"/>
        <w:tabs>
          <w:tab w:leader="none" w:pos="780" w:val="left"/>
        </w:tabs>
        <w:numPr>
          <w:ilvl w:val="0"/>
          <w:numId w:val="4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Other income: </w:t>
      </w:r>
      <w:r>
        <w:rPr>
          <w:rFonts w:ascii="Calibri" w:cs="Calibri" w:eastAsia="Calibri" w:hAnsi="Calibri"/>
          <w:sz w:val="17"/>
          <w:szCs w:val="17"/>
          <w:color w:val="auto"/>
        </w:rPr>
        <w:t>due to a 2Q24 base efect, where signifcant gains were recorded in (ii)</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driven primarily by the sale of real estate, and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(ii) </w:t>
      </w:r>
      <w:r>
        <w:rPr>
          <w:rFonts w:ascii="Calibri" w:cs="Calibri" w:eastAsia="Calibri" w:hAnsi="Calibri"/>
          <w:sz w:val="17"/>
          <w:szCs w:val="17"/>
          <w:b w:val="1"/>
          <w:bCs w:val="1"/>
          <w:color w:val="auto"/>
        </w:rPr>
        <w:t>Pacifco</w:t>
      </w:r>
      <w:r>
        <w:rPr>
          <w:rFonts w:ascii="Calibri" w:cs="Calibri" w:eastAsia="Calibri" w:hAnsi="Calibri"/>
          <w:sz w:val="17"/>
          <w:szCs w:val="17"/>
          <w:color w:val="auto"/>
        </w:rPr>
        <w:t>, due to a provision reversal.</w:t>
      </w:r>
    </w:p>
    <w:p>
      <w:pPr>
        <w:spacing w:after="0" w:line="1" w:lineRule="exact"/>
        <w:rPr>
          <w:rFonts w:ascii="Calibri" w:cs="Calibri" w:eastAsia="Calibri" w:hAnsi="Calibri"/>
          <w:sz w:val="17"/>
          <w:szCs w:val="17"/>
          <w:color w:val="auto"/>
        </w:rPr>
      </w:pPr>
    </w:p>
    <w:p>
      <w:pPr>
        <w:ind w:left="780" w:hanging="308"/>
        <w:spacing w:after="0"/>
        <w:tabs>
          <w:tab w:leader="none" w:pos="780" w:val="left"/>
        </w:tabs>
        <w:numPr>
          <w:ilvl w:val="0"/>
          <w:numId w:val="41"/>
        </w:numPr>
        <w:rPr>
          <w:rFonts w:ascii="Calibri" w:cs="Calibri" w:eastAsia="Calibri" w:hAnsi="Calibri"/>
          <w:sz w:val="17"/>
          <w:szCs w:val="17"/>
          <w:color w:val="auto"/>
        </w:rPr>
      </w:pPr>
      <w:r>
        <w:rPr>
          <w:rFonts w:ascii="Calibri" w:cs="Calibri" w:eastAsia="Calibri" w:hAnsi="Calibri"/>
          <w:sz w:val="17"/>
          <w:szCs w:val="17"/>
          <w:b w:val="1"/>
          <w:bCs w:val="1"/>
          <w:color w:val="auto"/>
        </w:rPr>
        <w:t>Net gain from associates</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Pacifco</w:t>
      </w:r>
      <w:r>
        <w:rPr>
          <w:rFonts w:ascii="Calibri" w:cs="Calibri" w:eastAsia="Calibri" w:hAnsi="Calibri"/>
          <w:sz w:val="17"/>
          <w:szCs w:val="17"/>
          <w:color w:val="auto"/>
        </w:rPr>
        <w:t>, in line with the same factors that drove the QoQ analysis.</w:t>
      </w:r>
    </w:p>
    <w:p>
      <w:pPr>
        <w:spacing w:after="0" w:line="2" w:lineRule="exact"/>
        <w:rPr>
          <w:rFonts w:ascii="Calibri" w:cs="Calibri" w:eastAsia="Calibri" w:hAnsi="Calibri"/>
          <w:sz w:val="17"/>
          <w:szCs w:val="17"/>
          <w:color w:val="auto"/>
        </w:rPr>
      </w:pPr>
    </w:p>
    <w:p>
      <w:pPr>
        <w:ind w:left="780" w:right="520" w:hanging="308"/>
        <w:spacing w:after="0" w:line="239" w:lineRule="auto"/>
        <w:tabs>
          <w:tab w:leader="none" w:pos="780" w:val="left"/>
        </w:tabs>
        <w:numPr>
          <w:ilvl w:val="0"/>
          <w:numId w:val="41"/>
        </w:numPr>
        <w:rPr>
          <w:rFonts w:ascii="Calibri" w:cs="Calibri" w:eastAsia="Calibri" w:hAnsi="Calibri"/>
          <w:sz w:val="17"/>
          <w:szCs w:val="17"/>
          <w:color w:val="auto"/>
        </w:rPr>
      </w:pPr>
      <w:r>
        <w:rPr>
          <w:rFonts w:ascii="Calibri" w:cs="Calibri" w:eastAsia="Calibri" w:hAnsi="Calibri"/>
          <w:sz w:val="17"/>
          <w:szCs w:val="17"/>
          <w:b w:val="1"/>
          <w:bCs w:val="1"/>
          <w:color w:val="auto"/>
        </w:rPr>
        <w:t>Net gain (loss) on Derivatves Held for Trading</w:t>
      </w:r>
      <w:r>
        <w:rPr>
          <w:rFonts w:ascii="Calibri" w:cs="Calibri" w:eastAsia="Calibri" w:hAnsi="Calibri"/>
          <w:sz w:val="17"/>
          <w:szCs w:val="17"/>
          <w:color w:val="auto"/>
        </w:rPr>
        <w:t>: due to a 2Q24 base efect, when stronger results were recorded in (i)</w:t>
      </w:r>
      <w:r>
        <w:rPr>
          <w:rFonts w:ascii="Calibri" w:cs="Calibri" w:eastAsia="Calibri" w:hAnsi="Calibri"/>
          <w:sz w:val="17"/>
          <w:szCs w:val="17"/>
          <w:b w:val="1"/>
          <w:bCs w:val="1"/>
          <w:color w:val="auto"/>
        </w:rPr>
        <w:t xml:space="preserve"> Credicorp Capital</w:t>
      </w:r>
      <w:r>
        <w:rPr>
          <w:rFonts w:ascii="Calibri" w:cs="Calibri" w:eastAsia="Calibri" w:hAnsi="Calibri"/>
          <w:sz w:val="17"/>
          <w:szCs w:val="17"/>
          <w:color w:val="auto"/>
        </w:rPr>
        <w:t>, driven by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trading strategies implemented in Colombia and Chile, and (ii) </w:t>
      </w:r>
      <w:r>
        <w:rPr>
          <w:rFonts w:ascii="Calibri" w:cs="Calibri" w:eastAsia="Calibri" w:hAnsi="Calibri"/>
          <w:sz w:val="17"/>
          <w:szCs w:val="17"/>
          <w:b w:val="1"/>
          <w:bCs w:val="1"/>
          <w:color w:val="auto"/>
        </w:rPr>
        <w:t>ASB</w:t>
      </w:r>
      <w:r>
        <w:rPr>
          <w:rFonts w:ascii="Calibri" w:cs="Calibri" w:eastAsia="Calibri" w:hAnsi="Calibri"/>
          <w:sz w:val="17"/>
          <w:szCs w:val="17"/>
          <w:color w:val="auto"/>
        </w:rPr>
        <w:t>, due to gains from foreign exchange hedging derivatves.</w:t>
      </w:r>
    </w:p>
    <w:p>
      <w:pPr>
        <w:spacing w:after="0" w:line="146"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The aforementoned was partally atenuated by an increase in the result for the </w:t>
      </w:r>
      <w:r>
        <w:rPr>
          <w:rFonts w:ascii="Calibri" w:cs="Calibri" w:eastAsia="Calibri" w:hAnsi="Calibri"/>
          <w:sz w:val="17"/>
          <w:szCs w:val="17"/>
          <w:b w:val="1"/>
          <w:bCs w:val="1"/>
          <w:color w:val="auto"/>
        </w:rPr>
        <w:t>Net Gain (Loss) on Securites</w:t>
      </w:r>
      <w:r>
        <w:rPr>
          <w:rFonts w:ascii="Calibri" w:cs="Calibri" w:eastAsia="Calibri" w:hAnsi="Calibri"/>
          <w:sz w:val="17"/>
          <w:szCs w:val="17"/>
          <w:color w:val="auto"/>
        </w:rPr>
        <w:t xml:space="preserve">, which rose primarily on the back of beter results at </w:t>
      </w:r>
      <w:r>
        <w:rPr>
          <w:rFonts w:ascii="Calibri" w:cs="Calibri" w:eastAsia="Calibri" w:hAnsi="Calibri"/>
          <w:sz w:val="17"/>
          <w:szCs w:val="17"/>
          <w:b w:val="1"/>
          <w:bCs w:val="1"/>
          <w:color w:val="auto"/>
        </w:rPr>
        <w:t xml:space="preserve">BCP Stand-alone, </w:t>
      </w:r>
      <w:r>
        <w:rPr>
          <w:rFonts w:ascii="Calibri" w:cs="Calibri" w:eastAsia="Calibri" w:hAnsi="Calibri"/>
          <w:sz w:val="17"/>
          <w:szCs w:val="17"/>
          <w:color w:val="auto"/>
        </w:rPr>
        <w:t>through the same drivers seen in the QoQ analysis, and to a lesser extent, through an improvement in the</w:t>
      </w:r>
      <w:r>
        <w:rPr>
          <w:rFonts w:ascii="Calibri" w:cs="Calibri" w:eastAsia="Calibri" w:hAnsi="Calibri"/>
          <w:sz w:val="17"/>
          <w:szCs w:val="17"/>
          <w:b w:val="1"/>
          <w:bCs w:val="1"/>
          <w:color w:val="auto"/>
        </w:rPr>
        <w:t xml:space="preserve"> Net Gain (Loss) from Exchange Diference at ASB</w:t>
      </w:r>
      <w:r>
        <w:rPr>
          <w:rFonts w:ascii="Calibri" w:cs="Calibri" w:eastAsia="Calibri" w:hAnsi="Calibri"/>
          <w:sz w:val="17"/>
          <w:szCs w:val="17"/>
          <w:color w:val="auto"/>
        </w:rPr>
        <w:t>, which was fueled by treasury gains to cover exposure in local currencies.</w:t>
      </w:r>
    </w:p>
    <w:p>
      <w:pPr>
        <w:spacing w:after="0" w:line="21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YTD, Other Non-core Income </w:t>
      </w:r>
      <w:r>
        <w:rPr>
          <w:rFonts w:ascii="Calibri" w:cs="Calibri" w:eastAsia="Calibri" w:hAnsi="Calibri"/>
          <w:sz w:val="17"/>
          <w:szCs w:val="17"/>
          <w:color w:val="auto"/>
        </w:rPr>
        <w:t>rose 19.6% due to:</w:t>
      </w:r>
    </w:p>
    <w:p>
      <w:pPr>
        <w:spacing w:after="0" w:line="235" w:lineRule="exact"/>
        <w:rPr>
          <w:sz w:val="20"/>
          <w:szCs w:val="20"/>
          <w:color w:val="auto"/>
        </w:rPr>
      </w:pPr>
    </w:p>
    <w:p>
      <w:pPr>
        <w:ind w:left="780" w:hanging="308"/>
        <w:spacing w:after="0"/>
        <w:tabs>
          <w:tab w:leader="none" w:pos="780" w:val="left"/>
        </w:tabs>
        <w:numPr>
          <w:ilvl w:val="0"/>
          <w:numId w:val="42"/>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Other Income: </w:t>
      </w:r>
      <w:r>
        <w:rPr>
          <w:rFonts w:ascii="Calibri" w:cs="Calibri" w:eastAsia="Calibri" w:hAnsi="Calibri"/>
          <w:sz w:val="17"/>
          <w:szCs w:val="17"/>
          <w:color w:val="auto"/>
        </w:rPr>
        <w:t>in</w:t>
      </w:r>
      <w:r>
        <w:rPr>
          <w:rFonts w:ascii="Calibri" w:cs="Calibri" w:eastAsia="Calibri" w:hAnsi="Calibri"/>
          <w:sz w:val="17"/>
          <w:szCs w:val="17"/>
          <w:b w:val="1"/>
          <w:bCs w:val="1"/>
          <w:color w:val="auto"/>
        </w:rPr>
        <w:t xml:space="preserve"> Others, </w:t>
      </w:r>
      <w:r>
        <w:rPr>
          <w:rFonts w:ascii="Calibri" w:cs="Calibri" w:eastAsia="Calibri" w:hAnsi="Calibri"/>
          <w:sz w:val="17"/>
          <w:szCs w:val="17"/>
          <w:color w:val="auto"/>
        </w:rPr>
        <w:t>due to an extraordinary gain for the acquisiton of Banmedica.</w:t>
      </w:r>
    </w:p>
    <w:p>
      <w:pPr>
        <w:ind w:left="780" w:hanging="308"/>
        <w:spacing w:after="0"/>
        <w:tabs>
          <w:tab w:leader="none" w:pos="780" w:val="left"/>
        </w:tabs>
        <w:numPr>
          <w:ilvl w:val="0"/>
          <w:numId w:val="42"/>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Net Gain (Loss) from Exchange Diference: </w:t>
      </w:r>
      <w:r>
        <w:rPr>
          <w:rFonts w:ascii="Calibri" w:cs="Calibri" w:eastAsia="Calibri" w:hAnsi="Calibri"/>
          <w:sz w:val="17"/>
          <w:szCs w:val="17"/>
          <w:color w:val="auto"/>
        </w:rPr>
        <w:t>at</w:t>
      </w:r>
      <w:r>
        <w:rPr>
          <w:rFonts w:ascii="Calibri" w:cs="Calibri" w:eastAsia="Calibri" w:hAnsi="Calibri"/>
          <w:sz w:val="17"/>
          <w:szCs w:val="17"/>
          <w:b w:val="1"/>
          <w:bCs w:val="1"/>
          <w:color w:val="auto"/>
        </w:rPr>
        <w:t xml:space="preserve"> ASB</w:t>
      </w:r>
      <w:r>
        <w:rPr>
          <w:rFonts w:ascii="Calibri" w:cs="Calibri" w:eastAsia="Calibri" w:hAnsi="Calibri"/>
          <w:sz w:val="17"/>
          <w:szCs w:val="17"/>
          <w:color w:val="auto"/>
        </w:rPr>
        <w:t>, driven by the same factors seen in the YoY analysis.</w:t>
      </w:r>
    </w:p>
    <w:p>
      <w:pPr>
        <w:spacing w:after="0" w:line="2" w:lineRule="exact"/>
        <w:rPr>
          <w:rFonts w:ascii="Calibri" w:cs="Calibri" w:eastAsia="Calibri" w:hAnsi="Calibri"/>
          <w:sz w:val="17"/>
          <w:szCs w:val="17"/>
          <w:color w:val="auto"/>
        </w:rPr>
      </w:pPr>
    </w:p>
    <w:p>
      <w:pPr>
        <w:ind w:left="780" w:right="60" w:hanging="308"/>
        <w:spacing w:after="0" w:line="239" w:lineRule="auto"/>
        <w:tabs>
          <w:tab w:leader="none" w:pos="780" w:val="left"/>
        </w:tabs>
        <w:numPr>
          <w:ilvl w:val="0"/>
          <w:numId w:val="42"/>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Net Gain (Loss) on Securites: </w:t>
      </w:r>
      <w:r>
        <w:rPr>
          <w:rFonts w:ascii="Calibri" w:cs="Calibri" w:eastAsia="Calibri" w:hAnsi="Calibri"/>
          <w:sz w:val="17"/>
          <w:szCs w:val="17"/>
          <w:color w:val="auto"/>
        </w:rPr>
        <w:t>where higher income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related to a sovereign bond exchange, was ofset by</w:t>
      </w:r>
      <w:r>
        <w:rPr>
          <w:rFonts w:ascii="Calibri" w:cs="Calibri" w:eastAsia="Calibri" w:hAnsi="Calibri"/>
          <w:sz w:val="17"/>
          <w:szCs w:val="17"/>
          <w:b w:val="1"/>
          <w:bCs w:val="1"/>
          <w:color w:val="auto"/>
        </w:rPr>
        <w:t xml:space="preserve"> Pacífco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Others</w:t>
      </w:r>
      <w:r>
        <w:rPr>
          <w:rFonts w:ascii="Calibri" w:cs="Calibri" w:eastAsia="Calibri" w:hAnsi="Calibri"/>
          <w:sz w:val="17"/>
          <w:szCs w:val="17"/>
          <w:color w:val="auto"/>
        </w:rPr>
        <w:t>, in line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with the QoQ analysis.</w:t>
      </w:r>
    </w:p>
    <w:p>
      <w:pPr>
        <w:spacing w:after="0" w:line="211"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 xml:space="preserve">The aforementoned was atenuated by the </w:t>
      </w:r>
      <w:r>
        <w:rPr>
          <w:rFonts w:ascii="Calibri" w:cs="Calibri" w:eastAsia="Calibri" w:hAnsi="Calibri"/>
          <w:sz w:val="17"/>
          <w:szCs w:val="17"/>
          <w:b w:val="1"/>
          <w:bCs w:val="1"/>
          <w:color w:val="auto"/>
        </w:rPr>
        <w:t>Net Gain (Loss) on Derivatves Held for Trading</w:t>
      </w:r>
      <w:r>
        <w:rPr>
          <w:rFonts w:ascii="Calibri" w:cs="Calibri" w:eastAsia="Calibri" w:hAnsi="Calibri"/>
          <w:sz w:val="17"/>
          <w:szCs w:val="17"/>
          <w:color w:val="auto"/>
        </w:rPr>
        <w:t xml:space="preserve">, driven by the same factors in play YoY, and by the </w:t>
      </w:r>
      <w:r>
        <w:rPr>
          <w:rFonts w:ascii="Calibri" w:cs="Calibri" w:eastAsia="Calibri" w:hAnsi="Calibri"/>
          <w:sz w:val="17"/>
          <w:szCs w:val="17"/>
          <w:b w:val="1"/>
          <w:bCs w:val="1"/>
          <w:color w:val="auto"/>
        </w:rPr>
        <w:t>Net Gain from</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Associates</w:t>
      </w:r>
      <w:r>
        <w:rPr>
          <w:rFonts w:ascii="Calibri" w:cs="Calibri" w:eastAsia="Calibri" w:hAnsi="Calibri"/>
          <w:sz w:val="17"/>
          <w:szCs w:val="17"/>
          <w:color w:val="auto"/>
        </w:rPr>
        <w:t>, which will contnue to be impacted in coming quarters as the results of the Group’s main associate (Banmedica) are no longer consolidated under this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734695</wp:posOffset>
            </wp:positionV>
            <wp:extent cx="713740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148590</wp:posOffset>
            </wp:positionV>
            <wp:extent cx="6468110" cy="445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68110" cy="44577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07 </w:t>
      </w:r>
      <w:r>
        <w:rPr>
          <w:rFonts w:ascii="Calibri" w:cs="Calibri" w:eastAsia="Calibri" w:hAnsi="Calibri"/>
          <w:sz w:val="31"/>
          <w:szCs w:val="31"/>
          <w:color w:val="E93BAC"/>
        </w:rPr>
        <w:t>Insurance Underwritng and Medical Services Results</w:t>
      </w:r>
    </w:p>
    <w:p>
      <w:pPr>
        <w:spacing w:after="0" w:line="245" w:lineRule="exact"/>
        <w:rPr>
          <w:sz w:val="20"/>
          <w:szCs w:val="20"/>
          <w:color w:val="auto"/>
        </w:rPr>
      </w:pPr>
    </w:p>
    <w:p>
      <w:pPr>
        <w:ind w:left="120" w:right="140"/>
        <w:spacing w:after="0" w:line="239" w:lineRule="auto"/>
        <w:rPr>
          <w:sz w:val="20"/>
          <w:szCs w:val="20"/>
          <w:color w:val="auto"/>
        </w:rPr>
      </w:pPr>
      <w:r>
        <w:rPr>
          <w:rFonts w:ascii="Calibri" w:cs="Calibri" w:eastAsia="Calibri" w:hAnsi="Calibri"/>
          <w:sz w:val="17"/>
          <w:szCs w:val="17"/>
          <w:color w:val="FFFFFF"/>
        </w:rPr>
        <w:t>QoQ, the Insurance Underwritng Result rose 6.6%, driven primarily by (i) the Life Business via a drop in Insurance Service Expenses, which registered a decrease in claims in Credit Life and D&amp;S lines, and (ii) by the EPS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-248285</wp:posOffset>
            </wp:positionV>
            <wp:extent cx="7137400" cy="7518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7400" cy="751840"/>
                    </a:xfrm>
                    <a:prstGeom prst="rect">
                      <a:avLst/>
                    </a:prstGeom>
                    <a:noFill/>
                  </pic:spPr>
                </pic:pic>
              </a:graphicData>
            </a:graphic>
          </wp:anchor>
        </w:drawing>
      </w:r>
    </w:p>
    <w:p>
      <w:pPr>
        <w:spacing w:after="0" w:line="126" w:lineRule="exact"/>
        <w:rPr>
          <w:sz w:val="20"/>
          <w:szCs w:val="20"/>
          <w:color w:val="auto"/>
        </w:rPr>
      </w:pPr>
    </w:p>
    <w:p>
      <w:pPr>
        <w:jc w:val="both"/>
        <w:ind w:left="120" w:right="100"/>
        <w:spacing w:after="0" w:line="239" w:lineRule="auto"/>
        <w:rPr>
          <w:sz w:val="20"/>
          <w:szCs w:val="20"/>
          <w:color w:val="auto"/>
        </w:rPr>
      </w:pPr>
      <w:r>
        <w:rPr>
          <w:rFonts w:ascii="Calibri" w:cs="Calibri" w:eastAsia="Calibri" w:hAnsi="Calibri"/>
          <w:sz w:val="17"/>
          <w:szCs w:val="17"/>
          <w:color w:val="FFFFFF"/>
        </w:rPr>
        <w:t>YoY and YTD, results increased 11.2% and 14.4% respectvely on the back of growth in (i) the Life Business, through a drop in Insurance Service expenses in Individual Life; and growth in income in Credit Life, (ii) P &amp; C, fueled by an increase in Insurance Income Services in Personal Lines and a reducton in expenses in Cars, and (iii) the EPS business.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980" w:type="dxa"/>
            <w:vAlign w:val="bottom"/>
            <w:tcBorders>
              <w:top w:val="single" w:sz="8" w:color="auto"/>
              <w:left w:val="single" w:sz="8" w:color="auto"/>
              <w:right w:val="single" w:sz="8" w:color="auto"/>
            </w:tcBorders>
            <w:gridSpan w:val="2"/>
            <w:shd w:val="clear" w:color="auto" w:fill="33CCCC"/>
          </w:tcPr>
          <w:p>
            <w:pPr>
              <w:ind w:left="20"/>
              <w:spacing w:after="0" w:line="145" w:lineRule="exact"/>
              <w:rPr>
                <w:sz w:val="20"/>
                <w:szCs w:val="20"/>
                <w:color w:val="auto"/>
              </w:rPr>
            </w:pPr>
            <w:r>
              <w:rPr>
                <w:rFonts w:ascii="Calibri" w:cs="Calibri" w:eastAsia="Calibri" w:hAnsi="Calibri"/>
                <w:sz w:val="12"/>
                <w:szCs w:val="12"/>
                <w:b w:val="1"/>
                <w:bCs w:val="1"/>
                <w:color w:val="FFFFFF"/>
              </w:rPr>
              <w:t>Insurance Underwritng Results</w:t>
            </w:r>
          </w:p>
        </w:tc>
        <w:tc>
          <w:tcPr>
            <w:tcW w:w="840" w:type="dxa"/>
            <w:vAlign w:val="bottom"/>
            <w:tcBorders>
              <w:top w:val="single" w:sz="8" w:color="auto"/>
            </w:tcBorders>
            <w:shd w:val="clear" w:color="auto" w:fill="33CCCC"/>
          </w:tcPr>
          <w:p>
            <w:pPr>
              <w:spacing w:after="0"/>
              <w:rPr>
                <w:sz w:val="12"/>
                <w:szCs w:val="12"/>
                <w:color w:val="auto"/>
              </w:rPr>
            </w:pPr>
          </w:p>
        </w:tc>
        <w:tc>
          <w:tcPr>
            <w:tcW w:w="940" w:type="dxa"/>
            <w:vAlign w:val="bottom"/>
            <w:tcBorders>
              <w:top w:val="single" w:sz="8" w:color="auto"/>
            </w:tcBorders>
            <w:shd w:val="clear" w:color="auto" w:fill="33CCCC"/>
          </w:tcPr>
          <w:p>
            <w:pPr>
              <w:ind w:left="240"/>
              <w:spacing w:after="0" w:line="145" w:lineRule="exact"/>
              <w:rPr>
                <w:sz w:val="20"/>
                <w:szCs w:val="20"/>
                <w:color w:val="auto"/>
              </w:rPr>
            </w:pPr>
            <w:r>
              <w:rPr>
                <w:rFonts w:ascii="Calibri" w:cs="Calibri" w:eastAsia="Calibri" w:hAnsi="Calibri"/>
                <w:sz w:val="12"/>
                <w:szCs w:val="12"/>
                <w:b w:val="1"/>
                <w:bCs w:val="1"/>
                <w:color w:val="FFFFFF"/>
              </w:rPr>
              <w:t>Quarterly</w:t>
            </w:r>
          </w:p>
        </w:tc>
        <w:tc>
          <w:tcPr>
            <w:tcW w:w="880" w:type="dxa"/>
            <w:vAlign w:val="bottom"/>
            <w:tcBorders>
              <w:top w:val="single" w:sz="8" w:color="auto"/>
              <w:right w:val="single" w:sz="8" w:color="auto"/>
            </w:tcBorders>
            <w:shd w:val="clear" w:color="auto" w:fill="33CCCC"/>
          </w:tcPr>
          <w:p>
            <w:pPr>
              <w:spacing w:after="0"/>
              <w:rPr>
                <w:sz w:val="12"/>
                <w:szCs w:val="12"/>
                <w:color w:val="auto"/>
              </w:rPr>
            </w:pPr>
          </w:p>
        </w:tc>
        <w:tc>
          <w:tcPr>
            <w:tcW w:w="620" w:type="dxa"/>
            <w:vAlign w:val="bottom"/>
            <w:tcBorders>
              <w:top w:val="single" w:sz="8" w:color="auto"/>
            </w:tcBorders>
            <w:shd w:val="clear" w:color="auto" w:fill="33CCCC"/>
          </w:tcPr>
          <w:p>
            <w:pPr>
              <w:spacing w:after="0"/>
              <w:rPr>
                <w:sz w:val="12"/>
                <w:szCs w:val="12"/>
                <w:color w:val="auto"/>
              </w:rPr>
            </w:pPr>
          </w:p>
        </w:tc>
        <w:tc>
          <w:tcPr>
            <w:tcW w:w="1160" w:type="dxa"/>
            <w:vAlign w:val="bottom"/>
            <w:tcBorders>
              <w:top w:val="single" w:sz="8" w:color="auto"/>
              <w:right w:val="single" w:sz="8" w:color="auto"/>
            </w:tcBorders>
            <w:shd w:val="clear" w:color="auto" w:fill="33CCCC"/>
          </w:tcPr>
          <w:p>
            <w:pPr>
              <w:ind w:left="20"/>
              <w:spacing w:after="0" w:line="145" w:lineRule="exact"/>
              <w:rPr>
                <w:sz w:val="20"/>
                <w:szCs w:val="20"/>
                <w:color w:val="auto"/>
              </w:rPr>
            </w:pPr>
            <w:r>
              <w:rPr>
                <w:rFonts w:ascii="Calibri" w:cs="Calibri" w:eastAsia="Calibri" w:hAnsi="Calibri"/>
                <w:sz w:val="12"/>
                <w:szCs w:val="12"/>
                <w:b w:val="1"/>
                <w:bCs w:val="1"/>
                <w:color w:val="FFFFFF"/>
              </w:rPr>
              <w:t>% Change</w:t>
            </w:r>
          </w:p>
        </w:tc>
        <w:tc>
          <w:tcPr>
            <w:tcW w:w="700" w:type="dxa"/>
            <w:vAlign w:val="bottom"/>
            <w:tcBorders>
              <w:top w:val="single" w:sz="8" w:color="auto"/>
            </w:tcBorders>
            <w:shd w:val="clear" w:color="auto" w:fill="33CCCC"/>
          </w:tcPr>
          <w:p>
            <w:pPr>
              <w:spacing w:after="0"/>
              <w:rPr>
                <w:sz w:val="12"/>
                <w:szCs w:val="12"/>
                <w:color w:val="auto"/>
              </w:rPr>
            </w:pPr>
          </w:p>
        </w:tc>
        <w:tc>
          <w:tcPr>
            <w:tcW w:w="1100" w:type="dxa"/>
            <w:vAlign w:val="bottom"/>
            <w:tcBorders>
              <w:top w:val="single" w:sz="8" w:color="auto"/>
              <w:right w:val="single" w:sz="8" w:color="auto"/>
            </w:tcBorders>
            <w:shd w:val="clear" w:color="auto" w:fill="33CCCC"/>
          </w:tcPr>
          <w:p>
            <w:pPr>
              <w:ind w:left="60"/>
              <w:spacing w:after="0" w:line="145" w:lineRule="exact"/>
              <w:rPr>
                <w:sz w:val="20"/>
                <w:szCs w:val="20"/>
                <w:color w:val="auto"/>
              </w:rPr>
            </w:pPr>
            <w:r>
              <w:rPr>
                <w:rFonts w:ascii="Calibri" w:cs="Calibri" w:eastAsia="Calibri" w:hAnsi="Calibri"/>
                <w:sz w:val="12"/>
                <w:szCs w:val="12"/>
                <w:b w:val="1"/>
                <w:bCs w:val="1"/>
                <w:color w:val="FFFFFF"/>
              </w:rPr>
              <w:t>Up to</w:t>
            </w:r>
          </w:p>
        </w:tc>
        <w:tc>
          <w:tcPr>
            <w:tcW w:w="1040" w:type="dxa"/>
            <w:vAlign w:val="bottom"/>
            <w:tcBorders>
              <w:top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%Change</w:t>
            </w:r>
          </w:p>
        </w:tc>
      </w:tr>
      <w:tr>
        <w:trPr>
          <w:trHeight w:val="150"/>
        </w:trPr>
        <w:tc>
          <w:tcPr>
            <w:tcW w:w="1040" w:type="dxa"/>
            <w:vAlign w:val="bottom"/>
            <w:tcBorders>
              <w:left w:val="single" w:sz="8" w:color="auto"/>
              <w:bottom w:val="single" w:sz="8" w:color="auto"/>
              <w:right w:val="single" w:sz="8" w:color="33CCCC"/>
            </w:tcBorders>
            <w:shd w:val="clear" w:color="auto" w:fill="33CCCC"/>
          </w:tcPr>
          <w:p>
            <w:pPr>
              <w:ind w:left="20"/>
              <w:spacing w:after="0" w:line="145" w:lineRule="exact"/>
              <w:rPr>
                <w:sz w:val="20"/>
                <w:szCs w:val="20"/>
                <w:color w:val="auto"/>
              </w:rPr>
            </w:pPr>
            <w:r>
              <w:rPr>
                <w:rFonts w:ascii="Calibri" w:cs="Calibri" w:eastAsia="Calibri" w:hAnsi="Calibri"/>
                <w:sz w:val="12"/>
                <w:szCs w:val="12"/>
                <w:b w:val="1"/>
                <w:bCs w:val="1"/>
                <w:color w:val="FFFFFF"/>
              </w:rPr>
              <w:t>S/millions</w:t>
            </w:r>
          </w:p>
        </w:tc>
        <w:tc>
          <w:tcPr>
            <w:tcW w:w="2940" w:type="dxa"/>
            <w:vAlign w:val="bottom"/>
            <w:tcBorders>
              <w:bottom w:val="single" w:sz="8" w:color="auto"/>
              <w:right w:val="single" w:sz="8" w:color="auto"/>
            </w:tcBorders>
            <w:shd w:val="clear" w:color="auto" w:fill="33CCCC"/>
          </w:tcPr>
          <w:p>
            <w:pPr>
              <w:spacing w:after="0"/>
              <w:rPr>
                <w:sz w:val="13"/>
                <w:szCs w:val="13"/>
                <w:color w:val="auto"/>
              </w:rPr>
            </w:pPr>
          </w:p>
        </w:tc>
        <w:tc>
          <w:tcPr>
            <w:tcW w:w="840" w:type="dxa"/>
            <w:vAlign w:val="bottom"/>
            <w:tcBorders>
              <w:bottom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2Q24</w:t>
            </w:r>
          </w:p>
        </w:tc>
        <w:tc>
          <w:tcPr>
            <w:tcW w:w="940" w:type="dxa"/>
            <w:vAlign w:val="bottom"/>
            <w:tcBorders>
              <w:bottom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1Q25</w:t>
            </w:r>
          </w:p>
        </w:tc>
        <w:tc>
          <w:tcPr>
            <w:tcW w:w="88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2Q25</w:t>
            </w:r>
          </w:p>
        </w:tc>
        <w:tc>
          <w:tcPr>
            <w:tcW w:w="620" w:type="dxa"/>
            <w:vAlign w:val="bottom"/>
            <w:tcBorders>
              <w:bottom w:val="single" w:sz="8" w:color="auto"/>
            </w:tcBorders>
            <w:shd w:val="clear" w:color="auto" w:fill="33CCCC"/>
          </w:tcPr>
          <w:p>
            <w:pPr>
              <w:ind w:left="320"/>
              <w:spacing w:after="0" w:line="145" w:lineRule="exact"/>
              <w:rPr>
                <w:sz w:val="20"/>
                <w:szCs w:val="20"/>
                <w:color w:val="auto"/>
              </w:rPr>
            </w:pPr>
            <w:r>
              <w:rPr>
                <w:rFonts w:ascii="Calibri" w:cs="Calibri" w:eastAsia="Calibri" w:hAnsi="Calibri"/>
                <w:sz w:val="12"/>
                <w:szCs w:val="12"/>
                <w:b w:val="1"/>
                <w:bCs w:val="1"/>
                <w:color w:val="FFFFFF"/>
              </w:rPr>
              <w:t>QoQ</w:t>
            </w:r>
          </w:p>
        </w:tc>
        <w:tc>
          <w:tcPr>
            <w:tcW w:w="1160" w:type="dxa"/>
            <w:vAlign w:val="bottom"/>
            <w:tcBorders>
              <w:bottom w:val="single" w:sz="8" w:color="auto"/>
              <w:right w:val="single" w:sz="8" w:color="auto"/>
            </w:tcBorders>
            <w:shd w:val="clear" w:color="auto" w:fill="33CCCC"/>
          </w:tcPr>
          <w:p>
            <w:pPr>
              <w:ind w:left="600"/>
              <w:spacing w:after="0" w:line="145" w:lineRule="exact"/>
              <w:rPr>
                <w:sz w:val="20"/>
                <w:szCs w:val="20"/>
                <w:color w:val="auto"/>
              </w:rPr>
            </w:pPr>
            <w:r>
              <w:rPr>
                <w:rFonts w:ascii="Calibri" w:cs="Calibri" w:eastAsia="Calibri" w:hAnsi="Calibri"/>
                <w:sz w:val="12"/>
                <w:szCs w:val="12"/>
                <w:b w:val="1"/>
                <w:bCs w:val="1"/>
                <w:color w:val="FFFFFF"/>
              </w:rPr>
              <w:t>YoY</w:t>
            </w:r>
          </w:p>
        </w:tc>
        <w:tc>
          <w:tcPr>
            <w:tcW w:w="700" w:type="dxa"/>
            <w:vAlign w:val="bottom"/>
            <w:tcBorders>
              <w:bottom w:val="single" w:sz="8" w:color="auto"/>
            </w:tcBorders>
            <w:shd w:val="clear" w:color="auto" w:fill="33CCCC"/>
          </w:tcPr>
          <w:p>
            <w:pPr>
              <w:ind w:left="280"/>
              <w:spacing w:after="0" w:line="145" w:lineRule="exact"/>
              <w:rPr>
                <w:sz w:val="20"/>
                <w:szCs w:val="20"/>
                <w:color w:val="auto"/>
              </w:rPr>
            </w:pPr>
            <w:r>
              <w:rPr>
                <w:rFonts w:ascii="Calibri" w:cs="Calibri" w:eastAsia="Calibri" w:hAnsi="Calibri"/>
                <w:sz w:val="12"/>
                <w:szCs w:val="12"/>
                <w:b w:val="1"/>
                <w:bCs w:val="1"/>
                <w:color w:val="FFFFFF"/>
              </w:rPr>
              <w:t>Jun 24</w:t>
            </w:r>
          </w:p>
        </w:tc>
        <w:tc>
          <w:tcPr>
            <w:tcW w:w="1100" w:type="dxa"/>
            <w:vAlign w:val="bottom"/>
            <w:tcBorders>
              <w:bottom w:val="single" w:sz="8" w:color="auto"/>
              <w:right w:val="single" w:sz="8" w:color="auto"/>
            </w:tcBorders>
            <w:shd w:val="clear" w:color="auto" w:fill="33CCCC"/>
          </w:tcPr>
          <w:p>
            <w:pPr>
              <w:ind w:left="480"/>
              <w:spacing w:after="0" w:line="145" w:lineRule="exact"/>
              <w:rPr>
                <w:sz w:val="20"/>
                <w:szCs w:val="20"/>
                <w:color w:val="auto"/>
              </w:rPr>
            </w:pPr>
            <w:r>
              <w:rPr>
                <w:rFonts w:ascii="Calibri" w:cs="Calibri" w:eastAsia="Calibri" w:hAnsi="Calibri"/>
                <w:sz w:val="12"/>
                <w:szCs w:val="12"/>
                <w:b w:val="1"/>
                <w:bCs w:val="1"/>
                <w:color w:val="FFFFFF"/>
              </w:rPr>
              <w:t>Jun 25</w:t>
            </w:r>
          </w:p>
        </w:tc>
        <w:tc>
          <w:tcPr>
            <w:tcW w:w="104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Jun 25 / Jun 24</w:t>
            </w:r>
          </w:p>
        </w:tc>
      </w:tr>
      <w:tr>
        <w:trPr>
          <w:trHeight w:val="130"/>
        </w:trPr>
        <w:tc>
          <w:tcPr>
            <w:tcW w:w="1040" w:type="dxa"/>
            <w:vAlign w:val="bottom"/>
            <w:tcBorders>
              <w:left w:val="single" w:sz="8" w:color="auto"/>
              <w:right w:val="single" w:sz="8" w:color="auto"/>
            </w:tcBorders>
          </w:tcPr>
          <w:p>
            <w:pPr>
              <w:spacing w:after="0"/>
              <w:rPr>
                <w:sz w:val="11"/>
                <w:szCs w:val="11"/>
                <w:color w:val="auto"/>
              </w:rPr>
            </w:pPr>
          </w:p>
        </w:tc>
        <w:tc>
          <w:tcPr>
            <w:tcW w:w="2940" w:type="dxa"/>
            <w:vAlign w:val="bottom"/>
            <w:tcBorders>
              <w:right w:val="single" w:sz="8" w:color="auto"/>
            </w:tcBorders>
          </w:tcPr>
          <w:p>
            <w:pPr>
              <w:spacing w:after="0" w:line="130" w:lineRule="exact"/>
              <w:rPr>
                <w:sz w:val="20"/>
                <w:szCs w:val="20"/>
                <w:color w:val="auto"/>
              </w:rPr>
            </w:pPr>
            <w:r>
              <w:rPr>
                <w:rFonts w:ascii="Calibri" w:cs="Calibri" w:eastAsia="Calibri" w:hAnsi="Calibri"/>
                <w:sz w:val="12"/>
                <w:szCs w:val="12"/>
                <w:color w:val="auto"/>
              </w:rPr>
              <w:t>Insurance Service Income</w:t>
            </w:r>
          </w:p>
        </w:tc>
        <w:tc>
          <w:tcPr>
            <w:tcW w:w="840" w:type="dxa"/>
            <w:vAlign w:val="bottom"/>
          </w:tcPr>
          <w:p>
            <w:pPr>
              <w:jc w:val="center"/>
              <w:spacing w:after="0" w:line="130" w:lineRule="exact"/>
              <w:rPr>
                <w:sz w:val="20"/>
                <w:szCs w:val="20"/>
                <w:color w:val="auto"/>
              </w:rPr>
            </w:pPr>
            <w:r>
              <w:rPr>
                <w:rFonts w:ascii="Calibri" w:cs="Calibri" w:eastAsia="Calibri" w:hAnsi="Calibri"/>
                <w:sz w:val="12"/>
                <w:szCs w:val="12"/>
                <w:color w:val="auto"/>
              </w:rPr>
              <w:t>909.1</w:t>
            </w:r>
          </w:p>
        </w:tc>
        <w:tc>
          <w:tcPr>
            <w:tcW w:w="940" w:type="dxa"/>
            <w:vAlign w:val="bottom"/>
          </w:tcPr>
          <w:p>
            <w:pPr>
              <w:jc w:val="center"/>
              <w:spacing w:after="0" w:line="130" w:lineRule="exact"/>
              <w:rPr>
                <w:sz w:val="20"/>
                <w:szCs w:val="20"/>
                <w:color w:val="auto"/>
              </w:rPr>
            </w:pPr>
            <w:r>
              <w:rPr>
                <w:rFonts w:ascii="Calibri" w:cs="Calibri" w:eastAsia="Calibri" w:hAnsi="Calibri"/>
                <w:sz w:val="12"/>
                <w:szCs w:val="12"/>
                <w:color w:val="auto"/>
              </w:rPr>
              <w:t>987.9</w:t>
            </w:r>
          </w:p>
        </w:tc>
        <w:tc>
          <w:tcPr>
            <w:tcW w:w="8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rPr>
              <w:t>1,185.6</w:t>
            </w:r>
          </w:p>
        </w:tc>
        <w:tc>
          <w:tcPr>
            <w:tcW w:w="620" w:type="dxa"/>
            <w:vAlign w:val="bottom"/>
          </w:tcPr>
          <w:p>
            <w:pPr>
              <w:jc w:val="center"/>
              <w:ind w:left="179"/>
              <w:spacing w:after="0" w:line="130" w:lineRule="exact"/>
              <w:rPr>
                <w:sz w:val="20"/>
                <w:szCs w:val="20"/>
                <w:color w:val="auto"/>
              </w:rPr>
            </w:pPr>
            <w:r>
              <w:rPr>
                <w:rFonts w:ascii="Calibri" w:cs="Calibri" w:eastAsia="Calibri" w:hAnsi="Calibri"/>
                <w:sz w:val="12"/>
                <w:szCs w:val="12"/>
                <w:color w:val="auto"/>
              </w:rPr>
              <w:t>20.0%</w:t>
            </w:r>
          </w:p>
        </w:tc>
        <w:tc>
          <w:tcPr>
            <w:tcW w:w="1160" w:type="dxa"/>
            <w:vAlign w:val="bottom"/>
            <w:tcBorders>
              <w:right w:val="single" w:sz="8" w:color="auto"/>
            </w:tcBorders>
          </w:tcPr>
          <w:p>
            <w:pPr>
              <w:jc w:val="center"/>
              <w:ind w:left="179"/>
              <w:spacing w:after="0" w:line="130" w:lineRule="exact"/>
              <w:rPr>
                <w:sz w:val="20"/>
                <w:szCs w:val="20"/>
                <w:color w:val="auto"/>
              </w:rPr>
            </w:pPr>
            <w:r>
              <w:rPr>
                <w:rFonts w:ascii="Calibri" w:cs="Calibri" w:eastAsia="Calibri" w:hAnsi="Calibri"/>
                <w:sz w:val="12"/>
                <w:szCs w:val="12"/>
                <w:color w:val="auto"/>
              </w:rPr>
              <w:t>30.4%</w:t>
            </w:r>
          </w:p>
        </w:tc>
        <w:tc>
          <w:tcPr>
            <w:tcW w:w="700" w:type="dxa"/>
            <w:vAlign w:val="bottom"/>
          </w:tcPr>
          <w:p>
            <w:pPr>
              <w:jc w:val="center"/>
              <w:ind w:left="119"/>
              <w:spacing w:after="0" w:line="130" w:lineRule="exact"/>
              <w:rPr>
                <w:sz w:val="20"/>
                <w:szCs w:val="20"/>
                <w:color w:val="auto"/>
              </w:rPr>
            </w:pPr>
            <w:r>
              <w:rPr>
                <w:rFonts w:ascii="Calibri" w:cs="Calibri" w:eastAsia="Calibri" w:hAnsi="Calibri"/>
                <w:sz w:val="12"/>
                <w:szCs w:val="12"/>
                <w:color w:val="auto"/>
                <w:w w:val="98"/>
              </w:rPr>
              <w:t>1,847.1</w:t>
            </w:r>
          </w:p>
        </w:tc>
        <w:tc>
          <w:tcPr>
            <w:tcW w:w="1100" w:type="dxa"/>
            <w:vAlign w:val="bottom"/>
            <w:tcBorders>
              <w:right w:val="single" w:sz="8" w:color="auto"/>
            </w:tcBorders>
          </w:tcPr>
          <w:p>
            <w:pPr>
              <w:jc w:val="center"/>
              <w:ind w:left="119"/>
              <w:spacing w:after="0" w:line="130" w:lineRule="exact"/>
              <w:rPr>
                <w:sz w:val="20"/>
                <w:szCs w:val="20"/>
                <w:color w:val="auto"/>
              </w:rPr>
            </w:pPr>
            <w:r>
              <w:rPr>
                <w:rFonts w:ascii="Calibri" w:cs="Calibri" w:eastAsia="Calibri" w:hAnsi="Calibri"/>
                <w:sz w:val="12"/>
                <w:szCs w:val="12"/>
                <w:color w:val="auto"/>
                <w:w w:val="98"/>
              </w:rPr>
              <w:t>2,173.5</w:t>
            </w:r>
          </w:p>
        </w:tc>
        <w:tc>
          <w:tcPr>
            <w:tcW w:w="10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rPr>
              <w:t>17.7%</w:t>
            </w:r>
          </w:p>
        </w:tc>
      </w:tr>
      <w:tr>
        <w:trPr>
          <w:trHeight w:val="143"/>
        </w:trPr>
        <w:tc>
          <w:tcPr>
            <w:tcW w:w="1040" w:type="dxa"/>
            <w:vAlign w:val="bottom"/>
            <w:tcBorders>
              <w:left w:val="single" w:sz="8" w:color="auto"/>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7"/>
              </w:rPr>
              <w:t>Total</w:t>
            </w: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Insurance Service Expenses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(496.1)</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(571.8)</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(738.8)</w:t>
            </w:r>
          </w:p>
        </w:tc>
        <w:tc>
          <w:tcPr>
            <w:tcW w:w="62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29.2%</w:t>
            </w:r>
          </w:p>
        </w:tc>
        <w:tc>
          <w:tcPr>
            <w:tcW w:w="116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48.9%</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(972.3)</w:t>
            </w:r>
          </w:p>
        </w:tc>
        <w:tc>
          <w:tcPr>
            <w:tcW w:w="110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rPr>
              <w:t>(1,310.6)</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34.8%</w:t>
            </w:r>
          </w:p>
        </w:tc>
      </w:tr>
      <w:tr>
        <w:trPr>
          <w:trHeight w:val="143"/>
        </w:trPr>
        <w:tc>
          <w:tcPr>
            <w:tcW w:w="1040" w:type="dxa"/>
            <w:vAlign w:val="bottom"/>
            <w:tcBorders>
              <w:left w:val="single" w:sz="8" w:color="auto"/>
              <w:right w:val="single" w:sz="8" w:color="auto"/>
            </w:tcBorders>
          </w:tcPr>
          <w:p>
            <w:pPr>
              <w:spacing w:after="0"/>
              <w:rPr>
                <w:sz w:val="12"/>
                <w:szCs w:val="12"/>
                <w:color w:val="auto"/>
              </w:rPr>
            </w:pP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Reinsurance Results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rPr>
              <w:t>(97.5)</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rPr>
              <w:t>(87.0)</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(96.0)</w:t>
            </w:r>
          </w:p>
        </w:tc>
        <w:tc>
          <w:tcPr>
            <w:tcW w:w="62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10.3%</w:t>
            </w:r>
          </w:p>
        </w:tc>
        <w:tc>
          <w:tcPr>
            <w:tcW w:w="116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-1.6%</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(280.2)</w:t>
            </w:r>
          </w:p>
        </w:tc>
        <w:tc>
          <w:tcPr>
            <w:tcW w:w="110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(182.9)</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-34.7%</w:t>
            </w: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line="145" w:lineRule="exact"/>
              <w:rPr>
                <w:sz w:val="20"/>
                <w:szCs w:val="20"/>
                <w:color w:val="auto"/>
              </w:rPr>
            </w:pPr>
            <w:r>
              <w:rPr>
                <w:rFonts w:ascii="Calibri" w:cs="Calibri" w:eastAsia="Calibri" w:hAnsi="Calibri"/>
                <w:sz w:val="12"/>
                <w:szCs w:val="12"/>
                <w:b w:val="1"/>
                <w:bCs w:val="1"/>
                <w:color w:val="auto"/>
              </w:rPr>
              <w:t>Insurance Undewrwritng Result</w:t>
            </w:r>
          </w:p>
        </w:tc>
        <w:tc>
          <w:tcPr>
            <w:tcW w:w="8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315.5</w:t>
            </w:r>
          </w:p>
        </w:tc>
        <w:tc>
          <w:tcPr>
            <w:tcW w:w="9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329.1</w:t>
            </w:r>
          </w:p>
        </w:tc>
        <w:tc>
          <w:tcPr>
            <w:tcW w:w="88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4"/>
              </w:rPr>
              <w:t>350.9</w:t>
            </w:r>
          </w:p>
        </w:tc>
        <w:tc>
          <w:tcPr>
            <w:tcW w:w="620" w:type="dxa"/>
            <w:vAlign w:val="bottom"/>
            <w:tcBorders>
              <w:bottom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6.6%</w:t>
            </w:r>
          </w:p>
        </w:tc>
        <w:tc>
          <w:tcPr>
            <w:tcW w:w="1160" w:type="dxa"/>
            <w:vAlign w:val="bottom"/>
            <w:tcBorders>
              <w:bottom w:val="single" w:sz="8" w:color="auto"/>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11.2%</w:t>
            </w:r>
          </w:p>
        </w:tc>
        <w:tc>
          <w:tcPr>
            <w:tcW w:w="700" w:type="dxa"/>
            <w:vAlign w:val="bottom"/>
            <w:tcBorders>
              <w:bottom w:val="single" w:sz="8" w:color="auto"/>
            </w:tcBorders>
          </w:tcPr>
          <w:p>
            <w:pPr>
              <w:jc w:val="center"/>
              <w:ind w:left="119"/>
              <w:spacing w:after="0" w:line="145" w:lineRule="exact"/>
              <w:rPr>
                <w:sz w:val="20"/>
                <w:szCs w:val="20"/>
                <w:color w:val="auto"/>
              </w:rPr>
            </w:pPr>
            <w:r>
              <w:rPr>
                <w:rFonts w:ascii="Calibri" w:cs="Calibri" w:eastAsia="Calibri" w:hAnsi="Calibri"/>
                <w:sz w:val="12"/>
                <w:szCs w:val="12"/>
                <w:b w:val="1"/>
                <w:bCs w:val="1"/>
                <w:color w:val="auto"/>
              </w:rPr>
              <w:t>594.6</w:t>
            </w:r>
          </w:p>
        </w:tc>
        <w:tc>
          <w:tcPr>
            <w:tcW w:w="1100" w:type="dxa"/>
            <w:vAlign w:val="bottom"/>
            <w:tcBorders>
              <w:bottom w:val="single" w:sz="8" w:color="auto"/>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b w:val="1"/>
                <w:bCs w:val="1"/>
                <w:color w:val="auto"/>
              </w:rPr>
              <w:t>680.0</w:t>
            </w:r>
          </w:p>
        </w:tc>
        <w:tc>
          <w:tcPr>
            <w:tcW w:w="10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9"/>
              </w:rPr>
              <w:t>14.4%</w:t>
            </w:r>
          </w:p>
        </w:tc>
      </w:tr>
      <w:tr>
        <w:trPr>
          <w:trHeight w:val="130"/>
        </w:trPr>
        <w:tc>
          <w:tcPr>
            <w:tcW w:w="1040" w:type="dxa"/>
            <w:vAlign w:val="bottom"/>
            <w:tcBorders>
              <w:left w:val="single" w:sz="8" w:color="auto"/>
              <w:right w:val="single" w:sz="8" w:color="auto"/>
            </w:tcBorders>
          </w:tcPr>
          <w:p>
            <w:pPr>
              <w:spacing w:after="0"/>
              <w:rPr>
                <w:sz w:val="11"/>
                <w:szCs w:val="11"/>
                <w:color w:val="auto"/>
              </w:rPr>
            </w:pPr>
          </w:p>
        </w:tc>
        <w:tc>
          <w:tcPr>
            <w:tcW w:w="2940" w:type="dxa"/>
            <w:vAlign w:val="bottom"/>
            <w:tcBorders>
              <w:right w:val="single" w:sz="8" w:color="auto"/>
            </w:tcBorders>
          </w:tcPr>
          <w:p>
            <w:pPr>
              <w:spacing w:after="0" w:line="130" w:lineRule="exact"/>
              <w:rPr>
                <w:sz w:val="20"/>
                <w:szCs w:val="20"/>
                <w:color w:val="auto"/>
              </w:rPr>
            </w:pPr>
            <w:r>
              <w:rPr>
                <w:rFonts w:ascii="Calibri" w:cs="Calibri" w:eastAsia="Calibri" w:hAnsi="Calibri"/>
                <w:sz w:val="12"/>
                <w:szCs w:val="12"/>
                <w:color w:val="auto"/>
              </w:rPr>
              <w:t>Insurance Service Income</w:t>
            </w:r>
          </w:p>
        </w:tc>
        <w:tc>
          <w:tcPr>
            <w:tcW w:w="840" w:type="dxa"/>
            <w:vAlign w:val="bottom"/>
          </w:tcPr>
          <w:p>
            <w:pPr>
              <w:jc w:val="center"/>
              <w:spacing w:after="0" w:line="130" w:lineRule="exact"/>
              <w:rPr>
                <w:sz w:val="20"/>
                <w:szCs w:val="20"/>
                <w:color w:val="auto"/>
              </w:rPr>
            </w:pPr>
            <w:r>
              <w:rPr>
                <w:rFonts w:ascii="Calibri" w:cs="Calibri" w:eastAsia="Calibri" w:hAnsi="Calibri"/>
                <w:sz w:val="12"/>
                <w:szCs w:val="12"/>
                <w:color w:val="auto"/>
              </w:rPr>
              <w:t>454.0</w:t>
            </w:r>
          </w:p>
        </w:tc>
        <w:tc>
          <w:tcPr>
            <w:tcW w:w="940" w:type="dxa"/>
            <w:vAlign w:val="bottom"/>
          </w:tcPr>
          <w:p>
            <w:pPr>
              <w:jc w:val="center"/>
              <w:spacing w:after="0" w:line="130" w:lineRule="exact"/>
              <w:rPr>
                <w:sz w:val="20"/>
                <w:szCs w:val="20"/>
                <w:color w:val="auto"/>
              </w:rPr>
            </w:pPr>
            <w:r>
              <w:rPr>
                <w:rFonts w:ascii="Calibri" w:cs="Calibri" w:eastAsia="Calibri" w:hAnsi="Calibri"/>
                <w:sz w:val="12"/>
                <w:szCs w:val="12"/>
                <w:color w:val="auto"/>
              </w:rPr>
              <w:t>490.0</w:t>
            </w:r>
          </w:p>
        </w:tc>
        <w:tc>
          <w:tcPr>
            <w:tcW w:w="8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w w:val="94"/>
              </w:rPr>
              <w:t>480.0</w:t>
            </w:r>
          </w:p>
        </w:tc>
        <w:tc>
          <w:tcPr>
            <w:tcW w:w="620" w:type="dxa"/>
            <w:vAlign w:val="bottom"/>
          </w:tcPr>
          <w:p>
            <w:pPr>
              <w:jc w:val="center"/>
              <w:ind w:left="159"/>
              <w:spacing w:after="0" w:line="130" w:lineRule="exact"/>
              <w:rPr>
                <w:sz w:val="20"/>
                <w:szCs w:val="20"/>
                <w:color w:val="auto"/>
              </w:rPr>
            </w:pPr>
            <w:r>
              <w:rPr>
                <w:rFonts w:ascii="Calibri" w:cs="Calibri" w:eastAsia="Calibri" w:hAnsi="Calibri"/>
                <w:sz w:val="12"/>
                <w:szCs w:val="12"/>
                <w:color w:val="auto"/>
              </w:rPr>
              <w:t>-2.1%</w:t>
            </w:r>
          </w:p>
        </w:tc>
        <w:tc>
          <w:tcPr>
            <w:tcW w:w="1160" w:type="dxa"/>
            <w:vAlign w:val="bottom"/>
            <w:tcBorders>
              <w:right w:val="single" w:sz="8" w:color="auto"/>
            </w:tcBorders>
          </w:tcPr>
          <w:p>
            <w:pPr>
              <w:jc w:val="center"/>
              <w:ind w:left="179"/>
              <w:spacing w:after="0" w:line="130" w:lineRule="exact"/>
              <w:rPr>
                <w:sz w:val="20"/>
                <w:szCs w:val="20"/>
                <w:color w:val="auto"/>
              </w:rPr>
            </w:pPr>
            <w:r>
              <w:rPr>
                <w:rFonts w:ascii="Calibri" w:cs="Calibri" w:eastAsia="Calibri" w:hAnsi="Calibri"/>
                <w:sz w:val="12"/>
                <w:szCs w:val="12"/>
                <w:color w:val="auto"/>
              </w:rPr>
              <w:t>5.7%</w:t>
            </w:r>
          </w:p>
        </w:tc>
        <w:tc>
          <w:tcPr>
            <w:tcW w:w="700" w:type="dxa"/>
            <w:vAlign w:val="bottom"/>
          </w:tcPr>
          <w:p>
            <w:pPr>
              <w:jc w:val="center"/>
              <w:ind w:left="119"/>
              <w:spacing w:after="0" w:line="130" w:lineRule="exact"/>
              <w:rPr>
                <w:sz w:val="20"/>
                <w:szCs w:val="20"/>
                <w:color w:val="auto"/>
              </w:rPr>
            </w:pPr>
            <w:r>
              <w:rPr>
                <w:rFonts w:ascii="Calibri" w:cs="Calibri" w:eastAsia="Calibri" w:hAnsi="Calibri"/>
                <w:sz w:val="12"/>
                <w:szCs w:val="12"/>
                <w:color w:val="auto"/>
              </w:rPr>
              <w:t>922.3</w:t>
            </w:r>
          </w:p>
        </w:tc>
        <w:tc>
          <w:tcPr>
            <w:tcW w:w="1100" w:type="dxa"/>
            <w:vAlign w:val="bottom"/>
            <w:tcBorders>
              <w:right w:val="single" w:sz="8" w:color="auto"/>
            </w:tcBorders>
          </w:tcPr>
          <w:p>
            <w:pPr>
              <w:jc w:val="center"/>
              <w:ind w:left="119"/>
              <w:spacing w:after="0" w:line="130" w:lineRule="exact"/>
              <w:rPr>
                <w:sz w:val="20"/>
                <w:szCs w:val="20"/>
                <w:color w:val="auto"/>
              </w:rPr>
            </w:pPr>
            <w:r>
              <w:rPr>
                <w:rFonts w:ascii="Calibri" w:cs="Calibri" w:eastAsia="Calibri" w:hAnsi="Calibri"/>
                <w:sz w:val="12"/>
                <w:szCs w:val="12"/>
                <w:color w:val="auto"/>
              </w:rPr>
              <w:t>970.0</w:t>
            </w:r>
          </w:p>
        </w:tc>
        <w:tc>
          <w:tcPr>
            <w:tcW w:w="10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rPr>
              <w:t>5.2%</w:t>
            </w:r>
          </w:p>
        </w:tc>
      </w:tr>
      <w:tr>
        <w:trPr>
          <w:trHeight w:val="143"/>
        </w:trPr>
        <w:tc>
          <w:tcPr>
            <w:tcW w:w="1040" w:type="dxa"/>
            <w:vAlign w:val="bottom"/>
            <w:tcBorders>
              <w:left w:val="single" w:sz="8" w:color="auto"/>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5"/>
              </w:rPr>
              <w:t>P&amp;C</w:t>
            </w: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Insurance Service Expenses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(302.0)</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(325.3)</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(298.7)</w:t>
            </w:r>
          </w:p>
        </w:tc>
        <w:tc>
          <w:tcPr>
            <w:tcW w:w="62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-8.2%</w:t>
            </w:r>
          </w:p>
        </w:tc>
        <w:tc>
          <w:tcPr>
            <w:tcW w:w="116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-1.1%</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(539.9)</w:t>
            </w:r>
          </w:p>
        </w:tc>
        <w:tc>
          <w:tcPr>
            <w:tcW w:w="110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(624.0)</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15.6%</w:t>
            </w:r>
          </w:p>
        </w:tc>
      </w:tr>
      <w:tr>
        <w:trPr>
          <w:trHeight w:val="143"/>
        </w:trPr>
        <w:tc>
          <w:tcPr>
            <w:tcW w:w="1040" w:type="dxa"/>
            <w:vAlign w:val="bottom"/>
            <w:tcBorders>
              <w:left w:val="single" w:sz="8" w:color="auto"/>
              <w:right w:val="single" w:sz="8" w:color="auto"/>
            </w:tcBorders>
          </w:tcPr>
          <w:p>
            <w:pPr>
              <w:spacing w:after="0"/>
              <w:rPr>
                <w:sz w:val="12"/>
                <w:szCs w:val="12"/>
                <w:color w:val="auto"/>
              </w:rPr>
            </w:pP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Reinsurance Results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rPr>
              <w:t>(70.2)</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rPr>
              <w:t>(72.4)</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(88.7)</w:t>
            </w:r>
          </w:p>
        </w:tc>
        <w:tc>
          <w:tcPr>
            <w:tcW w:w="62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22.5%</w:t>
            </w:r>
          </w:p>
        </w:tc>
        <w:tc>
          <w:tcPr>
            <w:tcW w:w="116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26.3%</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(220.2)</w:t>
            </w:r>
          </w:p>
        </w:tc>
        <w:tc>
          <w:tcPr>
            <w:tcW w:w="110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(161.1)</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-26.8%</w:t>
            </w: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line="145" w:lineRule="exact"/>
              <w:rPr>
                <w:sz w:val="20"/>
                <w:szCs w:val="20"/>
                <w:color w:val="auto"/>
              </w:rPr>
            </w:pPr>
            <w:r>
              <w:rPr>
                <w:rFonts w:ascii="Calibri" w:cs="Calibri" w:eastAsia="Calibri" w:hAnsi="Calibri"/>
                <w:sz w:val="12"/>
                <w:szCs w:val="12"/>
                <w:b w:val="1"/>
                <w:bCs w:val="1"/>
                <w:color w:val="auto"/>
              </w:rPr>
              <w:t>Insurance Undewrwritng Result</w:t>
            </w:r>
          </w:p>
        </w:tc>
        <w:tc>
          <w:tcPr>
            <w:tcW w:w="8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81.8</w:t>
            </w:r>
          </w:p>
        </w:tc>
        <w:tc>
          <w:tcPr>
            <w:tcW w:w="9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92.3</w:t>
            </w:r>
          </w:p>
        </w:tc>
        <w:tc>
          <w:tcPr>
            <w:tcW w:w="88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92.6</w:t>
            </w:r>
          </w:p>
        </w:tc>
        <w:tc>
          <w:tcPr>
            <w:tcW w:w="620" w:type="dxa"/>
            <w:vAlign w:val="bottom"/>
            <w:tcBorders>
              <w:bottom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0.3%</w:t>
            </w:r>
          </w:p>
        </w:tc>
        <w:tc>
          <w:tcPr>
            <w:tcW w:w="1160" w:type="dxa"/>
            <w:vAlign w:val="bottom"/>
            <w:tcBorders>
              <w:bottom w:val="single" w:sz="8" w:color="auto"/>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13.2%</w:t>
            </w:r>
          </w:p>
        </w:tc>
        <w:tc>
          <w:tcPr>
            <w:tcW w:w="700" w:type="dxa"/>
            <w:vAlign w:val="bottom"/>
            <w:tcBorders>
              <w:bottom w:val="single" w:sz="8" w:color="auto"/>
            </w:tcBorders>
          </w:tcPr>
          <w:p>
            <w:pPr>
              <w:jc w:val="center"/>
              <w:ind w:left="119"/>
              <w:spacing w:after="0" w:line="145" w:lineRule="exact"/>
              <w:rPr>
                <w:sz w:val="20"/>
                <w:szCs w:val="20"/>
                <w:color w:val="auto"/>
              </w:rPr>
            </w:pPr>
            <w:r>
              <w:rPr>
                <w:rFonts w:ascii="Calibri" w:cs="Calibri" w:eastAsia="Calibri" w:hAnsi="Calibri"/>
                <w:sz w:val="12"/>
                <w:szCs w:val="12"/>
                <w:b w:val="1"/>
                <w:bCs w:val="1"/>
                <w:color w:val="auto"/>
              </w:rPr>
              <w:t>162.2</w:t>
            </w:r>
          </w:p>
        </w:tc>
        <w:tc>
          <w:tcPr>
            <w:tcW w:w="1100" w:type="dxa"/>
            <w:vAlign w:val="bottom"/>
            <w:tcBorders>
              <w:bottom w:val="single" w:sz="8" w:color="auto"/>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b w:val="1"/>
                <w:bCs w:val="1"/>
                <w:color w:val="auto"/>
              </w:rPr>
              <w:t>185.0</w:t>
            </w:r>
          </w:p>
        </w:tc>
        <w:tc>
          <w:tcPr>
            <w:tcW w:w="10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9"/>
              </w:rPr>
              <w:t>14.0%</w:t>
            </w:r>
          </w:p>
        </w:tc>
      </w:tr>
      <w:tr>
        <w:trPr>
          <w:trHeight w:val="130"/>
        </w:trPr>
        <w:tc>
          <w:tcPr>
            <w:tcW w:w="1040" w:type="dxa"/>
            <w:vAlign w:val="bottom"/>
            <w:tcBorders>
              <w:left w:val="single" w:sz="8" w:color="auto"/>
              <w:right w:val="single" w:sz="8" w:color="auto"/>
            </w:tcBorders>
          </w:tcPr>
          <w:p>
            <w:pPr>
              <w:spacing w:after="0"/>
              <w:rPr>
                <w:sz w:val="11"/>
                <w:szCs w:val="11"/>
                <w:color w:val="auto"/>
              </w:rPr>
            </w:pPr>
          </w:p>
        </w:tc>
        <w:tc>
          <w:tcPr>
            <w:tcW w:w="2940" w:type="dxa"/>
            <w:vAlign w:val="bottom"/>
            <w:tcBorders>
              <w:right w:val="single" w:sz="8" w:color="auto"/>
            </w:tcBorders>
          </w:tcPr>
          <w:p>
            <w:pPr>
              <w:spacing w:after="0" w:line="130" w:lineRule="exact"/>
              <w:rPr>
                <w:sz w:val="20"/>
                <w:szCs w:val="20"/>
                <w:color w:val="auto"/>
              </w:rPr>
            </w:pPr>
            <w:r>
              <w:rPr>
                <w:rFonts w:ascii="Calibri" w:cs="Calibri" w:eastAsia="Calibri" w:hAnsi="Calibri"/>
                <w:sz w:val="12"/>
                <w:szCs w:val="12"/>
                <w:color w:val="auto"/>
              </w:rPr>
              <w:t>Insurance Service Income</w:t>
            </w:r>
          </w:p>
        </w:tc>
        <w:tc>
          <w:tcPr>
            <w:tcW w:w="840" w:type="dxa"/>
            <w:vAlign w:val="bottom"/>
          </w:tcPr>
          <w:p>
            <w:pPr>
              <w:jc w:val="center"/>
              <w:spacing w:after="0" w:line="130" w:lineRule="exact"/>
              <w:rPr>
                <w:sz w:val="20"/>
                <w:szCs w:val="20"/>
                <w:color w:val="auto"/>
              </w:rPr>
            </w:pPr>
            <w:r>
              <w:rPr>
                <w:rFonts w:ascii="Calibri" w:cs="Calibri" w:eastAsia="Calibri" w:hAnsi="Calibri"/>
                <w:sz w:val="12"/>
                <w:szCs w:val="12"/>
                <w:color w:val="auto"/>
              </w:rPr>
              <w:t>445.5</w:t>
            </w:r>
          </w:p>
        </w:tc>
        <w:tc>
          <w:tcPr>
            <w:tcW w:w="940" w:type="dxa"/>
            <w:vAlign w:val="bottom"/>
          </w:tcPr>
          <w:p>
            <w:pPr>
              <w:jc w:val="center"/>
              <w:spacing w:after="0" w:line="130" w:lineRule="exact"/>
              <w:rPr>
                <w:sz w:val="20"/>
                <w:szCs w:val="20"/>
                <w:color w:val="auto"/>
              </w:rPr>
            </w:pPr>
            <w:r>
              <w:rPr>
                <w:rFonts w:ascii="Calibri" w:cs="Calibri" w:eastAsia="Calibri" w:hAnsi="Calibri"/>
                <w:sz w:val="12"/>
                <w:szCs w:val="12"/>
                <w:color w:val="auto"/>
              </w:rPr>
              <w:t>332.9</w:t>
            </w:r>
          </w:p>
        </w:tc>
        <w:tc>
          <w:tcPr>
            <w:tcW w:w="8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w w:val="94"/>
              </w:rPr>
              <w:t>330.9</w:t>
            </w:r>
          </w:p>
        </w:tc>
        <w:tc>
          <w:tcPr>
            <w:tcW w:w="620" w:type="dxa"/>
            <w:vAlign w:val="bottom"/>
          </w:tcPr>
          <w:p>
            <w:pPr>
              <w:jc w:val="center"/>
              <w:ind w:left="159"/>
              <w:spacing w:after="0" w:line="130" w:lineRule="exact"/>
              <w:rPr>
                <w:sz w:val="20"/>
                <w:szCs w:val="20"/>
                <w:color w:val="auto"/>
              </w:rPr>
            </w:pPr>
            <w:r>
              <w:rPr>
                <w:rFonts w:ascii="Calibri" w:cs="Calibri" w:eastAsia="Calibri" w:hAnsi="Calibri"/>
                <w:sz w:val="12"/>
                <w:szCs w:val="12"/>
                <w:color w:val="auto"/>
              </w:rPr>
              <w:t>-0.6%</w:t>
            </w:r>
          </w:p>
        </w:tc>
        <w:tc>
          <w:tcPr>
            <w:tcW w:w="1160" w:type="dxa"/>
            <w:vAlign w:val="bottom"/>
            <w:tcBorders>
              <w:right w:val="single" w:sz="8" w:color="auto"/>
            </w:tcBorders>
          </w:tcPr>
          <w:p>
            <w:pPr>
              <w:jc w:val="center"/>
              <w:ind w:left="159"/>
              <w:spacing w:after="0" w:line="130" w:lineRule="exact"/>
              <w:rPr>
                <w:sz w:val="20"/>
                <w:szCs w:val="20"/>
                <w:color w:val="auto"/>
              </w:rPr>
            </w:pPr>
            <w:r>
              <w:rPr>
                <w:rFonts w:ascii="Calibri" w:cs="Calibri" w:eastAsia="Calibri" w:hAnsi="Calibri"/>
                <w:sz w:val="12"/>
                <w:szCs w:val="12"/>
                <w:color w:val="auto"/>
              </w:rPr>
              <w:t>-25.7%</w:t>
            </w:r>
          </w:p>
        </w:tc>
        <w:tc>
          <w:tcPr>
            <w:tcW w:w="700" w:type="dxa"/>
            <w:vAlign w:val="bottom"/>
          </w:tcPr>
          <w:p>
            <w:pPr>
              <w:jc w:val="center"/>
              <w:ind w:left="119"/>
              <w:spacing w:after="0" w:line="130" w:lineRule="exact"/>
              <w:rPr>
                <w:sz w:val="20"/>
                <w:szCs w:val="20"/>
                <w:color w:val="auto"/>
              </w:rPr>
            </w:pPr>
            <w:r>
              <w:rPr>
                <w:rFonts w:ascii="Calibri" w:cs="Calibri" w:eastAsia="Calibri" w:hAnsi="Calibri"/>
                <w:sz w:val="12"/>
                <w:szCs w:val="12"/>
                <w:color w:val="auto"/>
              </w:rPr>
              <w:t>883.6</w:t>
            </w:r>
          </w:p>
        </w:tc>
        <w:tc>
          <w:tcPr>
            <w:tcW w:w="1100" w:type="dxa"/>
            <w:vAlign w:val="bottom"/>
            <w:tcBorders>
              <w:right w:val="single" w:sz="8" w:color="auto"/>
            </w:tcBorders>
          </w:tcPr>
          <w:p>
            <w:pPr>
              <w:jc w:val="center"/>
              <w:ind w:left="119"/>
              <w:spacing w:after="0" w:line="130" w:lineRule="exact"/>
              <w:rPr>
                <w:sz w:val="20"/>
                <w:szCs w:val="20"/>
                <w:color w:val="auto"/>
              </w:rPr>
            </w:pPr>
            <w:r>
              <w:rPr>
                <w:rFonts w:ascii="Calibri" w:cs="Calibri" w:eastAsia="Calibri" w:hAnsi="Calibri"/>
                <w:sz w:val="12"/>
                <w:szCs w:val="12"/>
                <w:color w:val="auto"/>
              </w:rPr>
              <w:t>663.8</w:t>
            </w:r>
          </w:p>
        </w:tc>
        <w:tc>
          <w:tcPr>
            <w:tcW w:w="10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rPr>
              <w:t>-24.9%</w:t>
            </w:r>
          </w:p>
        </w:tc>
      </w:tr>
      <w:tr>
        <w:trPr>
          <w:trHeight w:val="143"/>
        </w:trPr>
        <w:tc>
          <w:tcPr>
            <w:tcW w:w="1040" w:type="dxa"/>
            <w:vAlign w:val="bottom"/>
            <w:tcBorders>
              <w:left w:val="single" w:sz="8" w:color="auto"/>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1"/>
              </w:rPr>
              <w:t>Life</w:t>
            </w: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Insurance Service Expenses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(205.3)</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(112.3)</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(79.0)</w:t>
            </w:r>
          </w:p>
        </w:tc>
        <w:tc>
          <w:tcPr>
            <w:tcW w:w="62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-29.6%</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-61.5%</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(437.2)</w:t>
            </w:r>
          </w:p>
        </w:tc>
        <w:tc>
          <w:tcPr>
            <w:tcW w:w="110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(191.3)</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-56.2%</w:t>
            </w:r>
          </w:p>
        </w:tc>
      </w:tr>
      <w:tr>
        <w:trPr>
          <w:trHeight w:val="143"/>
        </w:trPr>
        <w:tc>
          <w:tcPr>
            <w:tcW w:w="1040" w:type="dxa"/>
            <w:vAlign w:val="bottom"/>
            <w:tcBorders>
              <w:left w:val="single" w:sz="8" w:color="auto"/>
              <w:right w:val="single" w:sz="8" w:color="auto"/>
            </w:tcBorders>
          </w:tcPr>
          <w:p>
            <w:pPr>
              <w:spacing w:after="0"/>
              <w:rPr>
                <w:sz w:val="12"/>
                <w:szCs w:val="12"/>
                <w:color w:val="auto"/>
              </w:rPr>
            </w:pP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Reinsurance Results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rPr>
              <w:t>(23.4)</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rPr>
              <w:t>(13.3)</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7"/>
              </w:rPr>
              <w:t>(7.6)</w:t>
            </w:r>
          </w:p>
        </w:tc>
        <w:tc>
          <w:tcPr>
            <w:tcW w:w="62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-43.0%</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-67.5%</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w w:val="97"/>
              </w:rPr>
              <w:t>(50.4)</w:t>
            </w:r>
          </w:p>
        </w:tc>
        <w:tc>
          <w:tcPr>
            <w:tcW w:w="110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w w:val="97"/>
              </w:rPr>
              <w:t>(20.9)</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-58.5%</w:t>
            </w: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line="145" w:lineRule="exact"/>
              <w:rPr>
                <w:sz w:val="20"/>
                <w:szCs w:val="20"/>
                <w:color w:val="auto"/>
              </w:rPr>
            </w:pPr>
            <w:r>
              <w:rPr>
                <w:rFonts w:ascii="Calibri" w:cs="Calibri" w:eastAsia="Calibri" w:hAnsi="Calibri"/>
                <w:sz w:val="12"/>
                <w:szCs w:val="12"/>
                <w:b w:val="1"/>
                <w:bCs w:val="1"/>
                <w:color w:val="auto"/>
              </w:rPr>
              <w:t>Insurance Undewrwritng Result</w:t>
            </w:r>
          </w:p>
        </w:tc>
        <w:tc>
          <w:tcPr>
            <w:tcW w:w="8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216.8</w:t>
            </w:r>
          </w:p>
        </w:tc>
        <w:tc>
          <w:tcPr>
            <w:tcW w:w="9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207.2</w:t>
            </w:r>
          </w:p>
        </w:tc>
        <w:tc>
          <w:tcPr>
            <w:tcW w:w="88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4"/>
              </w:rPr>
              <w:t>244.3</w:t>
            </w:r>
          </w:p>
        </w:tc>
        <w:tc>
          <w:tcPr>
            <w:tcW w:w="620" w:type="dxa"/>
            <w:vAlign w:val="bottom"/>
            <w:tcBorders>
              <w:bottom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w w:val="99"/>
              </w:rPr>
              <w:t>17.9%</w:t>
            </w:r>
          </w:p>
        </w:tc>
        <w:tc>
          <w:tcPr>
            <w:tcW w:w="1160" w:type="dxa"/>
            <w:vAlign w:val="bottom"/>
            <w:tcBorders>
              <w:bottom w:val="single" w:sz="8" w:color="auto"/>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12.7%</w:t>
            </w:r>
          </w:p>
        </w:tc>
        <w:tc>
          <w:tcPr>
            <w:tcW w:w="700" w:type="dxa"/>
            <w:vAlign w:val="bottom"/>
            <w:tcBorders>
              <w:bottom w:val="single" w:sz="8" w:color="auto"/>
            </w:tcBorders>
          </w:tcPr>
          <w:p>
            <w:pPr>
              <w:jc w:val="center"/>
              <w:ind w:left="119"/>
              <w:spacing w:after="0" w:line="145" w:lineRule="exact"/>
              <w:rPr>
                <w:sz w:val="20"/>
                <w:szCs w:val="20"/>
                <w:color w:val="auto"/>
              </w:rPr>
            </w:pPr>
            <w:r>
              <w:rPr>
                <w:rFonts w:ascii="Calibri" w:cs="Calibri" w:eastAsia="Calibri" w:hAnsi="Calibri"/>
                <w:sz w:val="12"/>
                <w:szCs w:val="12"/>
                <w:b w:val="1"/>
                <w:bCs w:val="1"/>
                <w:color w:val="auto"/>
              </w:rPr>
              <w:t>396.0</w:t>
            </w:r>
          </w:p>
        </w:tc>
        <w:tc>
          <w:tcPr>
            <w:tcW w:w="1100" w:type="dxa"/>
            <w:vAlign w:val="bottom"/>
            <w:tcBorders>
              <w:bottom w:val="single" w:sz="8" w:color="auto"/>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b w:val="1"/>
                <w:bCs w:val="1"/>
                <w:color w:val="auto"/>
              </w:rPr>
              <w:t>451.5</w:t>
            </w:r>
          </w:p>
        </w:tc>
        <w:tc>
          <w:tcPr>
            <w:tcW w:w="10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9"/>
              </w:rPr>
              <w:t>14.0%</w:t>
            </w:r>
          </w:p>
        </w:tc>
      </w:tr>
      <w:tr>
        <w:trPr>
          <w:trHeight w:val="130"/>
        </w:trPr>
        <w:tc>
          <w:tcPr>
            <w:tcW w:w="1040" w:type="dxa"/>
            <w:vAlign w:val="bottom"/>
            <w:tcBorders>
              <w:left w:val="single" w:sz="8" w:color="auto"/>
              <w:right w:val="single" w:sz="8" w:color="auto"/>
            </w:tcBorders>
          </w:tcPr>
          <w:p>
            <w:pPr>
              <w:spacing w:after="0"/>
              <w:rPr>
                <w:sz w:val="11"/>
                <w:szCs w:val="11"/>
                <w:color w:val="auto"/>
              </w:rPr>
            </w:pPr>
          </w:p>
        </w:tc>
        <w:tc>
          <w:tcPr>
            <w:tcW w:w="2940" w:type="dxa"/>
            <w:vAlign w:val="bottom"/>
            <w:tcBorders>
              <w:right w:val="single" w:sz="8" w:color="auto"/>
            </w:tcBorders>
          </w:tcPr>
          <w:p>
            <w:pPr>
              <w:spacing w:after="0" w:line="130" w:lineRule="exact"/>
              <w:rPr>
                <w:sz w:val="20"/>
                <w:szCs w:val="20"/>
                <w:color w:val="auto"/>
              </w:rPr>
            </w:pPr>
            <w:r>
              <w:rPr>
                <w:rFonts w:ascii="Calibri" w:cs="Calibri" w:eastAsia="Calibri" w:hAnsi="Calibri"/>
                <w:sz w:val="12"/>
                <w:szCs w:val="12"/>
                <w:color w:val="auto"/>
              </w:rPr>
              <w:t>Insurance Service Income</w:t>
            </w:r>
          </w:p>
        </w:tc>
        <w:tc>
          <w:tcPr>
            <w:tcW w:w="840" w:type="dxa"/>
            <w:vAlign w:val="bottom"/>
          </w:tcPr>
          <w:p>
            <w:pPr>
              <w:jc w:val="center"/>
              <w:spacing w:after="0" w:line="130" w:lineRule="exact"/>
              <w:rPr>
                <w:sz w:val="20"/>
                <w:szCs w:val="20"/>
                <w:color w:val="auto"/>
              </w:rPr>
            </w:pPr>
            <w:r>
              <w:rPr>
                <w:rFonts w:ascii="Calibri" w:cs="Calibri" w:eastAsia="Calibri" w:hAnsi="Calibri"/>
                <w:sz w:val="12"/>
                <w:szCs w:val="12"/>
                <w:color w:val="auto"/>
              </w:rPr>
              <w:t>16.0</w:t>
            </w:r>
          </w:p>
        </w:tc>
        <w:tc>
          <w:tcPr>
            <w:tcW w:w="940" w:type="dxa"/>
            <w:vAlign w:val="bottom"/>
          </w:tcPr>
          <w:p>
            <w:pPr>
              <w:jc w:val="center"/>
              <w:spacing w:after="0" w:line="130" w:lineRule="exact"/>
              <w:rPr>
                <w:sz w:val="20"/>
                <w:szCs w:val="20"/>
                <w:color w:val="auto"/>
              </w:rPr>
            </w:pPr>
            <w:r>
              <w:rPr>
                <w:rFonts w:ascii="Calibri" w:cs="Calibri" w:eastAsia="Calibri" w:hAnsi="Calibri"/>
                <w:sz w:val="12"/>
                <w:szCs w:val="12"/>
                <w:color w:val="auto"/>
              </w:rPr>
              <w:t>22.9</w:t>
            </w:r>
          </w:p>
        </w:tc>
        <w:tc>
          <w:tcPr>
            <w:tcW w:w="8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rPr>
              <w:t>13.3</w:t>
            </w:r>
          </w:p>
        </w:tc>
        <w:tc>
          <w:tcPr>
            <w:tcW w:w="620" w:type="dxa"/>
            <w:vAlign w:val="bottom"/>
          </w:tcPr>
          <w:p>
            <w:pPr>
              <w:jc w:val="center"/>
              <w:ind w:left="179"/>
              <w:spacing w:after="0" w:line="130" w:lineRule="exact"/>
              <w:rPr>
                <w:sz w:val="20"/>
                <w:szCs w:val="20"/>
                <w:color w:val="auto"/>
              </w:rPr>
            </w:pPr>
            <w:r>
              <w:rPr>
                <w:rFonts w:ascii="Calibri" w:cs="Calibri" w:eastAsia="Calibri" w:hAnsi="Calibri"/>
                <w:sz w:val="12"/>
                <w:szCs w:val="12"/>
                <w:color w:val="auto"/>
              </w:rPr>
              <w:t>-42.0%</w:t>
            </w:r>
          </w:p>
        </w:tc>
        <w:tc>
          <w:tcPr>
            <w:tcW w:w="1160" w:type="dxa"/>
            <w:vAlign w:val="bottom"/>
            <w:tcBorders>
              <w:right w:val="single" w:sz="8" w:color="auto"/>
            </w:tcBorders>
          </w:tcPr>
          <w:p>
            <w:pPr>
              <w:jc w:val="center"/>
              <w:ind w:left="159"/>
              <w:spacing w:after="0" w:line="130" w:lineRule="exact"/>
              <w:rPr>
                <w:sz w:val="20"/>
                <w:szCs w:val="20"/>
                <w:color w:val="auto"/>
              </w:rPr>
            </w:pPr>
            <w:r>
              <w:rPr>
                <w:rFonts w:ascii="Calibri" w:cs="Calibri" w:eastAsia="Calibri" w:hAnsi="Calibri"/>
                <w:sz w:val="12"/>
                <w:szCs w:val="12"/>
                <w:color w:val="auto"/>
              </w:rPr>
              <w:t>-17.0%</w:t>
            </w:r>
          </w:p>
        </w:tc>
        <w:tc>
          <w:tcPr>
            <w:tcW w:w="700" w:type="dxa"/>
            <w:vAlign w:val="bottom"/>
          </w:tcPr>
          <w:p>
            <w:pPr>
              <w:jc w:val="center"/>
              <w:ind w:left="139"/>
              <w:spacing w:after="0" w:line="130" w:lineRule="exact"/>
              <w:rPr>
                <w:sz w:val="20"/>
                <w:szCs w:val="20"/>
                <w:color w:val="auto"/>
              </w:rPr>
            </w:pPr>
            <w:r>
              <w:rPr>
                <w:rFonts w:ascii="Calibri" w:cs="Calibri" w:eastAsia="Calibri" w:hAnsi="Calibri"/>
                <w:sz w:val="12"/>
                <w:szCs w:val="12"/>
                <w:color w:val="auto"/>
              </w:rPr>
              <w:t>50.4</w:t>
            </w:r>
          </w:p>
        </w:tc>
        <w:tc>
          <w:tcPr>
            <w:tcW w:w="1100" w:type="dxa"/>
            <w:vAlign w:val="bottom"/>
            <w:tcBorders>
              <w:right w:val="single" w:sz="8" w:color="auto"/>
            </w:tcBorders>
          </w:tcPr>
          <w:p>
            <w:pPr>
              <w:jc w:val="center"/>
              <w:ind w:left="99"/>
              <w:spacing w:after="0" w:line="130" w:lineRule="exact"/>
              <w:rPr>
                <w:sz w:val="20"/>
                <w:szCs w:val="20"/>
                <w:color w:val="auto"/>
              </w:rPr>
            </w:pPr>
            <w:r>
              <w:rPr>
                <w:rFonts w:ascii="Calibri" w:cs="Calibri" w:eastAsia="Calibri" w:hAnsi="Calibri"/>
                <w:sz w:val="12"/>
                <w:szCs w:val="12"/>
                <w:color w:val="auto"/>
              </w:rPr>
              <w:t>36.1</w:t>
            </w:r>
          </w:p>
        </w:tc>
        <w:tc>
          <w:tcPr>
            <w:tcW w:w="10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rPr>
              <w:t>-28.3%</w:t>
            </w:r>
          </w:p>
        </w:tc>
      </w:tr>
      <w:tr>
        <w:trPr>
          <w:trHeight w:val="143"/>
        </w:trPr>
        <w:tc>
          <w:tcPr>
            <w:tcW w:w="1040" w:type="dxa"/>
            <w:vAlign w:val="bottom"/>
            <w:tcBorders>
              <w:left w:val="single" w:sz="8" w:color="auto"/>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Crediseguros</w:t>
            </w: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Insurance Service Expenses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w w:val="91"/>
              </w:rPr>
              <w:t>5.9</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7"/>
              </w:rPr>
              <w:t>(5.8)</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7"/>
              </w:rPr>
              <w:t>(4.2)</w:t>
            </w:r>
          </w:p>
        </w:tc>
        <w:tc>
          <w:tcPr>
            <w:tcW w:w="62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-28.5%</w:t>
            </w:r>
          </w:p>
        </w:tc>
        <w:tc>
          <w:tcPr>
            <w:tcW w:w="116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-170.3%</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(5.6)</w:t>
            </w:r>
          </w:p>
        </w:tc>
        <w:tc>
          <w:tcPr>
            <w:tcW w:w="110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w w:val="97"/>
              </w:rPr>
              <w:t>(10.0)</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78.2%</w:t>
            </w:r>
          </w:p>
        </w:tc>
      </w:tr>
      <w:tr>
        <w:trPr>
          <w:trHeight w:val="143"/>
        </w:trPr>
        <w:tc>
          <w:tcPr>
            <w:tcW w:w="1040" w:type="dxa"/>
            <w:vAlign w:val="bottom"/>
            <w:tcBorders>
              <w:left w:val="single" w:sz="8" w:color="auto"/>
              <w:right w:val="single" w:sz="8" w:color="auto"/>
            </w:tcBorders>
          </w:tcPr>
          <w:p>
            <w:pPr>
              <w:spacing w:after="0"/>
              <w:rPr>
                <w:sz w:val="12"/>
                <w:szCs w:val="12"/>
                <w:color w:val="auto"/>
              </w:rPr>
            </w:pP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Reinsurance Results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rPr>
              <w:t>(10.1)</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7"/>
              </w:rPr>
              <w:t>(8.3)</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7"/>
              </w:rPr>
              <w:t>(3.8)</w:t>
            </w:r>
          </w:p>
        </w:tc>
        <w:tc>
          <w:tcPr>
            <w:tcW w:w="62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-54.3%</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-62.4%</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w w:val="97"/>
              </w:rPr>
              <w:t>(18.6)</w:t>
            </w:r>
          </w:p>
        </w:tc>
        <w:tc>
          <w:tcPr>
            <w:tcW w:w="110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w w:val="97"/>
              </w:rPr>
              <w:t>(12.1)</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-34.7%</w:t>
            </w: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line="145" w:lineRule="exact"/>
              <w:rPr>
                <w:sz w:val="20"/>
                <w:szCs w:val="20"/>
                <w:color w:val="auto"/>
              </w:rPr>
            </w:pPr>
            <w:r>
              <w:rPr>
                <w:rFonts w:ascii="Calibri" w:cs="Calibri" w:eastAsia="Calibri" w:hAnsi="Calibri"/>
                <w:sz w:val="12"/>
                <w:szCs w:val="12"/>
                <w:b w:val="1"/>
                <w:bCs w:val="1"/>
                <w:color w:val="auto"/>
              </w:rPr>
              <w:t>Insurance Undewrwritng Result</w:t>
            </w:r>
          </w:p>
        </w:tc>
        <w:tc>
          <w:tcPr>
            <w:tcW w:w="8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11.8</w:t>
            </w:r>
          </w:p>
        </w:tc>
        <w:tc>
          <w:tcPr>
            <w:tcW w:w="9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8.7</w:t>
            </w:r>
          </w:p>
        </w:tc>
        <w:tc>
          <w:tcPr>
            <w:tcW w:w="88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0"/>
              </w:rPr>
              <w:t>5.3</w:t>
            </w:r>
          </w:p>
        </w:tc>
        <w:tc>
          <w:tcPr>
            <w:tcW w:w="620" w:type="dxa"/>
            <w:vAlign w:val="bottom"/>
            <w:tcBorders>
              <w:bottom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-39.3%</w:t>
            </w:r>
          </w:p>
        </w:tc>
        <w:tc>
          <w:tcPr>
            <w:tcW w:w="1160" w:type="dxa"/>
            <w:vAlign w:val="bottom"/>
            <w:tcBorders>
              <w:bottom w:val="single" w:sz="8" w:color="auto"/>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-55.2%</w:t>
            </w:r>
          </w:p>
        </w:tc>
        <w:tc>
          <w:tcPr>
            <w:tcW w:w="700" w:type="dxa"/>
            <w:vAlign w:val="bottom"/>
            <w:tcBorders>
              <w:bottom w:val="single" w:sz="8" w:color="auto"/>
            </w:tcBorders>
          </w:tcPr>
          <w:p>
            <w:pPr>
              <w:jc w:val="center"/>
              <w:ind w:left="139"/>
              <w:spacing w:after="0" w:line="145" w:lineRule="exact"/>
              <w:rPr>
                <w:sz w:val="20"/>
                <w:szCs w:val="20"/>
                <w:color w:val="auto"/>
              </w:rPr>
            </w:pPr>
            <w:r>
              <w:rPr>
                <w:rFonts w:ascii="Calibri" w:cs="Calibri" w:eastAsia="Calibri" w:hAnsi="Calibri"/>
                <w:sz w:val="12"/>
                <w:szCs w:val="12"/>
                <w:b w:val="1"/>
                <w:bCs w:val="1"/>
                <w:color w:val="auto"/>
              </w:rPr>
              <w:t>26.2</w:t>
            </w:r>
          </w:p>
        </w:tc>
        <w:tc>
          <w:tcPr>
            <w:tcW w:w="1100" w:type="dxa"/>
            <w:vAlign w:val="bottom"/>
            <w:tcBorders>
              <w:bottom w:val="single" w:sz="8" w:color="auto"/>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b w:val="1"/>
                <w:bCs w:val="1"/>
                <w:color w:val="auto"/>
              </w:rPr>
              <w:t>14.0</w:t>
            </w:r>
          </w:p>
        </w:tc>
        <w:tc>
          <w:tcPr>
            <w:tcW w:w="10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-46.6%</w:t>
            </w:r>
          </w:p>
        </w:tc>
      </w:tr>
      <w:tr>
        <w:trPr>
          <w:trHeight w:val="130"/>
        </w:trPr>
        <w:tc>
          <w:tcPr>
            <w:tcW w:w="1040" w:type="dxa"/>
            <w:vAlign w:val="bottom"/>
            <w:tcBorders>
              <w:left w:val="single" w:sz="8" w:color="auto"/>
              <w:right w:val="single" w:sz="8" w:color="auto"/>
            </w:tcBorders>
          </w:tcPr>
          <w:p>
            <w:pPr>
              <w:spacing w:after="0"/>
              <w:rPr>
                <w:sz w:val="11"/>
                <w:szCs w:val="11"/>
                <w:color w:val="auto"/>
              </w:rPr>
            </w:pPr>
          </w:p>
        </w:tc>
        <w:tc>
          <w:tcPr>
            <w:tcW w:w="2940" w:type="dxa"/>
            <w:vAlign w:val="bottom"/>
            <w:tcBorders>
              <w:right w:val="single" w:sz="8" w:color="auto"/>
            </w:tcBorders>
          </w:tcPr>
          <w:p>
            <w:pPr>
              <w:spacing w:after="0" w:line="130" w:lineRule="exact"/>
              <w:rPr>
                <w:sz w:val="20"/>
                <w:szCs w:val="20"/>
                <w:color w:val="auto"/>
              </w:rPr>
            </w:pPr>
            <w:r>
              <w:rPr>
                <w:rFonts w:ascii="Calibri" w:cs="Calibri" w:eastAsia="Calibri" w:hAnsi="Calibri"/>
                <w:sz w:val="12"/>
                <w:szCs w:val="12"/>
                <w:color w:val="auto"/>
              </w:rPr>
              <w:t>Insurance Service Income</w:t>
            </w:r>
          </w:p>
        </w:tc>
        <w:tc>
          <w:tcPr>
            <w:tcW w:w="840" w:type="dxa"/>
            <w:vAlign w:val="bottom"/>
          </w:tcPr>
          <w:p>
            <w:pPr>
              <w:jc w:val="center"/>
              <w:spacing w:after="0" w:line="130" w:lineRule="exact"/>
              <w:rPr>
                <w:sz w:val="20"/>
                <w:szCs w:val="20"/>
                <w:color w:val="auto"/>
              </w:rPr>
            </w:pPr>
            <w:r>
              <w:rPr>
                <w:rFonts w:ascii="Calibri" w:cs="Calibri" w:eastAsia="Calibri" w:hAnsi="Calibri"/>
                <w:sz w:val="12"/>
                <w:szCs w:val="12"/>
                <w:color w:val="auto"/>
                <w:w w:val="91"/>
              </w:rPr>
              <w:t>0.0</w:t>
            </w:r>
          </w:p>
        </w:tc>
        <w:tc>
          <w:tcPr>
            <w:tcW w:w="940" w:type="dxa"/>
            <w:vAlign w:val="bottom"/>
          </w:tcPr>
          <w:p>
            <w:pPr>
              <w:jc w:val="center"/>
              <w:spacing w:after="0" w:line="130" w:lineRule="exact"/>
              <w:rPr>
                <w:sz w:val="20"/>
                <w:szCs w:val="20"/>
                <w:color w:val="auto"/>
              </w:rPr>
            </w:pPr>
            <w:r>
              <w:rPr>
                <w:rFonts w:ascii="Calibri" w:cs="Calibri" w:eastAsia="Calibri" w:hAnsi="Calibri"/>
                <w:sz w:val="12"/>
                <w:szCs w:val="12"/>
                <w:color w:val="auto"/>
              </w:rPr>
              <w:t>130.1</w:t>
            </w:r>
          </w:p>
        </w:tc>
        <w:tc>
          <w:tcPr>
            <w:tcW w:w="8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w w:val="94"/>
              </w:rPr>
              <w:t>383.3</w:t>
            </w:r>
          </w:p>
        </w:tc>
        <w:tc>
          <w:tcPr>
            <w:tcW w:w="620" w:type="dxa"/>
            <w:vAlign w:val="bottom"/>
          </w:tcPr>
          <w:p>
            <w:pPr>
              <w:jc w:val="center"/>
              <w:ind w:left="159"/>
              <w:spacing w:after="0" w:line="130" w:lineRule="exact"/>
              <w:rPr>
                <w:sz w:val="20"/>
                <w:szCs w:val="20"/>
                <w:color w:val="auto"/>
              </w:rPr>
            </w:pPr>
            <w:r>
              <w:rPr>
                <w:rFonts w:ascii="Calibri" w:cs="Calibri" w:eastAsia="Calibri" w:hAnsi="Calibri"/>
                <w:sz w:val="12"/>
                <w:szCs w:val="12"/>
                <w:color w:val="auto"/>
              </w:rPr>
              <w:t>194.5%</w:t>
            </w:r>
          </w:p>
        </w:tc>
        <w:tc>
          <w:tcPr>
            <w:tcW w:w="1160" w:type="dxa"/>
            <w:vAlign w:val="bottom"/>
            <w:tcBorders>
              <w:right w:val="single" w:sz="8" w:color="auto"/>
            </w:tcBorders>
          </w:tcPr>
          <w:p>
            <w:pPr>
              <w:ind w:left="620"/>
              <w:spacing w:after="0" w:line="130" w:lineRule="exact"/>
              <w:rPr>
                <w:sz w:val="20"/>
                <w:szCs w:val="20"/>
                <w:color w:val="auto"/>
              </w:rPr>
            </w:pPr>
            <w:r>
              <w:rPr>
                <w:rFonts w:ascii="Calibri" w:cs="Calibri" w:eastAsia="Calibri" w:hAnsi="Calibri"/>
                <w:sz w:val="12"/>
                <w:szCs w:val="12"/>
                <w:color w:val="auto"/>
              </w:rPr>
              <w:t>n.a</w:t>
            </w:r>
          </w:p>
        </w:tc>
        <w:tc>
          <w:tcPr>
            <w:tcW w:w="700" w:type="dxa"/>
            <w:vAlign w:val="bottom"/>
          </w:tcPr>
          <w:p>
            <w:pPr>
              <w:jc w:val="center"/>
              <w:ind w:left="119"/>
              <w:spacing w:after="0" w:line="130" w:lineRule="exact"/>
              <w:rPr>
                <w:sz w:val="20"/>
                <w:szCs w:val="20"/>
                <w:color w:val="auto"/>
              </w:rPr>
            </w:pPr>
            <w:r>
              <w:rPr>
                <w:rFonts w:ascii="Calibri" w:cs="Calibri" w:eastAsia="Calibri" w:hAnsi="Calibri"/>
                <w:sz w:val="12"/>
                <w:szCs w:val="12"/>
                <w:color w:val="auto"/>
              </w:rPr>
              <w:t>0.0</w:t>
            </w:r>
          </w:p>
        </w:tc>
        <w:tc>
          <w:tcPr>
            <w:tcW w:w="1100" w:type="dxa"/>
            <w:vAlign w:val="bottom"/>
            <w:tcBorders>
              <w:right w:val="single" w:sz="8" w:color="auto"/>
            </w:tcBorders>
          </w:tcPr>
          <w:p>
            <w:pPr>
              <w:jc w:val="center"/>
              <w:ind w:left="119"/>
              <w:spacing w:after="0" w:line="130" w:lineRule="exact"/>
              <w:rPr>
                <w:sz w:val="20"/>
                <w:szCs w:val="20"/>
                <w:color w:val="auto"/>
              </w:rPr>
            </w:pPr>
            <w:r>
              <w:rPr>
                <w:rFonts w:ascii="Calibri" w:cs="Calibri" w:eastAsia="Calibri" w:hAnsi="Calibri"/>
                <w:sz w:val="12"/>
                <w:szCs w:val="12"/>
                <w:color w:val="auto"/>
              </w:rPr>
              <w:t>513.4</w:t>
            </w:r>
          </w:p>
        </w:tc>
        <w:tc>
          <w:tcPr>
            <w:tcW w:w="10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w w:val="99"/>
              </w:rPr>
              <w:t>n.a.</w:t>
            </w:r>
          </w:p>
        </w:tc>
      </w:tr>
      <w:tr>
        <w:trPr>
          <w:trHeight w:val="143"/>
        </w:trPr>
        <w:tc>
          <w:tcPr>
            <w:tcW w:w="1040" w:type="dxa"/>
            <w:vAlign w:val="bottom"/>
            <w:tcBorders>
              <w:left w:val="single" w:sz="8" w:color="auto"/>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EPS</w:t>
            </w: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Insurance Service Expenses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w w:val="91"/>
              </w:rPr>
              <w:t>0.0</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(122.9)</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(357.3)</w:t>
            </w:r>
          </w:p>
        </w:tc>
        <w:tc>
          <w:tcPr>
            <w:tcW w:w="62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190.7%</w:t>
            </w:r>
          </w:p>
        </w:tc>
        <w:tc>
          <w:tcPr>
            <w:tcW w:w="1160" w:type="dxa"/>
            <w:vAlign w:val="bottom"/>
            <w:tcBorders>
              <w:right w:val="single" w:sz="8" w:color="auto"/>
            </w:tcBorders>
          </w:tcPr>
          <w:p>
            <w:pPr>
              <w:ind w:left="620"/>
              <w:spacing w:after="0" w:line="143" w:lineRule="exact"/>
              <w:rPr>
                <w:sz w:val="20"/>
                <w:szCs w:val="20"/>
                <w:color w:val="auto"/>
              </w:rPr>
            </w:pPr>
            <w:r>
              <w:rPr>
                <w:rFonts w:ascii="Calibri" w:cs="Calibri" w:eastAsia="Calibri" w:hAnsi="Calibri"/>
                <w:sz w:val="12"/>
                <w:szCs w:val="12"/>
                <w:color w:val="auto"/>
              </w:rPr>
              <w:t>n.a</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0.0</w:t>
            </w:r>
          </w:p>
        </w:tc>
        <w:tc>
          <w:tcPr>
            <w:tcW w:w="110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(480.2)</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9"/>
              </w:rPr>
              <w:t>n.a.</w:t>
            </w:r>
          </w:p>
        </w:tc>
      </w:tr>
      <w:tr>
        <w:trPr>
          <w:trHeight w:val="143"/>
        </w:trPr>
        <w:tc>
          <w:tcPr>
            <w:tcW w:w="1040" w:type="dxa"/>
            <w:vAlign w:val="bottom"/>
            <w:tcBorders>
              <w:left w:val="single" w:sz="8" w:color="auto"/>
              <w:right w:val="single" w:sz="8" w:color="auto"/>
            </w:tcBorders>
          </w:tcPr>
          <w:p>
            <w:pPr>
              <w:spacing w:after="0"/>
              <w:rPr>
                <w:sz w:val="12"/>
                <w:szCs w:val="12"/>
                <w:color w:val="auto"/>
              </w:rPr>
            </w:pPr>
          </w:p>
        </w:tc>
        <w:tc>
          <w:tcPr>
            <w:tcW w:w="2940" w:type="dxa"/>
            <w:vAlign w:val="bottom"/>
            <w:tcBorders>
              <w:right w:val="single" w:sz="8" w:color="auto"/>
            </w:tcBorders>
          </w:tcPr>
          <w:p>
            <w:pPr>
              <w:spacing w:after="0" w:line="143" w:lineRule="exact"/>
              <w:rPr>
                <w:sz w:val="20"/>
                <w:szCs w:val="20"/>
                <w:color w:val="auto"/>
              </w:rPr>
            </w:pPr>
            <w:r>
              <w:rPr>
                <w:rFonts w:ascii="Calibri" w:cs="Calibri" w:eastAsia="Calibri" w:hAnsi="Calibri"/>
                <w:sz w:val="12"/>
                <w:szCs w:val="12"/>
                <w:color w:val="auto"/>
              </w:rPr>
              <w:t>Reinsurance Results</w:t>
            </w:r>
          </w:p>
        </w:tc>
        <w:tc>
          <w:tcPr>
            <w:tcW w:w="840" w:type="dxa"/>
            <w:vAlign w:val="bottom"/>
          </w:tcPr>
          <w:p>
            <w:pPr>
              <w:jc w:val="center"/>
              <w:spacing w:after="0" w:line="143" w:lineRule="exact"/>
              <w:rPr>
                <w:sz w:val="20"/>
                <w:szCs w:val="20"/>
                <w:color w:val="auto"/>
              </w:rPr>
            </w:pPr>
            <w:r>
              <w:rPr>
                <w:rFonts w:ascii="Calibri" w:cs="Calibri" w:eastAsia="Calibri" w:hAnsi="Calibri"/>
                <w:sz w:val="12"/>
                <w:szCs w:val="12"/>
                <w:color w:val="auto"/>
                <w:w w:val="91"/>
              </w:rPr>
              <w:t>0.0</w:t>
            </w:r>
          </w:p>
        </w:tc>
        <w:tc>
          <w:tcPr>
            <w:tcW w:w="940" w:type="dxa"/>
            <w:vAlign w:val="bottom"/>
          </w:tcPr>
          <w:p>
            <w:pPr>
              <w:jc w:val="center"/>
              <w:spacing w:after="0" w:line="143" w:lineRule="exact"/>
              <w:rPr>
                <w:sz w:val="20"/>
                <w:szCs w:val="20"/>
                <w:color w:val="auto"/>
              </w:rPr>
            </w:pPr>
            <w:r>
              <w:rPr>
                <w:rFonts w:ascii="Calibri" w:cs="Calibri" w:eastAsia="Calibri" w:hAnsi="Calibri"/>
                <w:sz w:val="12"/>
                <w:szCs w:val="12"/>
                <w:color w:val="auto"/>
                <w:w w:val="97"/>
              </w:rPr>
              <w:t>(0.4)</w:t>
            </w:r>
          </w:p>
        </w:tc>
        <w:tc>
          <w:tcPr>
            <w:tcW w:w="8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7"/>
              </w:rPr>
              <w:t>(1.3)</w:t>
            </w:r>
          </w:p>
        </w:tc>
        <w:tc>
          <w:tcPr>
            <w:tcW w:w="62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194.7%</w:t>
            </w:r>
          </w:p>
        </w:tc>
        <w:tc>
          <w:tcPr>
            <w:tcW w:w="1160" w:type="dxa"/>
            <w:vAlign w:val="bottom"/>
            <w:tcBorders>
              <w:right w:val="single" w:sz="8" w:color="auto"/>
            </w:tcBorders>
          </w:tcPr>
          <w:p>
            <w:pPr>
              <w:ind w:left="620"/>
              <w:spacing w:after="0" w:line="143" w:lineRule="exact"/>
              <w:rPr>
                <w:sz w:val="20"/>
                <w:szCs w:val="20"/>
                <w:color w:val="auto"/>
              </w:rPr>
            </w:pPr>
            <w:r>
              <w:rPr>
                <w:rFonts w:ascii="Calibri" w:cs="Calibri" w:eastAsia="Calibri" w:hAnsi="Calibri"/>
                <w:sz w:val="12"/>
                <w:szCs w:val="12"/>
                <w:color w:val="auto"/>
              </w:rPr>
              <w:t>n.a</w:t>
            </w:r>
          </w:p>
        </w:tc>
        <w:tc>
          <w:tcPr>
            <w:tcW w:w="7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0.0</w:t>
            </w:r>
          </w:p>
        </w:tc>
        <w:tc>
          <w:tcPr>
            <w:tcW w:w="110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7"/>
              </w:rPr>
              <w:t>(1.7)</w:t>
            </w:r>
          </w:p>
        </w:tc>
        <w:tc>
          <w:tcPr>
            <w:tcW w:w="10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9"/>
              </w:rPr>
              <w:t>n.a.</w:t>
            </w: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line="145" w:lineRule="exact"/>
              <w:rPr>
                <w:sz w:val="20"/>
                <w:szCs w:val="20"/>
                <w:color w:val="auto"/>
              </w:rPr>
            </w:pPr>
            <w:r>
              <w:rPr>
                <w:rFonts w:ascii="Calibri" w:cs="Calibri" w:eastAsia="Calibri" w:hAnsi="Calibri"/>
                <w:sz w:val="12"/>
                <w:szCs w:val="12"/>
                <w:b w:val="1"/>
                <w:bCs w:val="1"/>
                <w:color w:val="auto"/>
              </w:rPr>
              <w:t>Insurance Undewrwritng Result</w:t>
            </w:r>
          </w:p>
        </w:tc>
        <w:tc>
          <w:tcPr>
            <w:tcW w:w="8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0"/>
              </w:rPr>
              <w:t>0.0</w:t>
            </w:r>
          </w:p>
        </w:tc>
        <w:tc>
          <w:tcPr>
            <w:tcW w:w="9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6.8</w:t>
            </w:r>
          </w:p>
        </w:tc>
        <w:tc>
          <w:tcPr>
            <w:tcW w:w="88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24.7</w:t>
            </w:r>
          </w:p>
        </w:tc>
        <w:tc>
          <w:tcPr>
            <w:tcW w:w="620" w:type="dxa"/>
            <w:vAlign w:val="bottom"/>
            <w:tcBorders>
              <w:bottom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263.1%</w:t>
            </w:r>
          </w:p>
        </w:tc>
        <w:tc>
          <w:tcPr>
            <w:tcW w:w="1160" w:type="dxa"/>
            <w:vAlign w:val="bottom"/>
            <w:tcBorders>
              <w:bottom w:val="single" w:sz="8" w:color="auto"/>
              <w:right w:val="single" w:sz="8" w:color="auto"/>
            </w:tcBorders>
          </w:tcPr>
          <w:p>
            <w:pPr>
              <w:ind w:left="620"/>
              <w:spacing w:after="0" w:line="145" w:lineRule="exact"/>
              <w:rPr>
                <w:sz w:val="20"/>
                <w:szCs w:val="20"/>
                <w:color w:val="auto"/>
              </w:rPr>
            </w:pPr>
            <w:r>
              <w:rPr>
                <w:rFonts w:ascii="Calibri" w:cs="Calibri" w:eastAsia="Calibri" w:hAnsi="Calibri"/>
                <w:sz w:val="12"/>
                <w:szCs w:val="12"/>
                <w:b w:val="1"/>
                <w:bCs w:val="1"/>
                <w:color w:val="auto"/>
              </w:rPr>
              <w:t>n.a</w:t>
            </w:r>
          </w:p>
        </w:tc>
        <w:tc>
          <w:tcPr>
            <w:tcW w:w="700" w:type="dxa"/>
            <w:vAlign w:val="bottom"/>
            <w:tcBorders>
              <w:bottom w:val="single" w:sz="8" w:color="auto"/>
            </w:tcBorders>
          </w:tcPr>
          <w:p>
            <w:pPr>
              <w:jc w:val="center"/>
              <w:ind w:left="119"/>
              <w:spacing w:after="0" w:line="145" w:lineRule="exact"/>
              <w:rPr>
                <w:sz w:val="20"/>
                <w:szCs w:val="20"/>
                <w:color w:val="auto"/>
              </w:rPr>
            </w:pPr>
            <w:r>
              <w:rPr>
                <w:rFonts w:ascii="Calibri" w:cs="Calibri" w:eastAsia="Calibri" w:hAnsi="Calibri"/>
                <w:sz w:val="12"/>
                <w:szCs w:val="12"/>
                <w:b w:val="1"/>
                <w:bCs w:val="1"/>
                <w:color w:val="auto"/>
              </w:rPr>
              <w:t>0.0</w:t>
            </w:r>
          </w:p>
        </w:tc>
        <w:tc>
          <w:tcPr>
            <w:tcW w:w="1100" w:type="dxa"/>
            <w:vAlign w:val="bottom"/>
            <w:tcBorders>
              <w:bottom w:val="single" w:sz="8" w:color="auto"/>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b w:val="1"/>
                <w:bCs w:val="1"/>
                <w:color w:val="auto"/>
              </w:rPr>
              <w:t>31.5</w:t>
            </w:r>
          </w:p>
        </w:tc>
        <w:tc>
          <w:tcPr>
            <w:tcW w:w="10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n.a.</w:t>
            </w:r>
          </w:p>
        </w:tc>
      </w:tr>
    </w:tbl>
    <w:p>
      <w:pPr>
        <w:spacing w:after="0" w:line="187"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QoQ, the Insurance Underwritng Result increased 6.6% on the back of growth in Insurance Service Income (+20.0%). This impact was partally atenuated by growth in Insurance Service Expenses (+29.2%) and a deterioraton in the Reinsurance Result (+10.3%).</w:t>
      </w:r>
    </w:p>
    <w:p>
      <w:pPr>
        <w:spacing w:after="0" w:line="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YoY and YTD, the Insurance Underwritng Result rose 11.2% and 14.4% respectvely, fueled by an increase in Insurance Service Income (+30.4% and +17.7%) and an improvement in the Reinsurance Result (-1.6% and -34.7%). These impacts were partally atenuated by growth in Insurance Service Expenses (+48.9% and +34.8%).</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P &amp; C</w:t>
      </w:r>
    </w:p>
    <w:p>
      <w:pPr>
        <w:spacing w:after="0" w:line="209" w:lineRule="exact"/>
        <w:rPr>
          <w:sz w:val="20"/>
          <w:szCs w:val="20"/>
          <w:color w:val="auto"/>
        </w:rPr>
      </w:pPr>
    </w:p>
    <w:p>
      <w:pPr>
        <w:ind w:left="2480"/>
        <w:spacing w:after="0"/>
        <w:tabs>
          <w:tab w:leader="none" w:pos="8020" w:val="left"/>
        </w:tabs>
        <w:rPr>
          <w:sz w:val="20"/>
          <w:szCs w:val="20"/>
          <w:color w:val="auto"/>
        </w:rPr>
      </w:pPr>
      <w:r>
        <w:rPr>
          <w:rFonts w:ascii="Calibri" w:cs="Calibri" w:eastAsia="Calibri" w:hAnsi="Calibri"/>
          <w:sz w:val="17"/>
          <w:szCs w:val="17"/>
          <w:b w:val="1"/>
          <w:bCs w:val="1"/>
          <w:color w:val="auto"/>
        </w:rPr>
        <w:t>Insurance Service Income</w:t>
      </w:r>
      <w:r>
        <w:rPr>
          <w:sz w:val="20"/>
          <w:szCs w:val="20"/>
          <w:color w:val="auto"/>
        </w:rPr>
        <w:tab/>
      </w:r>
      <w:r>
        <w:rPr>
          <w:rFonts w:ascii="Calibri" w:cs="Calibri" w:eastAsia="Calibri" w:hAnsi="Calibri"/>
          <w:sz w:val="16"/>
          <w:szCs w:val="16"/>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138430</wp:posOffset>
            </wp:positionV>
            <wp:extent cx="6369050" cy="1577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6905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00" w:firstLine="4"/>
        <w:spacing w:after="0" w:line="236" w:lineRule="auto"/>
        <w:tabs>
          <w:tab w:leader="none" w:pos="163" w:val="left"/>
        </w:tabs>
        <w:numPr>
          <w:ilvl w:val="0"/>
          <w:numId w:val="43"/>
        </w:numPr>
        <w:rPr>
          <w:rFonts w:ascii="Calibri" w:cs="Calibri" w:eastAsia="Calibri" w:hAnsi="Calibri"/>
          <w:sz w:val="12"/>
          <w:szCs w:val="12"/>
          <w:color w:val="auto"/>
        </w:rPr>
      </w:pPr>
      <w:r>
        <w:rPr>
          <w:rFonts w:ascii="Calibri" w:cs="Calibri" w:eastAsia="Calibri" w:hAnsi="Calibri"/>
          <w:sz w:val="12"/>
          <w:szCs w:val="12"/>
          <w:color w:val="auto"/>
        </w:rPr>
        <w:t>As of 1Q25, the business previously known as “P &amp; C” has been reclassifed into two separate categories: Personal Lines and Commercial Lines to beter refect the nature of insured risks. Historical fgures have been adjusted for comparability purposes.</w:t>
      </w:r>
    </w:p>
    <w:p>
      <w:pPr>
        <w:spacing w:after="0" w:line="234" w:lineRule="exact"/>
        <w:rPr>
          <w:sz w:val="20"/>
          <w:szCs w:val="20"/>
          <w:color w:val="auto"/>
        </w:rPr>
      </w:pPr>
    </w:p>
    <w:p>
      <w:pPr>
        <w:spacing w:after="0"/>
        <w:rPr>
          <w:sz w:val="20"/>
          <w:szCs w:val="20"/>
          <w:color w:val="auto"/>
        </w:rPr>
      </w:pPr>
      <w:r>
        <w:rPr>
          <w:rFonts w:ascii="Calibri" w:cs="Calibri" w:eastAsia="Calibri" w:hAnsi="Calibri"/>
          <w:sz w:val="17"/>
          <w:szCs w:val="17"/>
          <w:color w:val="auto"/>
        </w:rPr>
        <w:t>QoQ, the Insurance Underwritng Result rose 0.3% on the tails of the following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609600</wp:posOffset>
            </wp:positionV>
            <wp:extent cx="713740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14605</wp:posOffset>
            </wp:positionV>
            <wp:extent cx="6484620" cy="4546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84620" cy="454660"/>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37" w:name="page38"/>
    <w:bookmarkEnd w:id="37"/>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380" w:hanging="307"/>
        <w:spacing w:after="0"/>
        <w:tabs>
          <w:tab w:leader="none" w:pos="380" w:val="left"/>
        </w:tabs>
        <w:numPr>
          <w:ilvl w:val="0"/>
          <w:numId w:val="44"/>
        </w:numPr>
        <w:rPr>
          <w:rFonts w:ascii="Calibri" w:cs="Calibri" w:eastAsia="Calibri" w:hAnsi="Calibri"/>
          <w:sz w:val="21"/>
          <w:szCs w:val="21"/>
          <w:b w:val="1"/>
          <w:bCs w:val="1"/>
          <w:color w:val="FFFFFF"/>
        </w:rPr>
      </w:pPr>
      <w:r>
        <w:rPr>
          <w:rFonts w:ascii="Calibri" w:cs="Calibri" w:eastAsia="Calibri" w:hAnsi="Calibri"/>
          <w:sz w:val="21"/>
          <w:szCs w:val="21"/>
          <w:b w:val="1"/>
          <w:bCs w:val="1"/>
          <w:color w:val="FFFFFF"/>
        </w:rPr>
        <w:t>Insurance Underwritng and Medical Services Results</w:t>
      </w:r>
    </w:p>
    <w:p>
      <w:pPr>
        <w:spacing w:after="0" w:line="252" w:lineRule="exact"/>
        <w:rPr>
          <w:rFonts w:ascii="Calibri" w:cs="Calibri" w:eastAsia="Calibri" w:hAnsi="Calibri"/>
          <w:sz w:val="21"/>
          <w:szCs w:val="21"/>
          <w:b w:val="1"/>
          <w:bCs w:val="1"/>
          <w:color w:val="FFFFFF"/>
        </w:rPr>
      </w:pPr>
    </w:p>
    <w:p>
      <w:pPr>
        <w:jc w:val="both"/>
        <w:ind w:left="780" w:hanging="308"/>
        <w:spacing w:after="0" w:line="239" w:lineRule="auto"/>
        <w:tabs>
          <w:tab w:leader="none" w:pos="780" w:val="left"/>
        </w:tabs>
        <w:numPr>
          <w:ilvl w:val="1"/>
          <w:numId w:val="44"/>
        </w:numPr>
        <w:rPr>
          <w:rFonts w:ascii="Calibri" w:cs="Calibri" w:eastAsia="Calibri" w:hAnsi="Calibri"/>
          <w:sz w:val="17"/>
          <w:szCs w:val="17"/>
          <w:color w:val="auto"/>
        </w:rPr>
      </w:pPr>
      <w:r>
        <w:rPr>
          <w:rFonts w:ascii="Calibri" w:cs="Calibri" w:eastAsia="Calibri" w:hAnsi="Calibri"/>
          <w:sz w:val="17"/>
          <w:szCs w:val="17"/>
          <w:color w:val="auto"/>
        </w:rPr>
        <w:t>Insurance Service Income registered a slight decline of 2.0% with was driven mainly by (i) Commercial Lines and Medical Assistance, which dropped due to a reducton in premiums for renewals, which were impacted by seasonality, and (ii) Cars, where more Reserves for Current Risks were set aside, in line with growth in premium turnover.</w:t>
      </w:r>
    </w:p>
    <w:p>
      <w:pPr>
        <w:spacing w:after="0" w:line="4" w:lineRule="exact"/>
        <w:rPr>
          <w:rFonts w:ascii="Calibri" w:cs="Calibri" w:eastAsia="Calibri" w:hAnsi="Calibri"/>
          <w:sz w:val="17"/>
          <w:szCs w:val="17"/>
          <w:color w:val="auto"/>
        </w:rPr>
      </w:pPr>
    </w:p>
    <w:p>
      <w:pPr>
        <w:ind w:left="780" w:hanging="308"/>
        <w:spacing w:after="0" w:line="239" w:lineRule="auto"/>
        <w:tabs>
          <w:tab w:leader="none" w:pos="780" w:val="left"/>
        </w:tabs>
        <w:numPr>
          <w:ilvl w:val="1"/>
          <w:numId w:val="44"/>
        </w:numPr>
        <w:rPr>
          <w:rFonts w:ascii="Calibri" w:cs="Calibri" w:eastAsia="Calibri" w:hAnsi="Calibri"/>
          <w:sz w:val="17"/>
          <w:szCs w:val="17"/>
          <w:color w:val="auto"/>
        </w:rPr>
      </w:pPr>
      <w:r>
        <w:rPr>
          <w:rFonts w:ascii="Calibri" w:cs="Calibri" w:eastAsia="Calibri" w:hAnsi="Calibri"/>
          <w:sz w:val="17"/>
          <w:szCs w:val="17"/>
          <w:color w:val="auto"/>
        </w:rPr>
        <w:t>Insurance Service Expenses dropped 8.2%, fueled by (i) Commercial Lines, which reported a reducton in claims in Fire and Third Party Liability risks, and (ii) Vehicles, via a drop in claims and release from onerous contracts.</w:t>
      </w:r>
    </w:p>
    <w:p>
      <w:pPr>
        <w:spacing w:after="0" w:line="1" w:lineRule="exact"/>
        <w:rPr>
          <w:rFonts w:ascii="Calibri" w:cs="Calibri" w:eastAsia="Calibri" w:hAnsi="Calibri"/>
          <w:sz w:val="17"/>
          <w:szCs w:val="17"/>
          <w:color w:val="auto"/>
        </w:rPr>
      </w:pPr>
    </w:p>
    <w:p>
      <w:pPr>
        <w:ind w:left="780" w:hanging="308"/>
        <w:spacing w:after="0"/>
        <w:tabs>
          <w:tab w:leader="none" w:pos="780" w:val="left"/>
        </w:tabs>
        <w:numPr>
          <w:ilvl w:val="1"/>
          <w:numId w:val="44"/>
        </w:numPr>
        <w:rPr>
          <w:rFonts w:ascii="Calibri" w:cs="Calibri" w:eastAsia="Calibri" w:hAnsi="Calibri"/>
          <w:sz w:val="17"/>
          <w:szCs w:val="17"/>
          <w:color w:val="auto"/>
        </w:rPr>
      </w:pPr>
      <w:r>
        <w:rPr>
          <w:rFonts w:ascii="Calibri" w:cs="Calibri" w:eastAsia="Calibri" w:hAnsi="Calibri"/>
          <w:sz w:val="17"/>
          <w:szCs w:val="17"/>
          <w:color w:val="auto"/>
        </w:rPr>
        <w:t>The Reinsurance Result deteriorated, fueled primarily by a decrease in claims recovered from the reinsurance in Commercial Lines.</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color w:val="auto"/>
        </w:rPr>
        <w:t>YoY, the Insurance Underwritng Result rose 13.2% due to the following dynamics:</w:t>
      </w:r>
    </w:p>
    <w:p>
      <w:pPr>
        <w:spacing w:after="0" w:line="2" w:lineRule="exact"/>
        <w:rPr>
          <w:sz w:val="20"/>
          <w:szCs w:val="20"/>
          <w:color w:val="auto"/>
        </w:rPr>
      </w:pPr>
    </w:p>
    <w:p>
      <w:pPr>
        <w:jc w:val="both"/>
        <w:ind w:left="780" w:hanging="308"/>
        <w:spacing w:after="0" w:line="239" w:lineRule="auto"/>
        <w:tabs>
          <w:tab w:leader="none" w:pos="78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Insurance Service Income increased 5.7%, driven mainly by (i) Commercial Lines, which reported an increase in premiums alloted to the period due to new sales and an uptck in renewals, and (ii) Personal Lines, through the card protecton product, which registered growth in sales through the bancassurance channel, and (iii) Vehicles, via an uptck in sales through Yape.</w:t>
      </w:r>
    </w:p>
    <w:p>
      <w:pPr>
        <w:spacing w:after="0" w:line="3" w:lineRule="exact"/>
        <w:rPr>
          <w:rFonts w:ascii="Calibri" w:cs="Calibri" w:eastAsia="Calibri" w:hAnsi="Calibri"/>
          <w:sz w:val="17"/>
          <w:szCs w:val="17"/>
          <w:color w:val="auto"/>
        </w:rPr>
      </w:pPr>
    </w:p>
    <w:p>
      <w:pPr>
        <w:ind w:left="780" w:hanging="308"/>
        <w:spacing w:after="0"/>
        <w:tabs>
          <w:tab w:leader="none" w:pos="78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Insurance Service Expenses dropped 1.1%, fueled primarily by Vehicles via a drop in claims and releases from onerous contracts.</w:t>
      </w:r>
    </w:p>
    <w:p>
      <w:pPr>
        <w:ind w:left="780" w:hanging="308"/>
        <w:spacing w:after="0"/>
        <w:tabs>
          <w:tab w:leader="none" w:pos="78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The Reinsurance Result deteriorated, driven mainly by an increase in ceded premiums in Commercial Lines.</w:t>
      </w:r>
    </w:p>
    <w:p>
      <w:pPr>
        <w:spacing w:after="0" w:line="2" w:lineRule="exact"/>
        <w:rPr>
          <w:sz w:val="20"/>
          <w:szCs w:val="20"/>
          <w:color w:val="auto"/>
        </w:rPr>
      </w:pPr>
    </w:p>
    <w:p>
      <w:pPr>
        <w:spacing w:after="0" w:line="239" w:lineRule="auto"/>
        <w:rPr>
          <w:sz w:val="20"/>
          <w:szCs w:val="20"/>
          <w:color w:val="auto"/>
        </w:rPr>
      </w:pPr>
      <w:r>
        <w:rPr>
          <w:rFonts w:ascii="Calibri" w:cs="Calibri" w:eastAsia="Calibri" w:hAnsi="Calibri"/>
          <w:sz w:val="17"/>
          <w:szCs w:val="17"/>
          <w:color w:val="auto"/>
        </w:rPr>
        <w:t>YTD, the Insurance Underwritng Result increased 14.0% through Cars and Personal Lines and was fueled primarily by (i) growth in Insurance Service Income, which rose on the back of growth in premiums, and (ii) a drop in Insurance Service Expense, which was associated with a reducton in claims.</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Life Insurance</w:t>
      </w:r>
    </w:p>
    <w:p>
      <w:pPr>
        <w:spacing w:after="0" w:line="209" w:lineRule="exact"/>
        <w:rPr>
          <w:sz w:val="20"/>
          <w:szCs w:val="20"/>
          <w:color w:val="auto"/>
        </w:rPr>
      </w:pPr>
    </w:p>
    <w:p>
      <w:pPr>
        <w:ind w:left="1920"/>
        <w:spacing w:after="0"/>
        <w:tabs>
          <w:tab w:leader="none" w:pos="7640" w:val="left"/>
        </w:tabs>
        <w:rPr>
          <w:sz w:val="20"/>
          <w:szCs w:val="20"/>
          <w:color w:val="auto"/>
        </w:rPr>
      </w:pPr>
      <w:r>
        <w:rPr>
          <w:rFonts w:ascii="Calibri" w:cs="Calibri" w:eastAsia="Calibri" w:hAnsi="Calibri"/>
          <w:sz w:val="17"/>
          <w:szCs w:val="17"/>
          <w:b w:val="1"/>
          <w:bCs w:val="1"/>
          <w:color w:val="auto"/>
        </w:rPr>
        <w:t>Insurance Service Income</w:t>
      </w:r>
      <w:r>
        <w:rPr>
          <w:sz w:val="20"/>
          <w:szCs w:val="20"/>
          <w:color w:val="auto"/>
        </w:rPr>
        <w:tab/>
      </w:r>
      <w:r>
        <w:rPr>
          <w:rFonts w:ascii="Calibri" w:cs="Calibri" w:eastAsia="Calibri" w:hAnsi="Calibri"/>
          <w:sz w:val="16"/>
          <w:szCs w:val="16"/>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138430</wp:posOffset>
            </wp:positionV>
            <wp:extent cx="6583680" cy="14871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83680"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alibri" w:cs="Calibri" w:eastAsia="Calibri" w:hAnsi="Calibri"/>
          <w:sz w:val="17"/>
          <w:szCs w:val="17"/>
          <w:color w:val="auto"/>
        </w:rPr>
        <w:t>QoQ, the Insurance Underwritng Result rose 17.9% via the following dynamics:</w:t>
      </w:r>
    </w:p>
    <w:p>
      <w:pPr>
        <w:spacing w:after="0" w:line="2" w:lineRule="exact"/>
        <w:rPr>
          <w:sz w:val="20"/>
          <w:szCs w:val="20"/>
          <w:color w:val="auto"/>
        </w:rPr>
      </w:pPr>
    </w:p>
    <w:p>
      <w:pPr>
        <w:jc w:val="both"/>
        <w:ind w:left="780" w:hanging="308"/>
        <w:spacing w:after="0" w:line="239" w:lineRule="auto"/>
        <w:tabs>
          <w:tab w:leader="none" w:pos="78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Insurance Service Income dropped 0.6%, driven primarily by (i) D&amp;S, through a drop in regularizaton of premiums under SISCO VII, and (ii) Group Life, via a reducton in insurance for high-risk occupatons (SCTR), which was atributable to seasonality. The aforementoned was mitgated by the evoluton of Credit Life, which registered growth in premiums through Bancassurance and Alliances.</w:t>
      </w:r>
    </w:p>
    <w:p>
      <w:pPr>
        <w:spacing w:after="0" w:line="4" w:lineRule="exact"/>
        <w:rPr>
          <w:rFonts w:ascii="Calibri" w:cs="Calibri" w:eastAsia="Calibri" w:hAnsi="Calibri"/>
          <w:sz w:val="17"/>
          <w:szCs w:val="17"/>
          <w:color w:val="auto"/>
        </w:rPr>
      </w:pPr>
    </w:p>
    <w:p>
      <w:pPr>
        <w:ind w:left="780" w:hanging="308"/>
        <w:spacing w:after="0" w:line="239" w:lineRule="auto"/>
        <w:tabs>
          <w:tab w:leader="none" w:pos="78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Insurance Service Expenses dropped 29.6%, due primarily to (i) Credit Life, which reported a reducton in expenses for claims in the BCP Channel (Yape) and Mibanco, and (ii) D&amp;S, which registered an increase in releases of reserves for claims under SISCO VII.</w:t>
      </w:r>
    </w:p>
    <w:p>
      <w:pPr>
        <w:spacing w:after="0" w:line="1" w:lineRule="exact"/>
        <w:rPr>
          <w:rFonts w:ascii="Calibri" w:cs="Calibri" w:eastAsia="Calibri" w:hAnsi="Calibri"/>
          <w:sz w:val="17"/>
          <w:szCs w:val="17"/>
          <w:color w:val="auto"/>
        </w:rPr>
      </w:pPr>
    </w:p>
    <w:p>
      <w:pPr>
        <w:ind w:left="780" w:hanging="308"/>
        <w:spacing w:after="0"/>
        <w:tabs>
          <w:tab w:leader="none" w:pos="78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The Reinsurance Result improved, fueled mainly by Group Life, which reported growth in claims recovered from reinsurers.</w:t>
      </w:r>
    </w:p>
    <w:p>
      <w:pPr>
        <w:spacing w:after="0" w:line="222" w:lineRule="exact"/>
        <w:rPr>
          <w:sz w:val="20"/>
          <w:szCs w:val="20"/>
          <w:color w:val="auto"/>
        </w:rPr>
      </w:pPr>
    </w:p>
    <w:p>
      <w:pPr>
        <w:spacing w:after="0"/>
        <w:rPr>
          <w:sz w:val="20"/>
          <w:szCs w:val="20"/>
          <w:color w:val="auto"/>
        </w:rPr>
      </w:pPr>
      <w:r>
        <w:rPr>
          <w:rFonts w:ascii="Calibri" w:cs="Calibri" w:eastAsia="Calibri" w:hAnsi="Calibri"/>
          <w:sz w:val="17"/>
          <w:szCs w:val="17"/>
          <w:color w:val="auto"/>
        </w:rPr>
        <w:t>YoY, the Insurance Underwritng Result increased 12.7% due to the following dynamics:</w:t>
      </w:r>
    </w:p>
    <w:p>
      <w:pPr>
        <w:spacing w:after="0" w:line="2" w:lineRule="exact"/>
        <w:rPr>
          <w:sz w:val="20"/>
          <w:szCs w:val="20"/>
          <w:color w:val="auto"/>
        </w:rPr>
      </w:pPr>
    </w:p>
    <w:p>
      <w:pPr>
        <w:jc w:val="both"/>
        <w:ind w:left="780" w:hanging="308"/>
        <w:spacing w:after="0" w:line="239" w:lineRule="auto"/>
        <w:tabs>
          <w:tab w:leader="none" w:pos="780" w:val="left"/>
        </w:tabs>
        <w:numPr>
          <w:ilvl w:val="0"/>
          <w:numId w:val="47"/>
        </w:numPr>
        <w:rPr>
          <w:rFonts w:ascii="Calibri" w:cs="Calibri" w:eastAsia="Calibri" w:hAnsi="Calibri"/>
          <w:sz w:val="17"/>
          <w:szCs w:val="17"/>
          <w:color w:val="auto"/>
        </w:rPr>
      </w:pPr>
      <w:r>
        <w:rPr>
          <w:rFonts w:ascii="Calibri" w:cs="Calibri" w:eastAsia="Calibri" w:hAnsi="Calibri"/>
          <w:sz w:val="17"/>
          <w:szCs w:val="17"/>
          <w:color w:val="auto"/>
        </w:rPr>
        <w:t>Insurance Service Income decreased 25.7%. This evoluton was driven mainly by the D&amp;S line, given that the company was not awarded tranches of SISCO VIII in 2025 (vs partcipaton under SISCO VII in 2024). The impact of this decline was partally atenuated by Credit Life, which registered an increase in premiums alloted to the period via the Bancassurance and Alliances channels.</w:t>
      </w:r>
    </w:p>
    <w:p>
      <w:pPr>
        <w:spacing w:after="0" w:line="4" w:lineRule="exact"/>
        <w:rPr>
          <w:rFonts w:ascii="Calibri" w:cs="Calibri" w:eastAsia="Calibri" w:hAnsi="Calibri"/>
          <w:sz w:val="17"/>
          <w:szCs w:val="17"/>
          <w:color w:val="auto"/>
        </w:rPr>
      </w:pPr>
    </w:p>
    <w:p>
      <w:pPr>
        <w:ind w:left="780" w:hanging="308"/>
        <w:spacing w:after="0" w:line="239" w:lineRule="auto"/>
        <w:tabs>
          <w:tab w:leader="none" w:pos="780" w:val="left"/>
        </w:tabs>
        <w:numPr>
          <w:ilvl w:val="0"/>
          <w:numId w:val="47"/>
        </w:numPr>
        <w:rPr>
          <w:rFonts w:ascii="Calibri" w:cs="Calibri" w:eastAsia="Calibri" w:hAnsi="Calibri"/>
          <w:sz w:val="17"/>
          <w:szCs w:val="17"/>
          <w:color w:val="auto"/>
        </w:rPr>
      </w:pPr>
      <w:r>
        <w:rPr>
          <w:rFonts w:ascii="Calibri" w:cs="Calibri" w:eastAsia="Calibri" w:hAnsi="Calibri"/>
          <w:sz w:val="17"/>
          <w:szCs w:val="17"/>
          <w:color w:val="auto"/>
        </w:rPr>
        <w:t>Insurance Service Expenses dropped 61.5%, driven primarily by (i) D&amp;S, in line with no contract award under SISCO VIII, and (ii) Individual Life, which reported a drop in claims. These dynamics were partally ofset by Credit Life, which reported an uptck in underwritng expenses in Alliances.</w:t>
      </w:r>
    </w:p>
    <w:p>
      <w:pPr>
        <w:spacing w:after="0" w:line="1" w:lineRule="exact"/>
        <w:rPr>
          <w:rFonts w:ascii="Calibri" w:cs="Calibri" w:eastAsia="Calibri" w:hAnsi="Calibri"/>
          <w:sz w:val="17"/>
          <w:szCs w:val="17"/>
          <w:color w:val="auto"/>
        </w:rPr>
      </w:pPr>
    </w:p>
    <w:p>
      <w:pPr>
        <w:ind w:left="780" w:hanging="308"/>
        <w:spacing w:after="0"/>
        <w:tabs>
          <w:tab w:leader="none" w:pos="780" w:val="left"/>
        </w:tabs>
        <w:numPr>
          <w:ilvl w:val="0"/>
          <w:numId w:val="47"/>
        </w:numPr>
        <w:rPr>
          <w:rFonts w:ascii="Calibri" w:cs="Calibri" w:eastAsia="Calibri" w:hAnsi="Calibri"/>
          <w:sz w:val="17"/>
          <w:szCs w:val="17"/>
          <w:color w:val="auto"/>
        </w:rPr>
      </w:pPr>
      <w:r>
        <w:rPr>
          <w:rFonts w:ascii="Calibri" w:cs="Calibri" w:eastAsia="Calibri" w:hAnsi="Calibri"/>
          <w:sz w:val="17"/>
          <w:szCs w:val="17"/>
          <w:color w:val="auto"/>
        </w:rPr>
        <w:t>The Reinsurance Result improved, mainly on the back of D&amp;S, which registered a reducton in ceded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840740</wp:posOffset>
            </wp:positionV>
            <wp:extent cx="713740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138430</wp:posOffset>
            </wp:positionV>
            <wp:extent cx="6476365" cy="43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76365" cy="437515"/>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38" w:name="page39"/>
    <w:bookmarkEnd w:id="38"/>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121920</wp:posOffset>
            </wp:positionV>
            <wp:extent cx="7137400" cy="628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07. Insurance Underwritng and Medical Services Results</w:t>
      </w:r>
    </w:p>
    <w:p>
      <w:pPr>
        <w:spacing w:after="0" w:line="109"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YTD, the Insurance Underwritng Result increased 14.0%. This evoluton was fueled by Individual Life, which reported a drop in Insurance Service Expenses on the tails of a drop in claims, and by Credit Life, which reported growth in income, mainly in Alliances, through an uptck in premiums. The aforementoned was partally atenuated by D&amp;S.</w:t>
      </w:r>
    </w:p>
    <w:p>
      <w:pPr>
        <w:spacing w:after="0" w:line="198"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Medical Services Result</w:t>
      </w:r>
    </w:p>
    <w:p>
      <w:pPr>
        <w:spacing w:after="0" w:line="210"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In March 2025, Credicorp completed its acquisiton of the remaining 50% stake in Empresas Banmédica under the joint venture with Pacífco Compañía de Seguros y Reaseguros S.A. ("Pacifco Seguros") set forth in December 2014. This transacton allowed Credicorp, through its subsidiaris Pacifco Seguros y Grupo Crédito S.A., to assume full ownership of Pacífco S.A. Entdad Prestadora de Salud ("Pacifco EPS"), which manages corporate healthcare for employees, medical services, and private medical insurance in Peru. This acquisiton strengthens Credicorp’s capacity to create a more sustainable and inclusive economy by improving access to health insurance and services and bolstering eforts to expand fnancial inclusion.</w:t>
      </w:r>
    </w:p>
    <w:p>
      <w:pPr>
        <w:spacing w:after="0" w:line="198"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Consequently, as of March 2025, the EPS business’s result is primarily consolidated in Credicorp’s Insurance Underwritng Result line while the Medical Services business is reported in a new account named “Medical Services Result” It is important to note that in 1Q25, only the month of March was included.</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YTD, the Medical Services Result contributed 166M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2674620</wp:posOffset>
            </wp:positionV>
            <wp:extent cx="713740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14605</wp:posOffset>
            </wp:positionV>
            <wp:extent cx="6468110" cy="25196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68110" cy="251968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9" w:name="page40"/>
    <w:bookmarkEnd w:id="39"/>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121920</wp:posOffset>
            </wp:positionV>
            <wp:extent cx="7137400" cy="628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392"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08 </w:t>
      </w:r>
      <w:r>
        <w:rPr>
          <w:rFonts w:ascii="Calibri" w:cs="Calibri" w:eastAsia="Calibri" w:hAnsi="Calibri"/>
          <w:sz w:val="31"/>
          <w:szCs w:val="31"/>
          <w:color w:val="E93BAC"/>
        </w:rPr>
        <w:t>Operatng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137400" cy="7518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7400" cy="751840"/>
                    </a:xfrm>
                    <a:prstGeom prst="rect">
                      <a:avLst/>
                    </a:prstGeom>
                    <a:noFill/>
                  </pic:spPr>
                </pic:pic>
              </a:graphicData>
            </a:graphic>
          </wp:anchor>
        </w:drawing>
      </w:r>
    </w:p>
    <w:p>
      <w:pPr>
        <w:spacing w:after="0" w:line="290" w:lineRule="exact"/>
        <w:rPr>
          <w:sz w:val="20"/>
          <w:szCs w:val="20"/>
          <w:color w:val="auto"/>
        </w:rPr>
      </w:pPr>
    </w:p>
    <w:p>
      <w:pPr>
        <w:jc w:val="both"/>
        <w:ind w:left="120" w:right="120"/>
        <w:spacing w:after="0"/>
        <w:rPr>
          <w:sz w:val="20"/>
          <w:szCs w:val="20"/>
          <w:color w:val="auto"/>
        </w:rPr>
      </w:pPr>
      <w:r>
        <w:rPr>
          <w:rFonts w:ascii="Calibri" w:cs="Calibri" w:eastAsia="Calibri" w:hAnsi="Calibri"/>
          <w:sz w:val="17"/>
          <w:szCs w:val="17"/>
          <w:color w:val="FFFFFF"/>
        </w:rPr>
        <w:t>Operatng expenses rose 11.4% YTD, driven primarily by core businesses at BCP Stand-alone and innovaton portolio initatves at Credicorp. Core business expenses at BCP Stand-alone rose due to (i) higher expenses for Employee salaries and benefts, which was driven by growth in provisions for variable compensaton and an increase in head counts; and (ii) an increas e in administratve expenses, mainly at Pacifco, which refects the 100% consolidaton of operatons at Empresas Banmédica, and at BCP Stand-alone, which registered an uptck in cloud use due to growth in the transactons volume among increasingly digitalized clients. Expenses for innovaton portolio initatves at Credicorp rose 15.0%.</w:t>
      </w:r>
    </w:p>
    <w:p>
      <w:pPr>
        <w:spacing w:after="0" w:line="27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Total Operatng Expenses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5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7"/>
                <w:szCs w:val="17"/>
                <w:b w:val="1"/>
                <w:bCs w:val="1"/>
                <w:color w:val="FFFFFF"/>
              </w:rPr>
              <w:t>Operatng expenses</w:t>
            </w:r>
          </w:p>
        </w:tc>
        <w:tc>
          <w:tcPr>
            <w:tcW w:w="960" w:type="dxa"/>
            <w:vAlign w:val="bottom"/>
            <w:tcBorders>
              <w:top w:val="single" w:sz="8" w:color="auto"/>
            </w:tcBorders>
            <w:shd w:val="clear" w:color="auto" w:fill="33CCCC"/>
          </w:tcPr>
          <w:p>
            <w:pPr>
              <w:spacing w:after="0"/>
              <w:rPr>
                <w:sz w:val="19"/>
                <w:szCs w:val="19"/>
                <w:color w:val="auto"/>
              </w:rPr>
            </w:pPr>
          </w:p>
        </w:tc>
        <w:tc>
          <w:tcPr>
            <w:tcW w:w="920" w:type="dxa"/>
            <w:vAlign w:val="bottom"/>
            <w:tcBorders>
              <w:top w:val="single" w:sz="8" w:color="auto"/>
            </w:tcBorders>
            <w:shd w:val="clear" w:color="auto" w:fill="33CCCC"/>
          </w:tcPr>
          <w:p>
            <w:pPr>
              <w:jc w:val="right"/>
              <w:ind w:right="235"/>
              <w:spacing w:after="0"/>
              <w:rPr>
                <w:sz w:val="20"/>
                <w:szCs w:val="20"/>
                <w:color w:val="auto"/>
              </w:rPr>
            </w:pPr>
            <w:r>
              <w:rPr>
                <w:rFonts w:ascii="Calibri" w:cs="Calibri" w:eastAsia="Calibri" w:hAnsi="Calibri"/>
                <w:sz w:val="16"/>
                <w:szCs w:val="16"/>
                <w:color w:val="FFFFFF"/>
              </w:rPr>
              <w:t>Quarter</w:t>
            </w:r>
          </w:p>
        </w:tc>
        <w:tc>
          <w:tcPr>
            <w:tcW w:w="800" w:type="dxa"/>
            <w:vAlign w:val="bottom"/>
            <w:tcBorders>
              <w:top w:val="single" w:sz="8" w:color="auto"/>
              <w:right w:val="single" w:sz="8" w:color="auto"/>
            </w:tcBorders>
            <w:shd w:val="clear" w:color="auto" w:fill="33CCCC"/>
          </w:tcPr>
          <w:p>
            <w:pPr>
              <w:spacing w:after="0"/>
              <w:rPr>
                <w:sz w:val="19"/>
                <w:szCs w:val="19"/>
                <w:color w:val="auto"/>
              </w:rPr>
            </w:pPr>
          </w:p>
        </w:tc>
        <w:tc>
          <w:tcPr>
            <w:tcW w:w="1800" w:type="dxa"/>
            <w:vAlign w:val="bottom"/>
            <w:tcBorders>
              <w:top w:val="single" w:sz="8" w:color="auto"/>
              <w:right w:val="single" w:sz="8" w:color="auto"/>
            </w:tcBorders>
            <w:gridSpan w:val="2"/>
            <w:shd w:val="clear" w:color="auto" w:fill="33CCCC"/>
          </w:tcPr>
          <w:p>
            <w:pPr>
              <w:ind w:left="560"/>
              <w:spacing w:after="0"/>
              <w:rPr>
                <w:sz w:val="20"/>
                <w:szCs w:val="20"/>
                <w:color w:val="auto"/>
              </w:rPr>
            </w:pPr>
            <w:r>
              <w:rPr>
                <w:rFonts w:ascii="Calibri" w:cs="Calibri" w:eastAsia="Calibri" w:hAnsi="Calibri"/>
                <w:sz w:val="17"/>
                <w:szCs w:val="17"/>
                <w:b w:val="1"/>
                <w:bCs w:val="1"/>
                <w:color w:val="FFFFFF"/>
              </w:rPr>
              <w:t>% change</w:t>
            </w:r>
          </w:p>
        </w:tc>
        <w:tc>
          <w:tcPr>
            <w:tcW w:w="1100" w:type="dxa"/>
            <w:vAlign w:val="bottom"/>
            <w:tcBorders>
              <w:top w:val="single" w:sz="8" w:color="auto"/>
            </w:tcBorders>
            <w:shd w:val="clear" w:color="auto" w:fill="33CCCC"/>
          </w:tcPr>
          <w:p>
            <w:pPr>
              <w:jc w:val="right"/>
              <w:spacing w:after="0"/>
              <w:rPr>
                <w:sz w:val="20"/>
                <w:szCs w:val="20"/>
                <w:color w:val="auto"/>
              </w:rPr>
            </w:pPr>
            <w:r>
              <w:rPr>
                <w:rFonts w:ascii="Calibri" w:cs="Calibri" w:eastAsia="Calibri" w:hAnsi="Calibri"/>
                <w:sz w:val="17"/>
                <w:szCs w:val="17"/>
                <w:b w:val="1"/>
                <w:bCs w:val="1"/>
                <w:color w:val="FFFFFF"/>
              </w:rPr>
              <w:t>Up to</w:t>
            </w:r>
          </w:p>
        </w:tc>
        <w:tc>
          <w:tcPr>
            <w:tcW w:w="700" w:type="dxa"/>
            <w:vAlign w:val="bottom"/>
            <w:tcBorders>
              <w:top w:val="single" w:sz="8" w:color="auto"/>
              <w:right w:val="single" w:sz="8" w:color="auto"/>
            </w:tcBorders>
            <w:shd w:val="clear" w:color="auto" w:fill="33CCCC"/>
          </w:tcPr>
          <w:p>
            <w:pPr>
              <w:spacing w:after="0"/>
              <w:rPr>
                <w:sz w:val="19"/>
                <w:szCs w:val="19"/>
                <w:color w:val="auto"/>
              </w:rPr>
            </w:pPr>
          </w:p>
        </w:tc>
        <w:tc>
          <w:tcPr>
            <w:tcW w:w="14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9"/>
              </w:rPr>
              <w:t>% change</w:t>
            </w:r>
          </w:p>
        </w:tc>
      </w:tr>
      <w:tr>
        <w:trPr>
          <w:trHeight w:val="208"/>
        </w:trPr>
        <w:tc>
          <w:tcPr>
            <w:tcW w:w="3520" w:type="dxa"/>
            <w:vAlign w:val="bottom"/>
            <w:tcBorders>
              <w:left w:val="single" w:sz="8" w:color="auto"/>
              <w:bottom w:val="single" w:sz="8" w:color="auto"/>
              <w:right w:val="single" w:sz="8" w:color="auto"/>
            </w:tcBorders>
            <w:shd w:val="clear" w:color="auto" w:fill="33CCCC"/>
          </w:tcPr>
          <w:p>
            <w:pPr>
              <w:ind w:left="20"/>
              <w:spacing w:after="0" w:line="206" w:lineRule="exact"/>
              <w:rPr>
                <w:sz w:val="20"/>
                <w:szCs w:val="20"/>
                <w:color w:val="auto"/>
              </w:rPr>
            </w:pPr>
            <w:r>
              <w:rPr>
                <w:rFonts w:ascii="Calibri" w:cs="Calibri" w:eastAsia="Calibri" w:hAnsi="Calibri"/>
                <w:sz w:val="17"/>
                <w:szCs w:val="17"/>
                <w:b w:val="1"/>
                <w:bCs w:val="1"/>
                <w:color w:val="FFFFFF"/>
              </w:rPr>
              <w:t>S/000</w:t>
            </w:r>
          </w:p>
        </w:tc>
        <w:tc>
          <w:tcPr>
            <w:tcW w:w="960" w:type="dxa"/>
            <w:vAlign w:val="bottom"/>
            <w:tcBorders>
              <w:bottom w:val="single" w:sz="8" w:color="auto"/>
            </w:tcBorders>
            <w:shd w:val="clear" w:color="auto" w:fill="33CCCC"/>
          </w:tcPr>
          <w:p>
            <w:pPr>
              <w:jc w:val="right"/>
              <w:ind w:right="253"/>
              <w:spacing w:after="0" w:line="206" w:lineRule="exact"/>
              <w:rPr>
                <w:sz w:val="20"/>
                <w:szCs w:val="20"/>
                <w:color w:val="auto"/>
              </w:rPr>
            </w:pPr>
            <w:r>
              <w:rPr>
                <w:rFonts w:ascii="Calibri" w:cs="Calibri" w:eastAsia="Calibri" w:hAnsi="Calibri"/>
                <w:sz w:val="17"/>
                <w:szCs w:val="17"/>
                <w:b w:val="1"/>
                <w:bCs w:val="1"/>
                <w:color w:val="FFFFFF"/>
              </w:rPr>
              <w:t>2Q24</w:t>
            </w:r>
          </w:p>
        </w:tc>
        <w:tc>
          <w:tcPr>
            <w:tcW w:w="920" w:type="dxa"/>
            <w:vAlign w:val="bottom"/>
            <w:tcBorders>
              <w:bottom w:val="single" w:sz="8" w:color="auto"/>
            </w:tcBorders>
            <w:shd w:val="clear" w:color="auto" w:fill="33CCCC"/>
          </w:tcPr>
          <w:p>
            <w:pPr>
              <w:jc w:val="right"/>
              <w:ind w:right="295"/>
              <w:spacing w:after="0" w:line="206" w:lineRule="exact"/>
              <w:rPr>
                <w:sz w:val="20"/>
                <w:szCs w:val="20"/>
                <w:color w:val="auto"/>
              </w:rPr>
            </w:pPr>
            <w:r>
              <w:rPr>
                <w:rFonts w:ascii="Calibri" w:cs="Calibri" w:eastAsia="Calibri" w:hAnsi="Calibri"/>
                <w:sz w:val="17"/>
                <w:szCs w:val="17"/>
                <w:b w:val="1"/>
                <w:bCs w:val="1"/>
                <w:color w:val="FFFFFF"/>
              </w:rPr>
              <w:t>1Q25</w:t>
            </w:r>
          </w:p>
        </w:tc>
        <w:tc>
          <w:tcPr>
            <w:tcW w:w="800" w:type="dxa"/>
            <w:vAlign w:val="bottom"/>
            <w:tcBorders>
              <w:bottom w:val="single" w:sz="8" w:color="auto"/>
              <w:right w:val="single" w:sz="8" w:color="auto"/>
            </w:tcBorders>
            <w:shd w:val="clear" w:color="auto" w:fill="33CCCC"/>
          </w:tcPr>
          <w:p>
            <w:pPr>
              <w:jc w:val="right"/>
              <w:ind w:right="193"/>
              <w:spacing w:after="0" w:line="206" w:lineRule="exact"/>
              <w:rPr>
                <w:sz w:val="20"/>
                <w:szCs w:val="20"/>
                <w:color w:val="auto"/>
              </w:rPr>
            </w:pPr>
            <w:r>
              <w:rPr>
                <w:rFonts w:ascii="Calibri" w:cs="Calibri" w:eastAsia="Calibri" w:hAnsi="Calibri"/>
                <w:sz w:val="17"/>
                <w:szCs w:val="17"/>
                <w:b w:val="1"/>
                <w:bCs w:val="1"/>
                <w:color w:val="FFFFFF"/>
              </w:rPr>
              <w:t>2Q25</w:t>
            </w:r>
          </w:p>
        </w:tc>
        <w:tc>
          <w:tcPr>
            <w:tcW w:w="880" w:type="dxa"/>
            <w:vAlign w:val="bottom"/>
            <w:tcBorders>
              <w:bottom w:val="single" w:sz="8" w:color="auto"/>
            </w:tcBorders>
            <w:shd w:val="clear" w:color="auto" w:fill="33CCCC"/>
          </w:tcPr>
          <w:p>
            <w:pPr>
              <w:ind w:left="280"/>
              <w:spacing w:after="0" w:line="206" w:lineRule="exact"/>
              <w:rPr>
                <w:sz w:val="20"/>
                <w:szCs w:val="20"/>
                <w:color w:val="auto"/>
              </w:rPr>
            </w:pPr>
            <w:r>
              <w:rPr>
                <w:rFonts w:ascii="Calibri" w:cs="Calibri" w:eastAsia="Calibri" w:hAnsi="Calibri"/>
                <w:sz w:val="17"/>
                <w:szCs w:val="17"/>
                <w:b w:val="1"/>
                <w:bCs w:val="1"/>
                <w:color w:val="FFFFFF"/>
              </w:rPr>
              <w:t>QoQ</w:t>
            </w:r>
          </w:p>
        </w:tc>
        <w:tc>
          <w:tcPr>
            <w:tcW w:w="920" w:type="dxa"/>
            <w:vAlign w:val="bottom"/>
            <w:tcBorders>
              <w:bottom w:val="single" w:sz="8" w:color="auto"/>
              <w:right w:val="single" w:sz="8" w:color="auto"/>
            </w:tcBorders>
            <w:shd w:val="clear" w:color="auto" w:fill="33CCCC"/>
          </w:tcPr>
          <w:p>
            <w:pPr>
              <w:ind w:left="320"/>
              <w:spacing w:after="0" w:line="206" w:lineRule="exact"/>
              <w:rPr>
                <w:sz w:val="20"/>
                <w:szCs w:val="20"/>
                <w:color w:val="auto"/>
              </w:rPr>
            </w:pPr>
            <w:r>
              <w:rPr>
                <w:rFonts w:ascii="Calibri" w:cs="Calibri" w:eastAsia="Calibri" w:hAnsi="Calibri"/>
                <w:sz w:val="17"/>
                <w:szCs w:val="17"/>
                <w:b w:val="1"/>
                <w:bCs w:val="1"/>
                <w:color w:val="FFFFFF"/>
              </w:rPr>
              <w:t>YoY</w:t>
            </w:r>
          </w:p>
        </w:tc>
        <w:tc>
          <w:tcPr>
            <w:tcW w:w="1100" w:type="dxa"/>
            <w:vAlign w:val="bottom"/>
            <w:tcBorders>
              <w:bottom w:val="single" w:sz="8" w:color="auto"/>
            </w:tcBorders>
            <w:shd w:val="clear" w:color="auto" w:fill="33CCCC"/>
          </w:tcPr>
          <w:p>
            <w:pPr>
              <w:jc w:val="right"/>
              <w:ind w:right="333"/>
              <w:spacing w:after="0" w:line="206" w:lineRule="exact"/>
              <w:rPr>
                <w:sz w:val="20"/>
                <w:szCs w:val="20"/>
                <w:color w:val="auto"/>
              </w:rPr>
            </w:pPr>
            <w:r>
              <w:rPr>
                <w:rFonts w:ascii="Calibri" w:cs="Calibri" w:eastAsia="Calibri" w:hAnsi="Calibri"/>
                <w:sz w:val="17"/>
                <w:szCs w:val="17"/>
                <w:b w:val="1"/>
                <w:bCs w:val="1"/>
                <w:color w:val="FFFFFF"/>
              </w:rPr>
              <w:t>Jun 24</w:t>
            </w:r>
          </w:p>
        </w:tc>
        <w:tc>
          <w:tcPr>
            <w:tcW w:w="700" w:type="dxa"/>
            <w:vAlign w:val="bottom"/>
            <w:tcBorders>
              <w:bottom w:val="single" w:sz="8" w:color="auto"/>
              <w:right w:val="single" w:sz="8" w:color="auto"/>
            </w:tcBorders>
            <w:shd w:val="clear" w:color="auto" w:fill="33CCCC"/>
          </w:tcPr>
          <w:p>
            <w:pPr>
              <w:jc w:val="right"/>
              <w:ind w:right="153"/>
              <w:spacing w:after="0" w:line="206" w:lineRule="exact"/>
              <w:rPr>
                <w:sz w:val="20"/>
                <w:szCs w:val="20"/>
                <w:color w:val="auto"/>
              </w:rPr>
            </w:pPr>
            <w:r>
              <w:rPr>
                <w:rFonts w:ascii="Calibri" w:cs="Calibri" w:eastAsia="Calibri" w:hAnsi="Calibri"/>
                <w:sz w:val="17"/>
                <w:szCs w:val="17"/>
                <w:b w:val="1"/>
                <w:bCs w:val="1"/>
                <w:color w:val="FFFFFF"/>
                <w:w w:val="97"/>
              </w:rPr>
              <w:t>Jun 25</w:t>
            </w:r>
          </w:p>
        </w:tc>
        <w:tc>
          <w:tcPr>
            <w:tcW w:w="1460" w:type="dxa"/>
            <w:vAlign w:val="bottom"/>
            <w:tcBorders>
              <w:bottom w:val="single" w:sz="8" w:color="auto"/>
              <w:right w:val="single" w:sz="8" w:color="auto"/>
            </w:tcBorders>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rPr>
              <w:t>Jun 25 / Jun 24</w:t>
            </w:r>
          </w:p>
        </w:tc>
      </w:tr>
      <w:tr>
        <w:trPr>
          <w:trHeight w:val="182"/>
        </w:trPr>
        <w:tc>
          <w:tcPr>
            <w:tcW w:w="3520" w:type="dxa"/>
            <w:vAlign w:val="bottom"/>
            <w:tcBorders>
              <w:left w:val="single" w:sz="8" w:color="auto"/>
              <w:right w:val="single" w:sz="8" w:color="auto"/>
            </w:tcBorders>
          </w:tcPr>
          <w:p>
            <w:pPr>
              <w:ind w:left="20"/>
              <w:spacing w:after="0" w:line="182" w:lineRule="exact"/>
              <w:rPr>
                <w:sz w:val="20"/>
                <w:szCs w:val="20"/>
                <w:color w:val="auto"/>
              </w:rPr>
            </w:pPr>
            <w:r>
              <w:rPr>
                <w:rFonts w:ascii="Calibri" w:cs="Calibri" w:eastAsia="Calibri" w:hAnsi="Calibri"/>
                <w:sz w:val="17"/>
                <w:szCs w:val="17"/>
                <w:color w:val="auto"/>
              </w:rPr>
              <w:t>Salaries and employees benefts</w:t>
            </w:r>
          </w:p>
        </w:tc>
        <w:tc>
          <w:tcPr>
            <w:tcW w:w="960" w:type="dxa"/>
            <w:vAlign w:val="bottom"/>
          </w:tcPr>
          <w:p>
            <w:pPr>
              <w:jc w:val="right"/>
              <w:spacing w:after="0" w:line="182" w:lineRule="exact"/>
              <w:rPr>
                <w:sz w:val="20"/>
                <w:szCs w:val="20"/>
                <w:color w:val="auto"/>
              </w:rPr>
            </w:pPr>
            <w:r>
              <w:rPr>
                <w:rFonts w:ascii="Calibri" w:cs="Calibri" w:eastAsia="Calibri" w:hAnsi="Calibri"/>
                <w:sz w:val="17"/>
                <w:szCs w:val="17"/>
                <w:color w:val="auto"/>
              </w:rPr>
              <w:t>1,141,823</w:t>
            </w:r>
          </w:p>
        </w:tc>
        <w:tc>
          <w:tcPr>
            <w:tcW w:w="920" w:type="dxa"/>
            <w:vAlign w:val="bottom"/>
          </w:tcPr>
          <w:p>
            <w:pPr>
              <w:jc w:val="right"/>
              <w:ind w:right="35"/>
              <w:spacing w:after="0" w:line="182" w:lineRule="exact"/>
              <w:rPr>
                <w:sz w:val="20"/>
                <w:szCs w:val="20"/>
                <w:color w:val="auto"/>
              </w:rPr>
            </w:pPr>
            <w:r>
              <w:rPr>
                <w:rFonts w:ascii="Calibri" w:cs="Calibri" w:eastAsia="Calibri" w:hAnsi="Calibri"/>
                <w:sz w:val="17"/>
                <w:szCs w:val="17"/>
                <w:color w:val="auto"/>
              </w:rPr>
              <w:t>1,361,690</w:t>
            </w:r>
          </w:p>
        </w:tc>
        <w:tc>
          <w:tcPr>
            <w:tcW w:w="800" w:type="dxa"/>
            <w:vAlign w:val="bottom"/>
            <w:tcBorders>
              <w:right w:val="single" w:sz="8" w:color="auto"/>
            </w:tcBorders>
          </w:tcPr>
          <w:p>
            <w:pPr>
              <w:jc w:val="right"/>
              <w:spacing w:after="0" w:line="182" w:lineRule="exact"/>
              <w:rPr>
                <w:sz w:val="20"/>
                <w:szCs w:val="20"/>
                <w:color w:val="auto"/>
              </w:rPr>
            </w:pPr>
            <w:r>
              <w:rPr>
                <w:rFonts w:ascii="Calibri" w:cs="Calibri" w:eastAsia="Calibri" w:hAnsi="Calibri"/>
                <w:sz w:val="17"/>
                <w:szCs w:val="17"/>
                <w:color w:val="auto"/>
              </w:rPr>
              <w:t>1,262,520</w:t>
            </w:r>
          </w:p>
        </w:tc>
        <w:tc>
          <w:tcPr>
            <w:tcW w:w="880" w:type="dxa"/>
            <w:vAlign w:val="bottom"/>
          </w:tcPr>
          <w:p>
            <w:pPr>
              <w:jc w:val="center"/>
              <w:spacing w:after="0" w:line="182" w:lineRule="exact"/>
              <w:rPr>
                <w:sz w:val="20"/>
                <w:szCs w:val="20"/>
                <w:color w:val="auto"/>
              </w:rPr>
            </w:pPr>
            <w:r>
              <w:rPr>
                <w:rFonts w:ascii="Calibri" w:cs="Calibri" w:eastAsia="Calibri" w:hAnsi="Calibri"/>
                <w:sz w:val="17"/>
                <w:szCs w:val="17"/>
                <w:color w:val="auto"/>
              </w:rPr>
              <w:t>-7.3%</w:t>
            </w:r>
          </w:p>
        </w:tc>
        <w:tc>
          <w:tcPr>
            <w:tcW w:w="920" w:type="dxa"/>
            <w:vAlign w:val="bottom"/>
            <w:tcBorders>
              <w:right w:val="single" w:sz="8" w:color="auto"/>
            </w:tcBorders>
          </w:tcPr>
          <w:p>
            <w:pPr>
              <w:jc w:val="center"/>
              <w:spacing w:after="0" w:line="182" w:lineRule="exact"/>
              <w:rPr>
                <w:sz w:val="20"/>
                <w:szCs w:val="20"/>
                <w:color w:val="auto"/>
              </w:rPr>
            </w:pPr>
            <w:r>
              <w:rPr>
                <w:rFonts w:ascii="Calibri" w:cs="Calibri" w:eastAsia="Calibri" w:hAnsi="Calibri"/>
                <w:sz w:val="17"/>
                <w:szCs w:val="17"/>
                <w:color w:val="auto"/>
                <w:w w:val="99"/>
              </w:rPr>
              <w:t>10.6%</w:t>
            </w:r>
          </w:p>
        </w:tc>
        <w:tc>
          <w:tcPr>
            <w:tcW w:w="1100" w:type="dxa"/>
            <w:vAlign w:val="bottom"/>
          </w:tcPr>
          <w:p>
            <w:pPr>
              <w:jc w:val="right"/>
              <w:ind w:right="133"/>
              <w:spacing w:after="0" w:line="182" w:lineRule="exact"/>
              <w:rPr>
                <w:sz w:val="20"/>
                <w:szCs w:val="20"/>
                <w:color w:val="auto"/>
              </w:rPr>
            </w:pPr>
            <w:r>
              <w:rPr>
                <w:rFonts w:ascii="Calibri" w:cs="Calibri" w:eastAsia="Calibri" w:hAnsi="Calibri"/>
                <w:sz w:val="17"/>
                <w:szCs w:val="17"/>
                <w:color w:val="auto"/>
              </w:rPr>
              <w:t>2,248,892</w:t>
            </w:r>
          </w:p>
        </w:tc>
        <w:tc>
          <w:tcPr>
            <w:tcW w:w="700" w:type="dxa"/>
            <w:vAlign w:val="bottom"/>
            <w:tcBorders>
              <w:right w:val="single" w:sz="8" w:color="auto"/>
            </w:tcBorders>
          </w:tcPr>
          <w:p>
            <w:pPr>
              <w:jc w:val="right"/>
              <w:spacing w:after="0" w:line="182" w:lineRule="exact"/>
              <w:rPr>
                <w:sz w:val="20"/>
                <w:szCs w:val="20"/>
                <w:color w:val="auto"/>
              </w:rPr>
            </w:pPr>
            <w:r>
              <w:rPr>
                <w:rFonts w:ascii="Calibri" w:cs="Calibri" w:eastAsia="Calibri" w:hAnsi="Calibri"/>
                <w:sz w:val="17"/>
                <w:szCs w:val="17"/>
                <w:color w:val="auto"/>
                <w:w w:val="95"/>
              </w:rPr>
              <w:t>2,624,210</w:t>
            </w:r>
          </w:p>
        </w:tc>
        <w:tc>
          <w:tcPr>
            <w:tcW w:w="1460" w:type="dxa"/>
            <w:vAlign w:val="bottom"/>
            <w:tcBorders>
              <w:right w:val="single" w:sz="8" w:color="auto"/>
            </w:tcBorders>
          </w:tcPr>
          <w:p>
            <w:pPr>
              <w:jc w:val="center"/>
              <w:spacing w:after="0" w:line="182" w:lineRule="exact"/>
              <w:rPr>
                <w:sz w:val="20"/>
                <w:szCs w:val="20"/>
                <w:color w:val="auto"/>
              </w:rPr>
            </w:pPr>
            <w:r>
              <w:rPr>
                <w:rFonts w:ascii="Calibri" w:cs="Calibri" w:eastAsia="Calibri" w:hAnsi="Calibri"/>
                <w:sz w:val="17"/>
                <w:szCs w:val="17"/>
                <w:color w:val="auto"/>
                <w:w w:val="99"/>
              </w:rPr>
              <w:t>16.7%</w:t>
            </w:r>
          </w:p>
        </w:tc>
      </w:tr>
      <w:tr>
        <w:trPr>
          <w:trHeight w:val="206"/>
        </w:trPr>
        <w:tc>
          <w:tcPr>
            <w:tcW w:w="3520" w:type="dxa"/>
            <w:vAlign w:val="bottom"/>
            <w:tcBorders>
              <w:left w:val="single" w:sz="8" w:color="auto"/>
              <w:right w:val="single" w:sz="8" w:color="auto"/>
            </w:tcBorders>
          </w:tcPr>
          <w:p>
            <w:pPr>
              <w:ind w:left="20"/>
              <w:spacing w:after="0" w:line="206" w:lineRule="exact"/>
              <w:rPr>
                <w:sz w:val="20"/>
                <w:szCs w:val="20"/>
                <w:color w:val="auto"/>
              </w:rPr>
            </w:pPr>
            <w:r>
              <w:rPr>
                <w:rFonts w:ascii="Calibri" w:cs="Calibri" w:eastAsia="Calibri" w:hAnsi="Calibri"/>
                <w:sz w:val="17"/>
                <w:szCs w:val="17"/>
                <w:color w:val="auto"/>
              </w:rPr>
              <w:t>Administratve and general expenses</w:t>
            </w:r>
          </w:p>
        </w:tc>
        <w:tc>
          <w:tcPr>
            <w:tcW w:w="960" w:type="dxa"/>
            <w:vAlign w:val="bottom"/>
          </w:tcPr>
          <w:p>
            <w:pPr>
              <w:jc w:val="right"/>
              <w:spacing w:after="0" w:line="206" w:lineRule="exact"/>
              <w:rPr>
                <w:sz w:val="20"/>
                <w:szCs w:val="20"/>
                <w:color w:val="auto"/>
              </w:rPr>
            </w:pPr>
            <w:r>
              <w:rPr>
                <w:rFonts w:ascii="Calibri" w:cs="Calibri" w:eastAsia="Calibri" w:hAnsi="Calibri"/>
                <w:sz w:val="17"/>
                <w:szCs w:val="17"/>
                <w:color w:val="auto"/>
              </w:rPr>
              <w:t>947,558</w:t>
            </w:r>
          </w:p>
        </w:tc>
        <w:tc>
          <w:tcPr>
            <w:tcW w:w="920" w:type="dxa"/>
            <w:vAlign w:val="bottom"/>
          </w:tcPr>
          <w:p>
            <w:pPr>
              <w:jc w:val="right"/>
              <w:ind w:right="35"/>
              <w:spacing w:after="0" w:line="206" w:lineRule="exact"/>
              <w:rPr>
                <w:sz w:val="20"/>
                <w:szCs w:val="20"/>
                <w:color w:val="auto"/>
              </w:rPr>
            </w:pPr>
            <w:r>
              <w:rPr>
                <w:rFonts w:ascii="Calibri" w:cs="Calibri" w:eastAsia="Calibri" w:hAnsi="Calibri"/>
                <w:sz w:val="17"/>
                <w:szCs w:val="17"/>
                <w:color w:val="auto"/>
              </w:rPr>
              <w:t>869,834</w:t>
            </w:r>
          </w:p>
        </w:tc>
        <w:tc>
          <w:tcPr>
            <w:tcW w:w="800" w:type="dxa"/>
            <w:vAlign w:val="bottom"/>
            <w:tcBorders>
              <w:right w:val="single" w:sz="8" w:color="auto"/>
            </w:tcBorders>
          </w:tcPr>
          <w:p>
            <w:pPr>
              <w:jc w:val="right"/>
              <w:spacing w:after="0" w:line="206" w:lineRule="exact"/>
              <w:rPr>
                <w:sz w:val="20"/>
                <w:szCs w:val="20"/>
                <w:color w:val="auto"/>
              </w:rPr>
            </w:pPr>
            <w:r>
              <w:rPr>
                <w:rFonts w:ascii="Calibri" w:cs="Calibri" w:eastAsia="Calibri" w:hAnsi="Calibri"/>
                <w:sz w:val="17"/>
                <w:szCs w:val="17"/>
                <w:color w:val="auto"/>
              </w:rPr>
              <w:t>965,994</w:t>
            </w:r>
          </w:p>
        </w:tc>
        <w:tc>
          <w:tcPr>
            <w:tcW w:w="880" w:type="dxa"/>
            <w:vAlign w:val="bottom"/>
          </w:tcPr>
          <w:p>
            <w:pPr>
              <w:jc w:val="center"/>
              <w:spacing w:after="0" w:line="206" w:lineRule="exact"/>
              <w:rPr>
                <w:sz w:val="20"/>
                <w:szCs w:val="20"/>
                <w:color w:val="auto"/>
              </w:rPr>
            </w:pPr>
            <w:r>
              <w:rPr>
                <w:rFonts w:ascii="Calibri" w:cs="Calibri" w:eastAsia="Calibri" w:hAnsi="Calibri"/>
                <w:sz w:val="17"/>
                <w:szCs w:val="17"/>
                <w:color w:val="auto"/>
              </w:rPr>
              <w:t>11.1%</w:t>
            </w:r>
          </w:p>
        </w:tc>
        <w:tc>
          <w:tcPr>
            <w:tcW w:w="92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1.9%</w:t>
            </w:r>
          </w:p>
        </w:tc>
        <w:tc>
          <w:tcPr>
            <w:tcW w:w="1100" w:type="dxa"/>
            <w:vAlign w:val="bottom"/>
          </w:tcPr>
          <w:p>
            <w:pPr>
              <w:jc w:val="right"/>
              <w:ind w:right="133"/>
              <w:spacing w:after="0" w:line="206" w:lineRule="exact"/>
              <w:rPr>
                <w:sz w:val="20"/>
                <w:szCs w:val="20"/>
                <w:color w:val="auto"/>
              </w:rPr>
            </w:pPr>
            <w:r>
              <w:rPr>
                <w:rFonts w:ascii="Calibri" w:cs="Calibri" w:eastAsia="Calibri" w:hAnsi="Calibri"/>
                <w:sz w:val="17"/>
                <w:szCs w:val="17"/>
                <w:color w:val="auto"/>
              </w:rPr>
              <w:t>1,769,306</w:t>
            </w:r>
          </w:p>
        </w:tc>
        <w:tc>
          <w:tcPr>
            <w:tcW w:w="700" w:type="dxa"/>
            <w:vAlign w:val="bottom"/>
            <w:tcBorders>
              <w:right w:val="single" w:sz="8" w:color="auto"/>
            </w:tcBorders>
          </w:tcPr>
          <w:p>
            <w:pPr>
              <w:jc w:val="right"/>
              <w:spacing w:after="0" w:line="206" w:lineRule="exact"/>
              <w:rPr>
                <w:sz w:val="20"/>
                <w:szCs w:val="20"/>
                <w:color w:val="auto"/>
              </w:rPr>
            </w:pPr>
            <w:r>
              <w:rPr>
                <w:rFonts w:ascii="Calibri" w:cs="Calibri" w:eastAsia="Calibri" w:hAnsi="Calibri"/>
                <w:sz w:val="17"/>
                <w:szCs w:val="17"/>
                <w:color w:val="auto"/>
                <w:w w:val="95"/>
              </w:rPr>
              <w:t>1,835,828</w:t>
            </w:r>
          </w:p>
        </w:tc>
        <w:tc>
          <w:tcPr>
            <w:tcW w:w="146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3.8%</w:t>
            </w:r>
          </w:p>
        </w:tc>
      </w:tr>
      <w:tr>
        <w:trPr>
          <w:trHeight w:val="208"/>
        </w:trPr>
        <w:tc>
          <w:tcPr>
            <w:tcW w:w="3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Depreciaton and amortzaton</w:t>
            </w:r>
          </w:p>
        </w:tc>
        <w:tc>
          <w:tcPr>
            <w:tcW w:w="960" w:type="dxa"/>
            <w:vAlign w:val="bottom"/>
          </w:tcPr>
          <w:p>
            <w:pPr>
              <w:jc w:val="right"/>
              <w:spacing w:after="0"/>
              <w:rPr>
                <w:sz w:val="20"/>
                <w:szCs w:val="20"/>
                <w:color w:val="auto"/>
              </w:rPr>
            </w:pPr>
            <w:r>
              <w:rPr>
                <w:rFonts w:ascii="Calibri" w:cs="Calibri" w:eastAsia="Calibri" w:hAnsi="Calibri"/>
                <w:sz w:val="17"/>
                <w:szCs w:val="17"/>
                <w:color w:val="auto"/>
              </w:rPr>
              <w:t>172,204</w:t>
            </w:r>
          </w:p>
        </w:tc>
        <w:tc>
          <w:tcPr>
            <w:tcW w:w="920" w:type="dxa"/>
            <w:vAlign w:val="bottom"/>
          </w:tcPr>
          <w:p>
            <w:pPr>
              <w:jc w:val="right"/>
              <w:ind w:right="35"/>
              <w:spacing w:after="0"/>
              <w:rPr>
                <w:sz w:val="20"/>
                <w:szCs w:val="20"/>
                <w:color w:val="auto"/>
              </w:rPr>
            </w:pPr>
            <w:r>
              <w:rPr>
                <w:rFonts w:ascii="Calibri" w:cs="Calibri" w:eastAsia="Calibri" w:hAnsi="Calibri"/>
                <w:sz w:val="17"/>
                <w:szCs w:val="17"/>
                <w:color w:val="auto"/>
              </w:rPr>
              <w:t>203,766</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212,662</w:t>
            </w:r>
          </w:p>
        </w:tc>
        <w:tc>
          <w:tcPr>
            <w:tcW w:w="880" w:type="dxa"/>
            <w:vAlign w:val="bottom"/>
          </w:tcPr>
          <w:p>
            <w:pPr>
              <w:jc w:val="center"/>
              <w:spacing w:after="0"/>
              <w:rPr>
                <w:sz w:val="20"/>
                <w:szCs w:val="20"/>
                <w:color w:val="auto"/>
              </w:rPr>
            </w:pPr>
            <w:r>
              <w:rPr>
                <w:rFonts w:ascii="Calibri" w:cs="Calibri" w:eastAsia="Calibri" w:hAnsi="Calibri"/>
                <w:sz w:val="17"/>
                <w:szCs w:val="17"/>
                <w:color w:val="auto"/>
                <w:w w:val="94"/>
              </w:rPr>
              <w:t>4.4%</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23.5%</w:t>
            </w:r>
          </w:p>
        </w:tc>
        <w:tc>
          <w:tcPr>
            <w:tcW w:w="1100" w:type="dxa"/>
            <w:vAlign w:val="bottom"/>
          </w:tcPr>
          <w:p>
            <w:pPr>
              <w:jc w:val="right"/>
              <w:ind w:right="133"/>
              <w:spacing w:after="0"/>
              <w:rPr>
                <w:sz w:val="20"/>
                <w:szCs w:val="20"/>
                <w:color w:val="auto"/>
              </w:rPr>
            </w:pPr>
            <w:r>
              <w:rPr>
                <w:rFonts w:ascii="Calibri" w:cs="Calibri" w:eastAsia="Calibri" w:hAnsi="Calibri"/>
                <w:sz w:val="17"/>
                <w:szCs w:val="17"/>
                <w:color w:val="auto"/>
              </w:rPr>
              <w:t>347,350</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416,428</w:t>
            </w: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19.9%</w:t>
            </w:r>
          </w:p>
        </w:tc>
      </w:tr>
      <w:tr>
        <w:trPr>
          <w:trHeight w:val="231"/>
        </w:trPr>
        <w:tc>
          <w:tcPr>
            <w:tcW w:w="3520" w:type="dxa"/>
            <w:vAlign w:val="bottom"/>
            <w:tcBorders>
              <w:left w:val="single" w:sz="8" w:color="auto"/>
              <w:bottom w:val="single" w:sz="8" w:color="auto"/>
              <w:right w:val="single" w:sz="8" w:color="auto"/>
            </w:tcBorders>
          </w:tcPr>
          <w:p>
            <w:pPr>
              <w:ind w:left="20"/>
              <w:spacing w:after="0" w:line="231" w:lineRule="exact"/>
              <w:rPr>
                <w:sz w:val="20"/>
                <w:szCs w:val="20"/>
                <w:color w:val="auto"/>
              </w:rPr>
            </w:pPr>
            <w:r>
              <w:rPr>
                <w:rFonts w:ascii="Calibri" w:cs="Calibri" w:eastAsia="Calibri" w:hAnsi="Calibri"/>
                <w:sz w:val="16"/>
                <w:szCs w:val="16"/>
                <w:color w:val="auto"/>
              </w:rPr>
              <w:t xml:space="preserve">Associaton in partcipaton </w:t>
            </w:r>
            <w:r>
              <w:rPr>
                <w:rFonts w:ascii="Calibri" w:cs="Calibri" w:eastAsia="Calibri" w:hAnsi="Calibri"/>
                <w:sz w:val="25"/>
                <w:szCs w:val="25"/>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7"/>
                <w:szCs w:val="17"/>
                <w:color w:val="auto"/>
              </w:rPr>
              <w:t>9,200</w:t>
            </w:r>
          </w:p>
        </w:tc>
        <w:tc>
          <w:tcPr>
            <w:tcW w:w="920" w:type="dxa"/>
            <w:vAlign w:val="bottom"/>
            <w:tcBorders>
              <w:bottom w:val="single" w:sz="8" w:color="auto"/>
            </w:tcBorders>
          </w:tcPr>
          <w:p>
            <w:pPr>
              <w:jc w:val="right"/>
              <w:ind w:right="35"/>
              <w:spacing w:after="0"/>
              <w:rPr>
                <w:sz w:val="20"/>
                <w:szCs w:val="20"/>
                <w:color w:val="auto"/>
              </w:rPr>
            </w:pPr>
            <w:r>
              <w:rPr>
                <w:rFonts w:ascii="Calibri" w:cs="Calibri" w:eastAsia="Calibri" w:hAnsi="Calibri"/>
                <w:sz w:val="17"/>
                <w:szCs w:val="17"/>
                <w:color w:val="auto"/>
              </w:rPr>
              <w:t>6,799</w:t>
            </w:r>
          </w:p>
        </w:tc>
        <w:tc>
          <w:tcPr>
            <w:tcW w:w="8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7"/>
                <w:szCs w:val="17"/>
                <w:color w:val="auto"/>
              </w:rPr>
              <w:t>371</w:t>
            </w:r>
          </w:p>
        </w:tc>
        <w:tc>
          <w:tcPr>
            <w:tcW w:w="88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rPr>
              <w:t>-94.5%</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w w:val="96"/>
              </w:rPr>
              <w:t>-96.0%</w:t>
            </w:r>
          </w:p>
        </w:tc>
        <w:tc>
          <w:tcPr>
            <w:tcW w:w="1100" w:type="dxa"/>
            <w:vAlign w:val="bottom"/>
            <w:tcBorders>
              <w:bottom w:val="single" w:sz="8" w:color="auto"/>
            </w:tcBorders>
          </w:tcPr>
          <w:p>
            <w:pPr>
              <w:jc w:val="right"/>
              <w:ind w:right="133"/>
              <w:spacing w:after="0"/>
              <w:rPr>
                <w:sz w:val="20"/>
                <w:szCs w:val="20"/>
                <w:color w:val="auto"/>
              </w:rPr>
            </w:pPr>
            <w:r>
              <w:rPr>
                <w:rFonts w:ascii="Calibri" w:cs="Calibri" w:eastAsia="Calibri" w:hAnsi="Calibri"/>
                <w:sz w:val="17"/>
                <w:szCs w:val="17"/>
                <w:color w:val="auto"/>
              </w:rPr>
              <w:t>18,047</w:t>
            </w:r>
          </w:p>
        </w:tc>
        <w:tc>
          <w:tcPr>
            <w:tcW w:w="7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7"/>
                <w:szCs w:val="17"/>
                <w:color w:val="auto"/>
              </w:rPr>
              <w:t>7,170</w:t>
            </w:r>
          </w:p>
        </w:tc>
        <w:tc>
          <w:tcPr>
            <w:tcW w:w="14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rPr>
              <w:t>-60.3%</w:t>
            </w:r>
          </w:p>
        </w:tc>
      </w:tr>
      <w:tr>
        <w:trPr>
          <w:trHeight w:val="200"/>
        </w:trPr>
        <w:tc>
          <w:tcPr>
            <w:tcW w:w="3520" w:type="dxa"/>
            <w:vAlign w:val="bottom"/>
            <w:tcBorders>
              <w:left w:val="single" w:sz="8" w:color="auto"/>
              <w:bottom w:val="single" w:sz="8" w:color="auto"/>
              <w:right w:val="single" w:sz="8" w:color="auto"/>
            </w:tcBorders>
          </w:tcPr>
          <w:p>
            <w:pPr>
              <w:ind w:left="20"/>
              <w:spacing w:after="0" w:line="200" w:lineRule="exact"/>
              <w:rPr>
                <w:sz w:val="20"/>
                <w:szCs w:val="20"/>
                <w:color w:val="auto"/>
              </w:rPr>
            </w:pPr>
            <w:r>
              <w:rPr>
                <w:rFonts w:ascii="Calibri" w:cs="Calibri" w:eastAsia="Calibri" w:hAnsi="Calibri"/>
                <w:sz w:val="17"/>
                <w:szCs w:val="17"/>
                <w:b w:val="1"/>
                <w:bCs w:val="1"/>
                <w:color w:val="auto"/>
              </w:rPr>
              <w:t>Operatng expenses</w:t>
            </w:r>
          </w:p>
        </w:tc>
        <w:tc>
          <w:tcPr>
            <w:tcW w:w="960" w:type="dxa"/>
            <w:vAlign w:val="bottom"/>
            <w:tcBorders>
              <w:bottom w:val="single" w:sz="8" w:color="auto"/>
            </w:tcBorders>
          </w:tcPr>
          <w:p>
            <w:pPr>
              <w:jc w:val="right"/>
              <w:spacing w:after="0" w:line="200" w:lineRule="exact"/>
              <w:rPr>
                <w:sz w:val="20"/>
                <w:szCs w:val="20"/>
                <w:color w:val="auto"/>
              </w:rPr>
            </w:pPr>
            <w:r>
              <w:rPr>
                <w:rFonts w:ascii="Calibri" w:cs="Calibri" w:eastAsia="Calibri" w:hAnsi="Calibri"/>
                <w:sz w:val="17"/>
                <w:szCs w:val="17"/>
                <w:b w:val="1"/>
                <w:bCs w:val="1"/>
                <w:color w:val="auto"/>
              </w:rPr>
              <w:t>2,270,785</w:t>
            </w:r>
          </w:p>
        </w:tc>
        <w:tc>
          <w:tcPr>
            <w:tcW w:w="920" w:type="dxa"/>
            <w:vAlign w:val="bottom"/>
            <w:tcBorders>
              <w:bottom w:val="single" w:sz="8" w:color="auto"/>
            </w:tcBorders>
          </w:tcPr>
          <w:p>
            <w:pPr>
              <w:jc w:val="right"/>
              <w:ind w:right="35"/>
              <w:spacing w:after="0" w:line="200" w:lineRule="exact"/>
              <w:rPr>
                <w:sz w:val="20"/>
                <w:szCs w:val="20"/>
                <w:color w:val="auto"/>
              </w:rPr>
            </w:pPr>
            <w:r>
              <w:rPr>
                <w:rFonts w:ascii="Calibri" w:cs="Calibri" w:eastAsia="Calibri" w:hAnsi="Calibri"/>
                <w:sz w:val="17"/>
                <w:szCs w:val="17"/>
                <w:b w:val="1"/>
                <w:bCs w:val="1"/>
                <w:color w:val="auto"/>
              </w:rPr>
              <w:t>2,442,089</w:t>
            </w:r>
          </w:p>
        </w:tc>
        <w:tc>
          <w:tcPr>
            <w:tcW w:w="800" w:type="dxa"/>
            <w:vAlign w:val="bottom"/>
            <w:tcBorders>
              <w:bottom w:val="single" w:sz="8" w:color="auto"/>
              <w:right w:val="single" w:sz="8" w:color="auto"/>
            </w:tcBorders>
          </w:tcPr>
          <w:p>
            <w:pPr>
              <w:jc w:val="right"/>
              <w:spacing w:after="0" w:line="200" w:lineRule="exact"/>
              <w:rPr>
                <w:sz w:val="20"/>
                <w:szCs w:val="20"/>
                <w:color w:val="auto"/>
              </w:rPr>
            </w:pPr>
            <w:r>
              <w:rPr>
                <w:rFonts w:ascii="Calibri" w:cs="Calibri" w:eastAsia="Calibri" w:hAnsi="Calibri"/>
                <w:sz w:val="17"/>
                <w:szCs w:val="17"/>
                <w:b w:val="1"/>
                <w:bCs w:val="1"/>
                <w:color w:val="auto"/>
              </w:rPr>
              <w:t>2,441,547</w:t>
            </w:r>
          </w:p>
        </w:tc>
        <w:tc>
          <w:tcPr>
            <w:tcW w:w="88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0.0%</w:t>
            </w:r>
          </w:p>
        </w:tc>
        <w:tc>
          <w:tcPr>
            <w:tcW w:w="92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7.5%</w:t>
            </w:r>
          </w:p>
        </w:tc>
        <w:tc>
          <w:tcPr>
            <w:tcW w:w="1100" w:type="dxa"/>
            <w:vAlign w:val="bottom"/>
            <w:tcBorders>
              <w:bottom w:val="single" w:sz="8" w:color="auto"/>
            </w:tcBorders>
          </w:tcPr>
          <w:p>
            <w:pPr>
              <w:jc w:val="right"/>
              <w:ind w:right="133"/>
              <w:spacing w:after="0" w:line="200" w:lineRule="exact"/>
              <w:rPr>
                <w:sz w:val="20"/>
                <w:szCs w:val="20"/>
                <w:color w:val="auto"/>
              </w:rPr>
            </w:pPr>
            <w:r>
              <w:rPr>
                <w:rFonts w:ascii="Calibri" w:cs="Calibri" w:eastAsia="Calibri" w:hAnsi="Calibri"/>
                <w:sz w:val="17"/>
                <w:szCs w:val="17"/>
                <w:b w:val="1"/>
                <w:bCs w:val="1"/>
                <w:color w:val="auto"/>
              </w:rPr>
              <w:t>4,383,595</w:t>
            </w:r>
          </w:p>
        </w:tc>
        <w:tc>
          <w:tcPr>
            <w:tcW w:w="700" w:type="dxa"/>
            <w:vAlign w:val="bottom"/>
            <w:tcBorders>
              <w:bottom w:val="single" w:sz="8" w:color="auto"/>
              <w:right w:val="single" w:sz="8" w:color="auto"/>
            </w:tcBorders>
          </w:tcPr>
          <w:p>
            <w:pPr>
              <w:jc w:val="right"/>
              <w:spacing w:after="0" w:line="200" w:lineRule="exact"/>
              <w:rPr>
                <w:sz w:val="20"/>
                <w:szCs w:val="20"/>
                <w:color w:val="auto"/>
              </w:rPr>
            </w:pPr>
            <w:r>
              <w:rPr>
                <w:rFonts w:ascii="Calibri" w:cs="Calibri" w:eastAsia="Calibri" w:hAnsi="Calibri"/>
                <w:sz w:val="17"/>
                <w:szCs w:val="17"/>
                <w:b w:val="1"/>
                <w:bCs w:val="1"/>
                <w:color w:val="auto"/>
                <w:w w:val="95"/>
              </w:rPr>
              <w:t>4,883,636</w:t>
            </w:r>
          </w:p>
        </w:tc>
        <w:tc>
          <w:tcPr>
            <w:tcW w:w="146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11.4%</w:t>
            </w:r>
          </w:p>
        </w:tc>
      </w:tr>
    </w:tbl>
    <w:p>
      <w:pPr>
        <w:spacing w:after="0" w:line="173" w:lineRule="exact"/>
        <w:rPr>
          <w:sz w:val="20"/>
          <w:szCs w:val="20"/>
          <w:color w:val="auto"/>
        </w:rPr>
      </w:pPr>
    </w:p>
    <w:p>
      <w:pPr>
        <w:spacing w:after="0"/>
        <w:rPr>
          <w:sz w:val="20"/>
          <w:szCs w:val="20"/>
          <w:color w:val="auto"/>
        </w:rPr>
      </w:pPr>
      <w:r>
        <w:rPr>
          <w:rFonts w:ascii="Calibri" w:cs="Calibri" w:eastAsia="Calibri" w:hAnsi="Calibri"/>
          <w:sz w:val="17"/>
          <w:szCs w:val="17"/>
          <w:color w:val="auto"/>
        </w:rPr>
        <w:t>The analysis of expenses that follows is based on YTD movements to eliminate the efects of seasonality between quarters.</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color w:val="auto"/>
        </w:rPr>
        <w:t>Operatng Expenses rose 11.4% YTD due to:</w:t>
      </w:r>
    </w:p>
    <w:p>
      <w:pPr>
        <w:spacing w:after="0" w:line="210" w:lineRule="exact"/>
        <w:rPr>
          <w:sz w:val="20"/>
          <w:szCs w:val="20"/>
          <w:color w:val="auto"/>
        </w:rPr>
      </w:pPr>
    </w:p>
    <w:p>
      <w:pPr>
        <w:ind w:left="460" w:hanging="313"/>
        <w:spacing w:after="0" w:line="239" w:lineRule="auto"/>
        <w:tabs>
          <w:tab w:leader="none" w:pos="460" w:val="left"/>
        </w:tabs>
        <w:numPr>
          <w:ilvl w:val="0"/>
          <w:numId w:val="48"/>
        </w:numPr>
        <w:rPr>
          <w:rFonts w:ascii="Calibri" w:cs="Calibri" w:eastAsia="Calibri" w:hAnsi="Calibri"/>
          <w:sz w:val="17"/>
          <w:szCs w:val="17"/>
          <w:color w:val="auto"/>
        </w:rPr>
      </w:pPr>
      <w:r>
        <w:rPr>
          <w:rFonts w:ascii="Calibri" w:cs="Calibri" w:eastAsia="Calibri" w:hAnsi="Calibri"/>
          <w:sz w:val="17"/>
          <w:szCs w:val="17"/>
          <w:color w:val="auto"/>
        </w:rPr>
        <w:t>Growth in Salaries and Employee Benefts, which was driven mainly by (i) BCP Stand-alone, fueled primarily by growth in expenses for provisions for variable compensaton and secondarily by an uptck in hiring for new projects, and (ii) Mibanco and Pacifco, which reported growth in compensaton.</w:t>
      </w:r>
    </w:p>
    <w:p>
      <w:pPr>
        <w:spacing w:after="0" w:line="2" w:lineRule="exact"/>
        <w:rPr>
          <w:rFonts w:ascii="Calibri" w:cs="Calibri" w:eastAsia="Calibri" w:hAnsi="Calibri"/>
          <w:sz w:val="17"/>
          <w:szCs w:val="17"/>
          <w:color w:val="auto"/>
        </w:rPr>
      </w:pPr>
    </w:p>
    <w:p>
      <w:pPr>
        <w:jc w:val="both"/>
        <w:ind w:left="460" w:hanging="313"/>
        <w:spacing w:after="0"/>
        <w:tabs>
          <w:tab w:leader="none" w:pos="460" w:val="left"/>
        </w:tabs>
        <w:numPr>
          <w:ilvl w:val="0"/>
          <w:numId w:val="48"/>
        </w:numPr>
        <w:rPr>
          <w:rFonts w:ascii="Calibri" w:cs="Calibri" w:eastAsia="Calibri" w:hAnsi="Calibri"/>
          <w:sz w:val="17"/>
          <w:szCs w:val="17"/>
          <w:color w:val="auto"/>
        </w:rPr>
      </w:pPr>
      <w:r>
        <w:rPr>
          <w:rFonts w:ascii="Calibri" w:cs="Calibri" w:eastAsia="Calibri" w:hAnsi="Calibri"/>
          <w:sz w:val="17"/>
          <w:szCs w:val="17"/>
          <w:color w:val="auto"/>
        </w:rPr>
        <w:t>An increase in Administratve and General Expenses, which was driven by Pacífco and BCP Stand-alone. At Pacifco, growth was mainly spurred by a change in the consolidaton perimeter following Credicorp’s acquisiton of the 50% share held by Empresas Banmédica in the joint venture with Pacifco Compañía de Seguros y Reaseguros S.A., efectve March 2025. At BCP Stand-alone, the volume of transactons through digital channels rose, which led to higher expenses for cloud use and other IT-related actvites.</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Administratve and General Expenses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35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Administratve and General Expenses</w:t>
            </w:r>
          </w:p>
        </w:tc>
        <w:tc>
          <w:tcPr>
            <w:tcW w:w="880" w:type="dxa"/>
            <w:vAlign w:val="bottom"/>
            <w:tcBorders>
              <w:top w:val="single" w:sz="8" w:color="auto"/>
            </w:tcBorders>
            <w:shd w:val="clear" w:color="auto" w:fill="33CCCC"/>
          </w:tcPr>
          <w:p>
            <w:pPr>
              <w:spacing w:after="0"/>
              <w:rPr>
                <w:sz w:val="15"/>
                <w:szCs w:val="15"/>
                <w:color w:val="auto"/>
              </w:rPr>
            </w:pPr>
          </w:p>
        </w:tc>
        <w:tc>
          <w:tcPr>
            <w:tcW w:w="880" w:type="dxa"/>
            <w:vAlign w:val="bottom"/>
            <w:tcBorders>
              <w:top w:val="single" w:sz="8" w:color="auto"/>
            </w:tcBorders>
            <w:shd w:val="clear" w:color="auto" w:fill="33CCCC"/>
          </w:tcPr>
          <w:p>
            <w:pPr>
              <w:ind w:left="220"/>
              <w:spacing w:after="0"/>
              <w:rPr>
                <w:sz w:val="20"/>
                <w:szCs w:val="20"/>
                <w:color w:val="auto"/>
              </w:rPr>
            </w:pPr>
            <w:r>
              <w:rPr>
                <w:rFonts w:ascii="Calibri" w:cs="Calibri" w:eastAsia="Calibri" w:hAnsi="Calibri"/>
                <w:sz w:val="14"/>
                <w:szCs w:val="14"/>
                <w:b w:val="1"/>
                <w:bCs w:val="1"/>
                <w:color w:val="FFFFFF"/>
              </w:rPr>
              <w:t>Quarter</w:t>
            </w:r>
          </w:p>
        </w:tc>
        <w:tc>
          <w:tcPr>
            <w:tcW w:w="920" w:type="dxa"/>
            <w:vAlign w:val="bottom"/>
            <w:tcBorders>
              <w:top w:val="single" w:sz="8" w:color="auto"/>
              <w:right w:val="single" w:sz="8" w:color="auto"/>
            </w:tcBorders>
            <w:shd w:val="clear" w:color="auto" w:fill="33CCCC"/>
          </w:tcPr>
          <w:p>
            <w:pPr>
              <w:spacing w:after="0"/>
              <w:rPr>
                <w:sz w:val="15"/>
                <w:szCs w:val="15"/>
                <w:color w:val="auto"/>
              </w:rPr>
            </w:pPr>
          </w:p>
        </w:tc>
        <w:tc>
          <w:tcPr>
            <w:tcW w:w="620" w:type="dxa"/>
            <w:vAlign w:val="bottom"/>
            <w:tcBorders>
              <w:top w:val="single" w:sz="8" w:color="auto"/>
            </w:tcBorders>
            <w:shd w:val="clear" w:color="auto" w:fill="33CCCC"/>
          </w:tcPr>
          <w:p>
            <w:pPr>
              <w:spacing w:after="0"/>
              <w:rPr>
                <w:sz w:val="15"/>
                <w:szCs w:val="15"/>
                <w:color w:val="auto"/>
              </w:rPr>
            </w:pPr>
          </w:p>
        </w:tc>
        <w:tc>
          <w:tcPr>
            <w:tcW w:w="1180" w:type="dxa"/>
            <w:vAlign w:val="bottom"/>
            <w:tcBorders>
              <w:top w:val="single" w:sz="8" w:color="auto"/>
              <w:right w:val="single" w:sz="8" w:color="auto"/>
            </w:tcBorders>
            <w:shd w:val="clear" w:color="auto" w:fill="33CCCC"/>
          </w:tcPr>
          <w:p>
            <w:pPr>
              <w:spacing w:after="0"/>
              <w:rPr>
                <w:sz w:val="20"/>
                <w:szCs w:val="20"/>
                <w:color w:val="auto"/>
              </w:rPr>
            </w:pPr>
            <w:r>
              <w:rPr>
                <w:rFonts w:ascii="Calibri" w:cs="Calibri" w:eastAsia="Calibri" w:hAnsi="Calibri"/>
                <w:sz w:val="14"/>
                <w:szCs w:val="14"/>
                <w:b w:val="1"/>
                <w:bCs w:val="1"/>
                <w:color w:val="FFFFFF"/>
              </w:rPr>
              <w:t>% change</w:t>
            </w:r>
          </w:p>
        </w:tc>
        <w:tc>
          <w:tcPr>
            <w:tcW w:w="1040" w:type="dxa"/>
            <w:vAlign w:val="bottom"/>
            <w:tcBorders>
              <w:top w:val="single" w:sz="8" w:color="auto"/>
            </w:tcBorders>
            <w:shd w:val="clear" w:color="auto" w:fill="33CCCC"/>
          </w:tcPr>
          <w:p>
            <w:pPr>
              <w:jc w:val="right"/>
              <w:spacing w:after="0"/>
              <w:rPr>
                <w:sz w:val="20"/>
                <w:szCs w:val="20"/>
                <w:color w:val="auto"/>
              </w:rPr>
            </w:pPr>
            <w:r>
              <w:rPr>
                <w:rFonts w:ascii="Calibri" w:cs="Calibri" w:eastAsia="Calibri" w:hAnsi="Calibri"/>
                <w:sz w:val="14"/>
                <w:szCs w:val="14"/>
                <w:b w:val="1"/>
                <w:bCs w:val="1"/>
                <w:color w:val="FFFFFF"/>
              </w:rPr>
              <w:t>Up to</w:t>
            </w:r>
          </w:p>
        </w:tc>
        <w:tc>
          <w:tcPr>
            <w:tcW w:w="760" w:type="dxa"/>
            <w:vAlign w:val="bottom"/>
            <w:tcBorders>
              <w:top w:val="single" w:sz="8" w:color="auto"/>
              <w:right w:val="single" w:sz="8" w:color="auto"/>
            </w:tcBorders>
            <w:shd w:val="clear" w:color="auto" w:fill="33CCCC"/>
          </w:tcPr>
          <w:p>
            <w:pPr>
              <w:spacing w:after="0"/>
              <w:rPr>
                <w:sz w:val="15"/>
                <w:szCs w:val="15"/>
                <w:color w:val="auto"/>
              </w:rPr>
            </w:pPr>
          </w:p>
        </w:tc>
        <w:tc>
          <w:tcPr>
            <w:tcW w:w="1460" w:type="dxa"/>
            <w:vAlign w:val="bottom"/>
            <w:tcBorders>
              <w:top w:val="single" w:sz="8" w:color="auto"/>
              <w:right w:val="single" w:sz="8" w:color="auto"/>
            </w:tcBorders>
            <w:shd w:val="clear" w:color="auto" w:fill="33CCCC"/>
          </w:tcPr>
          <w:p>
            <w:pPr>
              <w:ind w:left="440"/>
              <w:spacing w:after="0"/>
              <w:rPr>
                <w:sz w:val="20"/>
                <w:szCs w:val="20"/>
                <w:color w:val="auto"/>
              </w:rPr>
            </w:pPr>
            <w:r>
              <w:rPr>
                <w:rFonts w:ascii="Calibri" w:cs="Calibri" w:eastAsia="Calibri" w:hAnsi="Calibri"/>
                <w:sz w:val="14"/>
                <w:szCs w:val="14"/>
                <w:b w:val="1"/>
                <w:bCs w:val="1"/>
                <w:color w:val="FFFFFF"/>
              </w:rPr>
              <w:t>% change</w:t>
            </w:r>
          </w:p>
        </w:tc>
      </w:tr>
      <w:tr>
        <w:trPr>
          <w:trHeight w:val="169"/>
        </w:trPr>
        <w:tc>
          <w:tcPr>
            <w:tcW w:w="3520" w:type="dxa"/>
            <w:vAlign w:val="bottom"/>
            <w:tcBorders>
              <w:left w:val="single" w:sz="8" w:color="auto"/>
              <w:bottom w:val="single" w:sz="8" w:color="auto"/>
              <w:right w:val="single" w:sz="8" w:color="auto"/>
            </w:tcBorders>
            <w:shd w:val="clear" w:color="auto" w:fill="33CCCC"/>
          </w:tcPr>
          <w:p>
            <w:pPr>
              <w:ind w:left="20"/>
              <w:spacing w:after="0" w:line="166" w:lineRule="exact"/>
              <w:rPr>
                <w:sz w:val="20"/>
                <w:szCs w:val="20"/>
                <w:color w:val="auto"/>
              </w:rPr>
            </w:pPr>
            <w:r>
              <w:rPr>
                <w:rFonts w:ascii="Calibri" w:cs="Calibri" w:eastAsia="Calibri" w:hAnsi="Calibri"/>
                <w:sz w:val="14"/>
                <w:szCs w:val="14"/>
                <w:b w:val="1"/>
                <w:bCs w:val="1"/>
                <w:color w:val="FFFFFF"/>
              </w:rPr>
              <w:t>S/000</w:t>
            </w:r>
          </w:p>
        </w:tc>
        <w:tc>
          <w:tcPr>
            <w:tcW w:w="880" w:type="dxa"/>
            <w:vAlign w:val="bottom"/>
            <w:tcBorders>
              <w:bottom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w w:val="96"/>
              </w:rPr>
              <w:t>2Q24</w:t>
            </w:r>
          </w:p>
        </w:tc>
        <w:tc>
          <w:tcPr>
            <w:tcW w:w="880" w:type="dxa"/>
            <w:vAlign w:val="bottom"/>
            <w:tcBorders>
              <w:bottom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rPr>
              <w:t>1Q25</w:t>
            </w:r>
          </w:p>
        </w:tc>
        <w:tc>
          <w:tcPr>
            <w:tcW w:w="920" w:type="dxa"/>
            <w:vAlign w:val="bottom"/>
            <w:tcBorders>
              <w:bottom w:val="single" w:sz="8" w:color="auto"/>
              <w:right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w w:val="96"/>
              </w:rPr>
              <w:t>2Q25</w:t>
            </w:r>
          </w:p>
        </w:tc>
        <w:tc>
          <w:tcPr>
            <w:tcW w:w="620" w:type="dxa"/>
            <w:vAlign w:val="bottom"/>
            <w:tcBorders>
              <w:bottom w:val="single" w:sz="8" w:color="auto"/>
            </w:tcBorders>
            <w:shd w:val="clear" w:color="auto" w:fill="33CCCC"/>
          </w:tcPr>
          <w:p>
            <w:pPr>
              <w:ind w:left="300"/>
              <w:spacing w:after="0" w:line="166" w:lineRule="exact"/>
              <w:rPr>
                <w:sz w:val="20"/>
                <w:szCs w:val="20"/>
                <w:color w:val="auto"/>
              </w:rPr>
            </w:pPr>
            <w:r>
              <w:rPr>
                <w:rFonts w:ascii="Calibri" w:cs="Calibri" w:eastAsia="Calibri" w:hAnsi="Calibri"/>
                <w:sz w:val="14"/>
                <w:szCs w:val="14"/>
                <w:b w:val="1"/>
                <w:bCs w:val="1"/>
                <w:color w:val="FFFFFF"/>
              </w:rPr>
              <w:t>QoQ</w:t>
            </w:r>
          </w:p>
        </w:tc>
        <w:tc>
          <w:tcPr>
            <w:tcW w:w="1180" w:type="dxa"/>
            <w:vAlign w:val="bottom"/>
            <w:tcBorders>
              <w:bottom w:val="single" w:sz="8" w:color="auto"/>
              <w:right w:val="single" w:sz="8" w:color="auto"/>
            </w:tcBorders>
            <w:shd w:val="clear" w:color="auto" w:fill="33CCCC"/>
          </w:tcPr>
          <w:p>
            <w:pPr>
              <w:ind w:left="600"/>
              <w:spacing w:after="0" w:line="166" w:lineRule="exact"/>
              <w:rPr>
                <w:sz w:val="20"/>
                <w:szCs w:val="20"/>
                <w:color w:val="auto"/>
              </w:rPr>
            </w:pPr>
            <w:r>
              <w:rPr>
                <w:rFonts w:ascii="Calibri" w:cs="Calibri" w:eastAsia="Calibri" w:hAnsi="Calibri"/>
                <w:sz w:val="14"/>
                <w:szCs w:val="14"/>
                <w:b w:val="1"/>
                <w:bCs w:val="1"/>
                <w:color w:val="FFFFFF"/>
              </w:rPr>
              <w:t>YoY</w:t>
            </w:r>
          </w:p>
        </w:tc>
        <w:tc>
          <w:tcPr>
            <w:tcW w:w="1040" w:type="dxa"/>
            <w:vAlign w:val="bottom"/>
            <w:tcBorders>
              <w:bottom w:val="single" w:sz="8" w:color="auto"/>
            </w:tcBorders>
            <w:shd w:val="clear" w:color="auto" w:fill="33CCCC"/>
          </w:tcPr>
          <w:p>
            <w:pPr>
              <w:jc w:val="center"/>
              <w:ind w:right="111"/>
              <w:spacing w:after="0" w:line="166" w:lineRule="exact"/>
              <w:rPr>
                <w:sz w:val="20"/>
                <w:szCs w:val="20"/>
                <w:color w:val="auto"/>
              </w:rPr>
            </w:pPr>
            <w:r>
              <w:rPr>
                <w:rFonts w:ascii="Calibri" w:cs="Calibri" w:eastAsia="Calibri" w:hAnsi="Calibri"/>
                <w:sz w:val="14"/>
                <w:szCs w:val="14"/>
                <w:b w:val="1"/>
                <w:bCs w:val="1"/>
                <w:color w:val="FFFFFF"/>
                <w:w w:val="99"/>
              </w:rPr>
              <w:t>1H24</w:t>
            </w:r>
          </w:p>
        </w:tc>
        <w:tc>
          <w:tcPr>
            <w:tcW w:w="760" w:type="dxa"/>
            <w:vAlign w:val="bottom"/>
            <w:tcBorders>
              <w:bottom w:val="single" w:sz="8" w:color="auto"/>
              <w:right w:val="single" w:sz="8" w:color="auto"/>
            </w:tcBorders>
            <w:shd w:val="clear" w:color="auto" w:fill="33CCCC"/>
          </w:tcPr>
          <w:p>
            <w:pPr>
              <w:jc w:val="center"/>
              <w:ind w:right="111"/>
              <w:spacing w:after="0" w:line="166" w:lineRule="exact"/>
              <w:rPr>
                <w:sz w:val="20"/>
                <w:szCs w:val="20"/>
                <w:color w:val="auto"/>
              </w:rPr>
            </w:pPr>
            <w:r>
              <w:rPr>
                <w:rFonts w:ascii="Calibri" w:cs="Calibri" w:eastAsia="Calibri" w:hAnsi="Calibri"/>
                <w:sz w:val="14"/>
                <w:szCs w:val="14"/>
                <w:b w:val="1"/>
                <w:bCs w:val="1"/>
                <w:color w:val="FFFFFF"/>
                <w:w w:val="99"/>
              </w:rPr>
              <w:t>1H25</w:t>
            </w:r>
          </w:p>
        </w:tc>
        <w:tc>
          <w:tcPr>
            <w:tcW w:w="1460" w:type="dxa"/>
            <w:vAlign w:val="bottom"/>
            <w:tcBorders>
              <w:bottom w:val="single" w:sz="8" w:color="auto"/>
              <w:right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w w:val="99"/>
              </w:rPr>
              <w:t>1H25 / 1H24</w:t>
            </w:r>
          </w:p>
        </w:tc>
      </w:tr>
      <w:tr>
        <w:trPr>
          <w:trHeight w:val="150"/>
        </w:trPr>
        <w:tc>
          <w:tcPr>
            <w:tcW w:w="3520" w:type="dxa"/>
            <w:vAlign w:val="bottom"/>
            <w:tcBorders>
              <w:left w:val="single" w:sz="8" w:color="auto"/>
              <w:right w:val="single" w:sz="8" w:color="auto"/>
            </w:tcBorders>
          </w:tcPr>
          <w:p>
            <w:pPr>
              <w:ind w:left="20"/>
              <w:spacing w:after="0" w:line="151" w:lineRule="exact"/>
              <w:rPr>
                <w:sz w:val="20"/>
                <w:szCs w:val="20"/>
                <w:color w:val="auto"/>
              </w:rPr>
            </w:pPr>
            <w:r>
              <w:rPr>
                <w:rFonts w:ascii="Calibri" w:cs="Calibri" w:eastAsia="Calibri" w:hAnsi="Calibri"/>
                <w:sz w:val="14"/>
                <w:szCs w:val="14"/>
                <w:color w:val="auto"/>
              </w:rPr>
              <w:t>IT expenses and IT third-party services</w:t>
            </w:r>
          </w:p>
        </w:tc>
        <w:tc>
          <w:tcPr>
            <w:tcW w:w="880" w:type="dxa"/>
            <w:vAlign w:val="bottom"/>
          </w:tcPr>
          <w:p>
            <w:pPr>
              <w:jc w:val="center"/>
              <w:spacing w:after="0" w:line="151" w:lineRule="exact"/>
              <w:rPr>
                <w:sz w:val="20"/>
                <w:szCs w:val="20"/>
                <w:color w:val="auto"/>
              </w:rPr>
            </w:pPr>
            <w:r>
              <w:rPr>
                <w:rFonts w:ascii="Calibri" w:cs="Calibri" w:eastAsia="Calibri" w:hAnsi="Calibri"/>
                <w:sz w:val="14"/>
                <w:szCs w:val="14"/>
                <w:color w:val="auto"/>
                <w:w w:val="99"/>
              </w:rPr>
              <w:t>294,997</w:t>
            </w:r>
          </w:p>
        </w:tc>
        <w:tc>
          <w:tcPr>
            <w:tcW w:w="880" w:type="dxa"/>
            <w:vAlign w:val="bottom"/>
          </w:tcPr>
          <w:p>
            <w:pPr>
              <w:jc w:val="center"/>
              <w:spacing w:after="0" w:line="151" w:lineRule="exact"/>
              <w:rPr>
                <w:sz w:val="20"/>
                <w:szCs w:val="20"/>
                <w:color w:val="auto"/>
              </w:rPr>
            </w:pPr>
            <w:r>
              <w:rPr>
                <w:rFonts w:ascii="Calibri" w:cs="Calibri" w:eastAsia="Calibri" w:hAnsi="Calibri"/>
                <w:sz w:val="14"/>
                <w:szCs w:val="14"/>
                <w:color w:val="auto"/>
                <w:w w:val="99"/>
              </w:rPr>
              <w:t>302,029</w:t>
            </w:r>
          </w:p>
        </w:tc>
        <w:tc>
          <w:tcPr>
            <w:tcW w:w="92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w w:val="99"/>
              </w:rPr>
              <w:t>324,083</w:t>
            </w:r>
          </w:p>
        </w:tc>
        <w:tc>
          <w:tcPr>
            <w:tcW w:w="620" w:type="dxa"/>
            <w:vAlign w:val="bottom"/>
          </w:tcPr>
          <w:p>
            <w:pPr>
              <w:jc w:val="center"/>
              <w:ind w:left="191"/>
              <w:spacing w:after="0" w:line="151" w:lineRule="exact"/>
              <w:rPr>
                <w:sz w:val="20"/>
                <w:szCs w:val="20"/>
                <w:color w:val="auto"/>
              </w:rPr>
            </w:pPr>
            <w:r>
              <w:rPr>
                <w:rFonts w:ascii="Calibri" w:cs="Calibri" w:eastAsia="Calibri" w:hAnsi="Calibri"/>
                <w:sz w:val="14"/>
                <w:szCs w:val="14"/>
                <w:color w:val="auto"/>
              </w:rPr>
              <w:t>7.3%</w:t>
            </w:r>
          </w:p>
        </w:tc>
        <w:tc>
          <w:tcPr>
            <w:tcW w:w="1180" w:type="dxa"/>
            <w:vAlign w:val="bottom"/>
            <w:tcBorders>
              <w:right w:val="single" w:sz="8" w:color="auto"/>
            </w:tcBorders>
          </w:tcPr>
          <w:p>
            <w:pPr>
              <w:jc w:val="center"/>
              <w:ind w:left="171"/>
              <w:spacing w:after="0" w:line="151" w:lineRule="exact"/>
              <w:rPr>
                <w:sz w:val="20"/>
                <w:szCs w:val="20"/>
                <w:color w:val="auto"/>
              </w:rPr>
            </w:pPr>
            <w:r>
              <w:rPr>
                <w:rFonts w:ascii="Calibri" w:cs="Calibri" w:eastAsia="Calibri" w:hAnsi="Calibri"/>
                <w:sz w:val="14"/>
                <w:szCs w:val="14"/>
                <w:color w:val="auto"/>
                <w:w w:val="93"/>
              </w:rPr>
              <w:t>9.9%</w:t>
            </w:r>
          </w:p>
        </w:tc>
        <w:tc>
          <w:tcPr>
            <w:tcW w:w="1040" w:type="dxa"/>
            <w:vAlign w:val="bottom"/>
          </w:tcPr>
          <w:p>
            <w:pPr>
              <w:jc w:val="right"/>
              <w:ind w:right="91"/>
              <w:spacing w:after="0" w:line="151" w:lineRule="exact"/>
              <w:rPr>
                <w:sz w:val="20"/>
                <w:szCs w:val="20"/>
                <w:color w:val="auto"/>
              </w:rPr>
            </w:pPr>
            <w:r>
              <w:rPr>
                <w:rFonts w:ascii="Calibri" w:cs="Calibri" w:eastAsia="Calibri" w:hAnsi="Calibri"/>
                <w:sz w:val="14"/>
                <w:szCs w:val="14"/>
                <w:color w:val="auto"/>
              </w:rPr>
              <w:t>577,902</w:t>
            </w:r>
          </w:p>
        </w:tc>
        <w:tc>
          <w:tcPr>
            <w:tcW w:w="760" w:type="dxa"/>
            <w:vAlign w:val="bottom"/>
            <w:tcBorders>
              <w:right w:val="single" w:sz="8" w:color="auto"/>
            </w:tcBorders>
          </w:tcPr>
          <w:p>
            <w:pPr>
              <w:jc w:val="right"/>
              <w:spacing w:after="0" w:line="151" w:lineRule="exact"/>
              <w:rPr>
                <w:sz w:val="20"/>
                <w:szCs w:val="20"/>
                <w:color w:val="auto"/>
              </w:rPr>
            </w:pPr>
            <w:r>
              <w:rPr>
                <w:rFonts w:ascii="Calibri" w:cs="Calibri" w:eastAsia="Calibri" w:hAnsi="Calibri"/>
                <w:sz w:val="14"/>
                <w:szCs w:val="14"/>
                <w:color w:val="auto"/>
              </w:rPr>
              <w:t>626,112</w:t>
            </w:r>
          </w:p>
        </w:tc>
        <w:tc>
          <w:tcPr>
            <w:tcW w:w="146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rPr>
              <w:t>8.3%</w:t>
            </w:r>
          </w:p>
        </w:tc>
      </w:tr>
      <w:tr>
        <w:trPr>
          <w:trHeight w:val="166"/>
        </w:trPr>
        <w:tc>
          <w:tcPr>
            <w:tcW w:w="3520" w:type="dxa"/>
            <w:vAlign w:val="bottom"/>
            <w:tcBorders>
              <w:left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color w:val="auto"/>
              </w:rPr>
              <w:t>Advertsing</w:t>
            </w: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color w:val="auto"/>
                <w:w w:val="99"/>
              </w:rPr>
              <w:t>134,007</w:t>
            </w: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color w:val="auto"/>
              </w:rPr>
              <w:t>85,390</w:t>
            </w:r>
          </w:p>
        </w:tc>
        <w:tc>
          <w:tcPr>
            <w:tcW w:w="92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9"/>
              </w:rPr>
              <w:t>112,027</w:t>
            </w:r>
          </w:p>
        </w:tc>
        <w:tc>
          <w:tcPr>
            <w:tcW w:w="620" w:type="dxa"/>
            <w:vAlign w:val="bottom"/>
          </w:tcPr>
          <w:p>
            <w:pPr>
              <w:jc w:val="center"/>
              <w:ind w:left="191"/>
              <w:spacing w:after="0" w:line="166" w:lineRule="exact"/>
              <w:rPr>
                <w:sz w:val="20"/>
                <w:szCs w:val="20"/>
                <w:color w:val="auto"/>
              </w:rPr>
            </w:pPr>
            <w:r>
              <w:rPr>
                <w:rFonts w:ascii="Calibri" w:cs="Calibri" w:eastAsia="Calibri" w:hAnsi="Calibri"/>
                <w:sz w:val="14"/>
                <w:szCs w:val="14"/>
                <w:color w:val="auto"/>
              </w:rPr>
              <w:t>31.2%</w:t>
            </w:r>
          </w:p>
        </w:tc>
        <w:tc>
          <w:tcPr>
            <w:tcW w:w="1180" w:type="dxa"/>
            <w:vAlign w:val="bottom"/>
            <w:tcBorders>
              <w:right w:val="single" w:sz="8" w:color="auto"/>
            </w:tcBorders>
          </w:tcPr>
          <w:p>
            <w:pPr>
              <w:jc w:val="center"/>
              <w:ind w:left="171"/>
              <w:spacing w:after="0" w:line="166" w:lineRule="exact"/>
              <w:rPr>
                <w:sz w:val="20"/>
                <w:szCs w:val="20"/>
                <w:color w:val="auto"/>
              </w:rPr>
            </w:pPr>
            <w:r>
              <w:rPr>
                <w:rFonts w:ascii="Calibri" w:cs="Calibri" w:eastAsia="Calibri" w:hAnsi="Calibri"/>
                <w:sz w:val="14"/>
                <w:szCs w:val="14"/>
                <w:color w:val="auto"/>
                <w:w w:val="97"/>
              </w:rPr>
              <w:t>-16.4%</w:t>
            </w:r>
          </w:p>
        </w:tc>
        <w:tc>
          <w:tcPr>
            <w:tcW w:w="1040" w:type="dxa"/>
            <w:vAlign w:val="bottom"/>
          </w:tcPr>
          <w:p>
            <w:pPr>
              <w:jc w:val="right"/>
              <w:ind w:right="91"/>
              <w:spacing w:after="0" w:line="166" w:lineRule="exact"/>
              <w:rPr>
                <w:sz w:val="20"/>
                <w:szCs w:val="20"/>
                <w:color w:val="auto"/>
              </w:rPr>
            </w:pPr>
            <w:r>
              <w:rPr>
                <w:rFonts w:ascii="Calibri" w:cs="Calibri" w:eastAsia="Calibri" w:hAnsi="Calibri"/>
                <w:sz w:val="14"/>
                <w:szCs w:val="14"/>
                <w:color w:val="auto"/>
              </w:rPr>
              <w:t>191,741</w:t>
            </w:r>
          </w:p>
        </w:tc>
        <w:tc>
          <w:tcPr>
            <w:tcW w:w="760" w:type="dxa"/>
            <w:vAlign w:val="bottom"/>
            <w:tcBorders>
              <w:right w:val="single" w:sz="8" w:color="auto"/>
            </w:tcBorders>
          </w:tcPr>
          <w:p>
            <w:pPr>
              <w:jc w:val="right"/>
              <w:spacing w:after="0" w:line="166" w:lineRule="exact"/>
              <w:rPr>
                <w:sz w:val="20"/>
                <w:szCs w:val="20"/>
                <w:color w:val="auto"/>
              </w:rPr>
            </w:pPr>
            <w:r>
              <w:rPr>
                <w:rFonts w:ascii="Calibri" w:cs="Calibri" w:eastAsia="Calibri" w:hAnsi="Calibri"/>
                <w:sz w:val="14"/>
                <w:szCs w:val="14"/>
                <w:color w:val="auto"/>
              </w:rPr>
              <w:t>197,417</w:t>
            </w:r>
          </w:p>
        </w:tc>
        <w:tc>
          <w:tcPr>
            <w:tcW w:w="146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3.0%</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Taxes and contributons</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94,448</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83,347</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86,321</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3.6%</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3"/>
              </w:rPr>
              <w:t>-8.6%</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187,335</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169,668</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-9.4%</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Audit Services, Consultng and professional fees</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75,845</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71,072</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92,086</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29.6%</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7"/>
              </w:rPr>
              <w:t>21.4%</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134,837</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163,158</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21.0%</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Transport and communicatons</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60,225</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52,810</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58,391</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10.6%</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3"/>
              </w:rPr>
              <w:t>-3.0%</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114,289</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111,201</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-2.7%</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Repair and maintenance</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34,598</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31,635</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37,886</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19.8%</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3"/>
              </w:rPr>
              <w:t>9.5%</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67,236</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69,521</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3.4%</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Agents' Fees</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29,375</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26,102</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28,067</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7.5%</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3"/>
              </w:rPr>
              <w:t>-4.5%</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56,763</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54,169</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-4.6%</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Services by third-party</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35,950</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21,436</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26,634</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24.2%</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7"/>
              </w:rPr>
              <w:t>-25.9%</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64,365</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48,070</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-25.3%</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Leases of low value and short-term</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31,002</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33,177</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34,937</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5.3%</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7"/>
              </w:rPr>
              <w:t>12.7%</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61,467</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68,114</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10.8%</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Miscellaneous supplies</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24,700</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19,383</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18,192</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w w:val="99"/>
              </w:rPr>
              <w:t>-6.1%</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7"/>
              </w:rPr>
              <w:t>-26.3%</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43,353</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37,575</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-13.3%</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Security and protecton</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16,544</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16,946</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16,940</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0.0%</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3"/>
              </w:rPr>
              <w:t>2.4%</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32,447</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33,886</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4.4%</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Subscriptons and quotes</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24,220</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18,330</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19,773</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7.9%</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7"/>
              </w:rPr>
              <w:t>-18.4%</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41,392</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38,103</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9"/>
              </w:rPr>
              <w:t>-7.9%</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Electricity and water</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13,614</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10,275</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12,513</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21.8%</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3"/>
              </w:rPr>
              <w:t>-8.1%</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25,350</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22,788</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-10.1%</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Electronic processing</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6,016</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7,635</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7,762</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1.7%</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7"/>
              </w:rPr>
              <w:t>29.0%</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13,764</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15,397</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11.9%</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Insurance</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7,370</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11,719</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16,441</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40.3%</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rPr>
              <w:t>123.1%</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12,542</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28,160</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124.5%</w:t>
            </w:r>
          </w:p>
        </w:tc>
      </w:tr>
      <w:tr>
        <w:trPr>
          <w:trHeight w:val="169"/>
        </w:trPr>
        <w:tc>
          <w:tcPr>
            <w:tcW w:w="35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Cleaning</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5,629</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6,558</w:t>
            </w:r>
          </w:p>
        </w:tc>
        <w:tc>
          <w:tcPr>
            <w:tcW w:w="9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7,014</w:t>
            </w:r>
          </w:p>
        </w:tc>
        <w:tc>
          <w:tcPr>
            <w:tcW w:w="620" w:type="dxa"/>
            <w:vAlign w:val="bottom"/>
          </w:tcPr>
          <w:p>
            <w:pPr>
              <w:jc w:val="center"/>
              <w:ind w:left="191"/>
              <w:spacing w:after="0" w:line="169" w:lineRule="exact"/>
              <w:rPr>
                <w:sz w:val="20"/>
                <w:szCs w:val="20"/>
                <w:color w:val="auto"/>
              </w:rPr>
            </w:pPr>
            <w:r>
              <w:rPr>
                <w:rFonts w:ascii="Calibri" w:cs="Calibri" w:eastAsia="Calibri" w:hAnsi="Calibri"/>
                <w:sz w:val="14"/>
                <w:szCs w:val="14"/>
                <w:color w:val="auto"/>
              </w:rPr>
              <w:t>7.0%</w:t>
            </w:r>
          </w:p>
        </w:tc>
        <w:tc>
          <w:tcPr>
            <w:tcW w:w="1180" w:type="dxa"/>
            <w:vAlign w:val="bottom"/>
            <w:tcBorders>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7"/>
              </w:rPr>
              <w:t>24.6%</w:t>
            </w:r>
          </w:p>
        </w:tc>
        <w:tc>
          <w:tcPr>
            <w:tcW w:w="104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11,373</w:t>
            </w:r>
          </w:p>
        </w:tc>
        <w:tc>
          <w:tcPr>
            <w:tcW w:w="760" w:type="dxa"/>
            <w:vAlign w:val="bottom"/>
            <w:tcBorders>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13,572</w:t>
            </w:r>
          </w:p>
        </w:tc>
        <w:tc>
          <w:tcPr>
            <w:tcW w:w="14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19.3%</w:t>
            </w:r>
          </w:p>
        </w:tc>
      </w:tr>
      <w:tr>
        <w:trPr>
          <w:trHeight w:val="180"/>
        </w:trPr>
        <w:tc>
          <w:tcPr>
            <w:tcW w:w="352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Others</w:t>
            </w:r>
          </w:p>
        </w:tc>
        <w:tc>
          <w:tcPr>
            <w:tcW w:w="8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59,018</w:t>
            </w:r>
          </w:p>
        </w:tc>
        <w:tc>
          <w:tcPr>
            <w:tcW w:w="8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71,990</w:t>
            </w:r>
          </w:p>
        </w:tc>
        <w:tc>
          <w:tcPr>
            <w:tcW w:w="92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66,927</w:t>
            </w:r>
          </w:p>
        </w:tc>
        <w:tc>
          <w:tcPr>
            <w:tcW w:w="620" w:type="dxa"/>
            <w:vAlign w:val="bottom"/>
            <w:tcBorders>
              <w:bottom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9"/>
              </w:rPr>
              <w:t>-7.0%</w:t>
            </w:r>
          </w:p>
        </w:tc>
        <w:tc>
          <w:tcPr>
            <w:tcW w:w="1180" w:type="dxa"/>
            <w:vAlign w:val="bottom"/>
            <w:tcBorders>
              <w:bottom w:val="single" w:sz="8" w:color="auto"/>
              <w:right w:val="single" w:sz="8" w:color="auto"/>
            </w:tcBorders>
          </w:tcPr>
          <w:p>
            <w:pPr>
              <w:jc w:val="center"/>
              <w:ind w:left="171"/>
              <w:spacing w:after="0" w:line="169" w:lineRule="exact"/>
              <w:rPr>
                <w:sz w:val="20"/>
                <w:szCs w:val="20"/>
                <w:color w:val="auto"/>
              </w:rPr>
            </w:pPr>
            <w:r>
              <w:rPr>
                <w:rFonts w:ascii="Calibri" w:cs="Calibri" w:eastAsia="Calibri" w:hAnsi="Calibri"/>
                <w:sz w:val="14"/>
                <w:szCs w:val="14"/>
                <w:color w:val="auto"/>
                <w:w w:val="97"/>
              </w:rPr>
              <w:t>13.4%</w:t>
            </w:r>
          </w:p>
        </w:tc>
        <w:tc>
          <w:tcPr>
            <w:tcW w:w="1040" w:type="dxa"/>
            <w:vAlign w:val="bottom"/>
            <w:tcBorders>
              <w:bottom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133,150</w:t>
            </w:r>
          </w:p>
        </w:tc>
        <w:tc>
          <w:tcPr>
            <w:tcW w:w="760" w:type="dxa"/>
            <w:vAlign w:val="bottom"/>
            <w:tcBorders>
              <w:bottom w:val="single" w:sz="8" w:color="auto"/>
              <w:right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138,917</w:t>
            </w:r>
          </w:p>
        </w:tc>
        <w:tc>
          <w:tcPr>
            <w:tcW w:w="146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4.3%</w:t>
            </w:r>
          </w:p>
        </w:tc>
      </w:tr>
      <w:tr>
        <w:trPr>
          <w:trHeight w:val="168"/>
        </w:trPr>
        <w:tc>
          <w:tcPr>
            <w:tcW w:w="3520" w:type="dxa"/>
            <w:vAlign w:val="bottom"/>
            <w:tcBorders>
              <w:left w:val="single" w:sz="8" w:color="auto"/>
              <w:bottom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b w:val="1"/>
                <w:bCs w:val="1"/>
                <w:color w:val="auto"/>
              </w:rPr>
              <w:t>Total</w:t>
            </w:r>
          </w:p>
        </w:tc>
        <w:tc>
          <w:tcPr>
            <w:tcW w:w="88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9"/>
              </w:rPr>
              <w:t>947,558</w:t>
            </w:r>
          </w:p>
        </w:tc>
        <w:tc>
          <w:tcPr>
            <w:tcW w:w="88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9"/>
              </w:rPr>
              <w:t>869,834</w:t>
            </w:r>
          </w:p>
        </w:tc>
        <w:tc>
          <w:tcPr>
            <w:tcW w:w="92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9"/>
              </w:rPr>
              <w:t>965,994</w:t>
            </w:r>
          </w:p>
        </w:tc>
        <w:tc>
          <w:tcPr>
            <w:tcW w:w="620" w:type="dxa"/>
            <w:vAlign w:val="bottom"/>
            <w:tcBorders>
              <w:bottom w:val="single" w:sz="8" w:color="auto"/>
            </w:tcBorders>
          </w:tcPr>
          <w:p>
            <w:pPr>
              <w:jc w:val="center"/>
              <w:ind w:left="191"/>
              <w:spacing w:after="0" w:line="166" w:lineRule="exact"/>
              <w:rPr>
                <w:sz w:val="20"/>
                <w:szCs w:val="20"/>
                <w:color w:val="auto"/>
              </w:rPr>
            </w:pPr>
            <w:r>
              <w:rPr>
                <w:rFonts w:ascii="Calibri" w:cs="Calibri" w:eastAsia="Calibri" w:hAnsi="Calibri"/>
                <w:sz w:val="14"/>
                <w:szCs w:val="14"/>
                <w:b w:val="1"/>
                <w:bCs w:val="1"/>
                <w:color w:val="auto"/>
              </w:rPr>
              <w:t>11.1%</w:t>
            </w:r>
          </w:p>
        </w:tc>
        <w:tc>
          <w:tcPr>
            <w:tcW w:w="1180" w:type="dxa"/>
            <w:vAlign w:val="bottom"/>
            <w:tcBorders>
              <w:bottom w:val="single" w:sz="8" w:color="auto"/>
              <w:right w:val="single" w:sz="8" w:color="auto"/>
            </w:tcBorders>
          </w:tcPr>
          <w:p>
            <w:pPr>
              <w:jc w:val="center"/>
              <w:ind w:left="171"/>
              <w:spacing w:after="0" w:line="166" w:lineRule="exact"/>
              <w:rPr>
                <w:sz w:val="20"/>
                <w:szCs w:val="20"/>
                <w:color w:val="auto"/>
              </w:rPr>
            </w:pPr>
            <w:r>
              <w:rPr>
                <w:rFonts w:ascii="Calibri" w:cs="Calibri" w:eastAsia="Calibri" w:hAnsi="Calibri"/>
                <w:sz w:val="14"/>
                <w:szCs w:val="14"/>
                <w:b w:val="1"/>
                <w:bCs w:val="1"/>
                <w:color w:val="auto"/>
                <w:w w:val="92"/>
              </w:rPr>
              <w:t>1.9%</w:t>
            </w:r>
          </w:p>
        </w:tc>
        <w:tc>
          <w:tcPr>
            <w:tcW w:w="1040" w:type="dxa"/>
            <w:vAlign w:val="bottom"/>
            <w:tcBorders>
              <w:bottom w:val="single" w:sz="8" w:color="auto"/>
            </w:tcBorders>
          </w:tcPr>
          <w:p>
            <w:pPr>
              <w:jc w:val="right"/>
              <w:ind w:right="251"/>
              <w:spacing w:after="0" w:line="166" w:lineRule="exact"/>
              <w:rPr>
                <w:sz w:val="20"/>
                <w:szCs w:val="20"/>
                <w:color w:val="auto"/>
              </w:rPr>
            </w:pPr>
            <w:r>
              <w:rPr>
                <w:rFonts w:ascii="Calibri" w:cs="Calibri" w:eastAsia="Calibri" w:hAnsi="Calibri"/>
                <w:sz w:val="14"/>
                <w:szCs w:val="14"/>
                <w:b w:val="1"/>
                <w:bCs w:val="1"/>
                <w:color w:val="auto"/>
              </w:rPr>
              <w:t>1,769,306</w:t>
            </w:r>
          </w:p>
        </w:tc>
        <w:tc>
          <w:tcPr>
            <w:tcW w:w="760" w:type="dxa"/>
            <w:vAlign w:val="bottom"/>
            <w:tcBorders>
              <w:bottom w:val="single" w:sz="8" w:color="auto"/>
              <w:right w:val="single" w:sz="8" w:color="auto"/>
            </w:tcBorders>
          </w:tcPr>
          <w:p>
            <w:pPr>
              <w:jc w:val="right"/>
              <w:ind w:right="111"/>
              <w:spacing w:after="0" w:line="166" w:lineRule="exact"/>
              <w:rPr>
                <w:sz w:val="20"/>
                <w:szCs w:val="20"/>
                <w:color w:val="auto"/>
              </w:rPr>
            </w:pPr>
            <w:r>
              <w:rPr>
                <w:rFonts w:ascii="Calibri" w:cs="Calibri" w:eastAsia="Calibri" w:hAnsi="Calibri"/>
                <w:sz w:val="14"/>
                <w:szCs w:val="14"/>
                <w:b w:val="1"/>
                <w:bCs w:val="1"/>
                <w:color w:val="auto"/>
                <w:w w:val="98"/>
              </w:rPr>
              <w:t>1,835,828</w:t>
            </w:r>
          </w:p>
        </w:tc>
        <w:tc>
          <w:tcPr>
            <w:tcW w:w="146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9"/>
              </w:rPr>
              <w:t>3.8%</w:t>
            </w:r>
          </w:p>
        </w:tc>
      </w:tr>
    </w:tbl>
    <w:p>
      <w:pPr>
        <w:spacing w:after="0" w:line="109"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YTD, administratve expenses rose 3.8%. Growth in operatng expenses was driven mainly by Pacifco and BCP Stand-alone, which registered increases in expenses for IT and system outsourcing as well as an uptck in expenses for Audit Services, Consultng and Professional Fees, which rose on the back of digital transformaton initatves.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1024255</wp:posOffset>
            </wp:positionV>
            <wp:extent cx="713740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140335</wp:posOffset>
            </wp:positionV>
            <wp:extent cx="6848475" cy="661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48475" cy="6610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0" w:name="page41"/>
    <w:bookmarkEnd w:id="40"/>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121920</wp:posOffset>
            </wp:positionV>
            <wp:extent cx="7137400" cy="628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08. Operatng Expenses</w:t>
      </w:r>
    </w:p>
    <w:p>
      <w:pPr>
        <w:spacing w:after="0" w:line="5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Operatng Expenses for Core Businesses and the Innovaton Portolio</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3060" w:type="dxa"/>
            <w:vAlign w:val="bottom"/>
            <w:tcBorders>
              <w:top w:val="single" w:sz="8" w:color="auto"/>
              <w:left w:val="single" w:sz="8" w:color="auto"/>
              <w:right w:val="single" w:sz="8" w:color="auto"/>
            </w:tcBorders>
            <w:shd w:val="clear" w:color="auto" w:fill="33CCCC"/>
          </w:tcPr>
          <w:p>
            <w:pPr>
              <w:ind w:left="20"/>
              <w:spacing w:after="0" w:line="209" w:lineRule="exact"/>
              <w:rPr>
                <w:sz w:val="20"/>
                <w:szCs w:val="20"/>
                <w:color w:val="auto"/>
              </w:rPr>
            </w:pPr>
            <w:r>
              <w:rPr>
                <w:rFonts w:ascii="Calibri" w:cs="Calibri" w:eastAsia="Calibri" w:hAnsi="Calibri"/>
                <w:sz w:val="14"/>
                <w:szCs w:val="14"/>
                <w:b w:val="1"/>
                <w:bCs w:val="1"/>
                <w:color w:val="FFFFFF"/>
              </w:rPr>
              <w:t xml:space="preserve">Operatng Expenses </w:t>
            </w:r>
            <w:r>
              <w:rPr>
                <w:rFonts w:ascii="Calibri" w:cs="Calibri" w:eastAsia="Calibri" w:hAnsi="Calibri"/>
                <w:sz w:val="22"/>
                <w:szCs w:val="22"/>
                <w:b w:val="1"/>
                <w:bCs w:val="1"/>
                <w:color w:val="FFFFFF"/>
                <w:vertAlign w:val="superscript"/>
              </w:rPr>
              <w:t>(1)</w:t>
            </w:r>
          </w:p>
        </w:tc>
        <w:tc>
          <w:tcPr>
            <w:tcW w:w="1140" w:type="dxa"/>
            <w:vAlign w:val="bottom"/>
            <w:tcBorders>
              <w:top w:val="single" w:sz="8" w:color="auto"/>
            </w:tcBorders>
            <w:shd w:val="clear" w:color="auto" w:fill="33CCCC"/>
          </w:tcPr>
          <w:p>
            <w:pPr>
              <w:spacing w:after="0"/>
              <w:rPr>
                <w:sz w:val="18"/>
                <w:szCs w:val="18"/>
                <w:color w:val="auto"/>
              </w:rPr>
            </w:pPr>
          </w:p>
        </w:tc>
        <w:tc>
          <w:tcPr>
            <w:tcW w:w="1080" w:type="dxa"/>
            <w:vAlign w:val="bottom"/>
            <w:tcBorders>
              <w:top w:val="single" w:sz="8" w:color="auto"/>
            </w:tcBorders>
            <w:shd w:val="clear" w:color="auto" w:fill="33CCCC"/>
          </w:tcPr>
          <w:p>
            <w:pPr>
              <w:jc w:val="right"/>
              <w:ind w:right="362"/>
              <w:spacing w:after="0"/>
              <w:rPr>
                <w:sz w:val="20"/>
                <w:szCs w:val="20"/>
                <w:color w:val="auto"/>
              </w:rPr>
            </w:pPr>
            <w:r>
              <w:rPr>
                <w:rFonts w:ascii="Calibri" w:cs="Calibri" w:eastAsia="Calibri" w:hAnsi="Calibri"/>
                <w:sz w:val="16"/>
                <w:szCs w:val="16"/>
                <w:color w:val="FFFFFF"/>
              </w:rPr>
              <w:t>Quarter</w:t>
            </w:r>
          </w:p>
        </w:tc>
        <w:tc>
          <w:tcPr>
            <w:tcW w:w="880" w:type="dxa"/>
            <w:vAlign w:val="bottom"/>
            <w:tcBorders>
              <w:top w:val="single" w:sz="8" w:color="auto"/>
              <w:right w:val="single" w:sz="8" w:color="auto"/>
            </w:tcBorders>
            <w:shd w:val="clear" w:color="auto" w:fill="33CCCC"/>
          </w:tcPr>
          <w:p>
            <w:pPr>
              <w:spacing w:after="0"/>
              <w:rPr>
                <w:sz w:val="18"/>
                <w:szCs w:val="18"/>
                <w:color w:val="auto"/>
              </w:rPr>
            </w:pPr>
          </w:p>
        </w:tc>
        <w:tc>
          <w:tcPr>
            <w:tcW w:w="660" w:type="dxa"/>
            <w:vAlign w:val="bottom"/>
            <w:tcBorders>
              <w:top w:val="single" w:sz="8" w:color="auto"/>
            </w:tcBorders>
            <w:shd w:val="clear" w:color="auto" w:fill="33CCCC"/>
          </w:tcPr>
          <w:p>
            <w:pPr>
              <w:spacing w:after="0"/>
              <w:rPr>
                <w:sz w:val="18"/>
                <w:szCs w:val="18"/>
                <w:color w:val="auto"/>
              </w:rPr>
            </w:pPr>
          </w:p>
        </w:tc>
        <w:tc>
          <w:tcPr>
            <w:tcW w:w="134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6"/>
                <w:szCs w:val="16"/>
                <w:b w:val="1"/>
                <w:bCs w:val="1"/>
                <w:color w:val="FFFFFF"/>
              </w:rPr>
              <w:t>% change</w:t>
            </w:r>
          </w:p>
        </w:tc>
        <w:tc>
          <w:tcPr>
            <w:tcW w:w="1260" w:type="dxa"/>
            <w:vAlign w:val="bottom"/>
            <w:tcBorders>
              <w:top w:val="single" w:sz="8" w:color="auto"/>
            </w:tcBorders>
            <w:shd w:val="clear" w:color="auto" w:fill="33CCCC"/>
          </w:tcPr>
          <w:p>
            <w:pPr>
              <w:jc w:val="right"/>
              <w:ind w:right="2"/>
              <w:spacing w:after="0"/>
              <w:rPr>
                <w:sz w:val="20"/>
                <w:szCs w:val="20"/>
                <w:color w:val="auto"/>
              </w:rPr>
            </w:pPr>
            <w:r>
              <w:rPr>
                <w:rFonts w:ascii="Calibri" w:cs="Calibri" w:eastAsia="Calibri" w:hAnsi="Calibri"/>
                <w:sz w:val="16"/>
                <w:szCs w:val="16"/>
                <w:b w:val="1"/>
                <w:bCs w:val="1"/>
                <w:color w:val="FFFFFF"/>
              </w:rPr>
              <w:t>Up to</w:t>
            </w:r>
          </w:p>
        </w:tc>
        <w:tc>
          <w:tcPr>
            <w:tcW w:w="760" w:type="dxa"/>
            <w:vAlign w:val="bottom"/>
            <w:tcBorders>
              <w:top w:val="single" w:sz="8" w:color="auto"/>
              <w:right w:val="single" w:sz="8" w:color="auto"/>
            </w:tcBorders>
            <w:shd w:val="clear" w:color="auto" w:fill="33CCCC"/>
          </w:tcPr>
          <w:p>
            <w:pPr>
              <w:spacing w:after="0"/>
              <w:rPr>
                <w:sz w:val="18"/>
                <w:szCs w:val="18"/>
                <w:color w:val="auto"/>
              </w:rPr>
            </w:pPr>
          </w:p>
        </w:tc>
        <w:tc>
          <w:tcPr>
            <w:tcW w:w="1080" w:type="dxa"/>
            <w:vAlign w:val="bottom"/>
            <w:tcBorders>
              <w:top w:val="single" w:sz="8" w:color="auto"/>
              <w:right w:val="single" w:sz="8" w:color="auto"/>
            </w:tcBorders>
            <w:shd w:val="clear" w:color="auto" w:fill="33CCCC"/>
          </w:tcPr>
          <w:p>
            <w:pPr>
              <w:ind w:left="220"/>
              <w:spacing w:after="0"/>
              <w:rPr>
                <w:sz w:val="20"/>
                <w:szCs w:val="20"/>
                <w:color w:val="auto"/>
              </w:rPr>
            </w:pPr>
            <w:r>
              <w:rPr>
                <w:rFonts w:ascii="Calibri" w:cs="Calibri" w:eastAsia="Calibri" w:hAnsi="Calibri"/>
                <w:sz w:val="16"/>
                <w:szCs w:val="16"/>
                <w:b w:val="1"/>
                <w:bCs w:val="1"/>
                <w:color w:val="FFFFFF"/>
              </w:rPr>
              <w:t>% change</w:t>
            </w:r>
          </w:p>
        </w:tc>
      </w:tr>
      <w:tr>
        <w:trPr>
          <w:trHeight w:val="190"/>
        </w:trPr>
        <w:tc>
          <w:tcPr>
            <w:tcW w:w="3060" w:type="dxa"/>
            <w:vAlign w:val="bottom"/>
            <w:tcBorders>
              <w:left w:val="single" w:sz="8" w:color="auto"/>
              <w:bottom w:val="single" w:sz="8" w:color="auto"/>
              <w:right w:val="single" w:sz="8" w:color="auto"/>
            </w:tcBorders>
            <w:shd w:val="clear" w:color="auto" w:fill="33CCCC"/>
          </w:tcPr>
          <w:p>
            <w:pPr>
              <w:ind w:left="20"/>
              <w:spacing w:after="0" w:line="185" w:lineRule="exact"/>
              <w:rPr>
                <w:sz w:val="20"/>
                <w:szCs w:val="20"/>
                <w:color w:val="auto"/>
              </w:rPr>
            </w:pPr>
            <w:r>
              <w:rPr>
                <w:rFonts w:ascii="Calibri" w:cs="Calibri" w:eastAsia="Calibri" w:hAnsi="Calibri"/>
                <w:sz w:val="16"/>
                <w:szCs w:val="16"/>
                <w:b w:val="1"/>
                <w:bCs w:val="1"/>
                <w:color w:val="FFFFFF"/>
              </w:rPr>
              <w:t>S/ 000</w:t>
            </w:r>
          </w:p>
        </w:tc>
        <w:tc>
          <w:tcPr>
            <w:tcW w:w="1140" w:type="dxa"/>
            <w:vAlign w:val="bottom"/>
            <w:tcBorders>
              <w:bottom w:val="single" w:sz="8" w:color="auto"/>
            </w:tcBorders>
            <w:shd w:val="clear" w:color="auto" w:fill="33CCCC"/>
          </w:tcPr>
          <w:p>
            <w:pPr>
              <w:jc w:val="right"/>
              <w:ind w:right="382"/>
              <w:spacing w:after="0" w:line="185" w:lineRule="exact"/>
              <w:rPr>
                <w:sz w:val="20"/>
                <w:szCs w:val="20"/>
                <w:color w:val="auto"/>
              </w:rPr>
            </w:pPr>
            <w:r>
              <w:rPr>
                <w:rFonts w:ascii="Calibri" w:cs="Calibri" w:eastAsia="Calibri" w:hAnsi="Calibri"/>
                <w:sz w:val="16"/>
                <w:szCs w:val="16"/>
                <w:b w:val="1"/>
                <w:bCs w:val="1"/>
                <w:color w:val="FFFFFF"/>
              </w:rPr>
              <w:t>2Q24</w:t>
            </w:r>
          </w:p>
        </w:tc>
        <w:tc>
          <w:tcPr>
            <w:tcW w:w="1080" w:type="dxa"/>
            <w:vAlign w:val="bottom"/>
            <w:tcBorders>
              <w:bottom w:val="single" w:sz="8" w:color="auto"/>
            </w:tcBorders>
            <w:shd w:val="clear" w:color="auto" w:fill="33CCCC"/>
          </w:tcPr>
          <w:p>
            <w:pPr>
              <w:jc w:val="right"/>
              <w:ind w:right="442"/>
              <w:spacing w:after="0" w:line="185" w:lineRule="exact"/>
              <w:rPr>
                <w:sz w:val="20"/>
                <w:szCs w:val="20"/>
                <w:color w:val="auto"/>
              </w:rPr>
            </w:pPr>
            <w:r>
              <w:rPr>
                <w:rFonts w:ascii="Calibri" w:cs="Calibri" w:eastAsia="Calibri" w:hAnsi="Calibri"/>
                <w:sz w:val="16"/>
                <w:szCs w:val="16"/>
                <w:b w:val="1"/>
                <w:bCs w:val="1"/>
                <w:color w:val="FFFFFF"/>
              </w:rPr>
              <w:t>1Q25</w:t>
            </w:r>
          </w:p>
        </w:tc>
        <w:tc>
          <w:tcPr>
            <w:tcW w:w="880" w:type="dxa"/>
            <w:vAlign w:val="bottom"/>
            <w:tcBorders>
              <w:bottom w:val="single" w:sz="8" w:color="auto"/>
              <w:right w:val="single" w:sz="8" w:color="auto"/>
            </w:tcBorders>
            <w:shd w:val="clear" w:color="auto" w:fill="33CCCC"/>
          </w:tcPr>
          <w:p>
            <w:pPr>
              <w:jc w:val="right"/>
              <w:ind w:right="302"/>
              <w:spacing w:after="0" w:line="185" w:lineRule="exact"/>
              <w:rPr>
                <w:sz w:val="20"/>
                <w:szCs w:val="20"/>
                <w:color w:val="auto"/>
              </w:rPr>
            </w:pPr>
            <w:r>
              <w:rPr>
                <w:rFonts w:ascii="Calibri" w:cs="Calibri" w:eastAsia="Calibri" w:hAnsi="Calibri"/>
                <w:sz w:val="16"/>
                <w:szCs w:val="16"/>
                <w:b w:val="1"/>
                <w:bCs w:val="1"/>
                <w:color w:val="FFFFFF"/>
              </w:rPr>
              <w:t>2Q25</w:t>
            </w:r>
          </w:p>
        </w:tc>
        <w:tc>
          <w:tcPr>
            <w:tcW w:w="660" w:type="dxa"/>
            <w:vAlign w:val="bottom"/>
            <w:tcBorders>
              <w:bottom w:val="single" w:sz="8" w:color="auto"/>
            </w:tcBorders>
            <w:shd w:val="clear" w:color="auto" w:fill="33CCCC"/>
          </w:tcPr>
          <w:p>
            <w:pPr>
              <w:ind w:left="320"/>
              <w:spacing w:after="0" w:line="185" w:lineRule="exact"/>
              <w:rPr>
                <w:sz w:val="20"/>
                <w:szCs w:val="20"/>
                <w:color w:val="auto"/>
              </w:rPr>
            </w:pPr>
            <w:r>
              <w:rPr>
                <w:rFonts w:ascii="Calibri" w:cs="Calibri" w:eastAsia="Calibri" w:hAnsi="Calibri"/>
                <w:sz w:val="16"/>
                <w:szCs w:val="16"/>
                <w:b w:val="1"/>
                <w:bCs w:val="1"/>
                <w:color w:val="FFFFFF"/>
              </w:rPr>
              <w:t>QoQ</w:t>
            </w:r>
          </w:p>
        </w:tc>
        <w:tc>
          <w:tcPr>
            <w:tcW w:w="1340" w:type="dxa"/>
            <w:vAlign w:val="bottom"/>
            <w:tcBorders>
              <w:bottom w:val="single" w:sz="8" w:color="auto"/>
              <w:right w:val="single" w:sz="8" w:color="auto"/>
            </w:tcBorders>
            <w:shd w:val="clear" w:color="auto" w:fill="33CCCC"/>
          </w:tcPr>
          <w:p>
            <w:pPr>
              <w:ind w:left="700"/>
              <w:spacing w:after="0" w:line="185" w:lineRule="exact"/>
              <w:rPr>
                <w:sz w:val="20"/>
                <w:szCs w:val="20"/>
                <w:color w:val="auto"/>
              </w:rPr>
            </w:pPr>
            <w:r>
              <w:rPr>
                <w:rFonts w:ascii="Calibri" w:cs="Calibri" w:eastAsia="Calibri" w:hAnsi="Calibri"/>
                <w:sz w:val="16"/>
                <w:szCs w:val="16"/>
                <w:b w:val="1"/>
                <w:bCs w:val="1"/>
                <w:color w:val="FFFFFF"/>
              </w:rPr>
              <w:t>YoY</w:t>
            </w:r>
          </w:p>
        </w:tc>
        <w:tc>
          <w:tcPr>
            <w:tcW w:w="1260" w:type="dxa"/>
            <w:vAlign w:val="bottom"/>
            <w:tcBorders>
              <w:bottom w:val="single" w:sz="8" w:color="auto"/>
            </w:tcBorders>
            <w:shd w:val="clear" w:color="auto" w:fill="33CCCC"/>
          </w:tcPr>
          <w:p>
            <w:pPr>
              <w:jc w:val="right"/>
              <w:ind w:right="522"/>
              <w:spacing w:after="0" w:line="185" w:lineRule="exact"/>
              <w:rPr>
                <w:sz w:val="20"/>
                <w:szCs w:val="20"/>
                <w:color w:val="auto"/>
              </w:rPr>
            </w:pPr>
            <w:r>
              <w:rPr>
                <w:rFonts w:ascii="Calibri" w:cs="Calibri" w:eastAsia="Calibri" w:hAnsi="Calibri"/>
                <w:sz w:val="16"/>
                <w:szCs w:val="16"/>
                <w:b w:val="1"/>
                <w:bCs w:val="1"/>
                <w:color w:val="FFFFFF"/>
              </w:rPr>
              <w:t>1H24</w:t>
            </w:r>
          </w:p>
        </w:tc>
        <w:tc>
          <w:tcPr>
            <w:tcW w:w="760" w:type="dxa"/>
            <w:vAlign w:val="bottom"/>
            <w:tcBorders>
              <w:bottom w:val="single" w:sz="8" w:color="auto"/>
              <w:right w:val="single" w:sz="8" w:color="auto"/>
            </w:tcBorders>
            <w:shd w:val="clear" w:color="auto" w:fill="33CCCC"/>
          </w:tcPr>
          <w:p>
            <w:pPr>
              <w:jc w:val="right"/>
              <w:ind w:right="282"/>
              <w:spacing w:after="0" w:line="185" w:lineRule="exact"/>
              <w:rPr>
                <w:sz w:val="20"/>
                <w:szCs w:val="20"/>
                <w:color w:val="auto"/>
              </w:rPr>
            </w:pPr>
            <w:r>
              <w:rPr>
                <w:rFonts w:ascii="Calibri" w:cs="Calibri" w:eastAsia="Calibri" w:hAnsi="Calibri"/>
                <w:sz w:val="16"/>
                <w:szCs w:val="16"/>
                <w:b w:val="1"/>
                <w:bCs w:val="1"/>
                <w:color w:val="FFFFFF"/>
              </w:rPr>
              <w:t>1H25</w:t>
            </w:r>
          </w:p>
        </w:tc>
        <w:tc>
          <w:tcPr>
            <w:tcW w:w="1080" w:type="dxa"/>
            <w:vAlign w:val="bottom"/>
            <w:tcBorders>
              <w:bottom w:val="single" w:sz="8" w:color="auto"/>
              <w:right w:val="single" w:sz="8" w:color="auto"/>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6"/>
              </w:rPr>
              <w:t>1H25 / 1H24</w:t>
            </w:r>
          </w:p>
        </w:tc>
      </w:tr>
      <w:tr>
        <w:trPr>
          <w:trHeight w:val="174"/>
        </w:trPr>
        <w:tc>
          <w:tcPr>
            <w:tcW w:w="3060" w:type="dxa"/>
            <w:vAlign w:val="bottom"/>
            <w:tcBorders>
              <w:left w:val="single" w:sz="8" w:color="auto"/>
              <w:right w:val="single" w:sz="8" w:color="auto"/>
            </w:tcBorders>
          </w:tcPr>
          <w:p>
            <w:pPr>
              <w:ind w:left="20"/>
              <w:spacing w:after="0" w:line="174" w:lineRule="exact"/>
              <w:rPr>
                <w:sz w:val="20"/>
                <w:szCs w:val="20"/>
                <w:color w:val="auto"/>
              </w:rPr>
            </w:pPr>
            <w:r>
              <w:rPr>
                <w:rFonts w:ascii="Calibri" w:cs="Calibri" w:eastAsia="Calibri" w:hAnsi="Calibri"/>
                <w:sz w:val="16"/>
                <w:szCs w:val="16"/>
                <w:color w:val="auto"/>
              </w:rPr>
              <w:t>Operatng Expenses Ex Innovaton</w:t>
            </w:r>
          </w:p>
        </w:tc>
        <w:tc>
          <w:tcPr>
            <w:tcW w:w="1140" w:type="dxa"/>
            <w:vAlign w:val="bottom"/>
          </w:tcPr>
          <w:p>
            <w:pPr>
              <w:jc w:val="right"/>
              <w:ind w:right="42"/>
              <w:spacing w:after="0" w:line="174" w:lineRule="exact"/>
              <w:rPr>
                <w:sz w:val="20"/>
                <w:szCs w:val="20"/>
                <w:color w:val="auto"/>
              </w:rPr>
            </w:pPr>
            <w:r>
              <w:rPr>
                <w:rFonts w:ascii="Calibri" w:cs="Calibri" w:eastAsia="Calibri" w:hAnsi="Calibri"/>
                <w:sz w:val="16"/>
                <w:szCs w:val="16"/>
                <w:color w:val="auto"/>
              </w:rPr>
              <w:t>1,986,433</w:t>
            </w:r>
          </w:p>
        </w:tc>
        <w:tc>
          <w:tcPr>
            <w:tcW w:w="1080" w:type="dxa"/>
            <w:vAlign w:val="bottom"/>
          </w:tcPr>
          <w:p>
            <w:pPr>
              <w:jc w:val="right"/>
              <w:ind w:right="102"/>
              <w:spacing w:after="0" w:line="174" w:lineRule="exact"/>
              <w:rPr>
                <w:sz w:val="20"/>
                <w:szCs w:val="20"/>
                <w:color w:val="auto"/>
              </w:rPr>
            </w:pPr>
            <w:r>
              <w:rPr>
                <w:rFonts w:ascii="Calibri" w:cs="Calibri" w:eastAsia="Calibri" w:hAnsi="Calibri"/>
                <w:sz w:val="16"/>
                <w:szCs w:val="16"/>
                <w:color w:val="auto"/>
              </w:rPr>
              <w:t>2,138,640</w:t>
            </w:r>
          </w:p>
        </w:tc>
        <w:tc>
          <w:tcPr>
            <w:tcW w:w="880" w:type="dxa"/>
            <w:vAlign w:val="bottom"/>
            <w:tcBorders>
              <w:right w:val="single" w:sz="8" w:color="auto"/>
            </w:tcBorders>
          </w:tcPr>
          <w:p>
            <w:pPr>
              <w:jc w:val="right"/>
              <w:spacing w:after="0" w:line="174" w:lineRule="exact"/>
              <w:rPr>
                <w:sz w:val="20"/>
                <w:szCs w:val="20"/>
                <w:color w:val="auto"/>
              </w:rPr>
            </w:pPr>
            <w:r>
              <w:rPr>
                <w:rFonts w:ascii="Calibri" w:cs="Calibri" w:eastAsia="Calibri" w:hAnsi="Calibri"/>
                <w:sz w:val="16"/>
                <w:szCs w:val="16"/>
                <w:color w:val="auto"/>
              </w:rPr>
              <w:t>2,123,767</w:t>
            </w:r>
          </w:p>
        </w:tc>
        <w:tc>
          <w:tcPr>
            <w:tcW w:w="660" w:type="dxa"/>
            <w:vAlign w:val="bottom"/>
          </w:tcPr>
          <w:p>
            <w:pPr>
              <w:jc w:val="center"/>
              <w:ind w:left="222"/>
              <w:spacing w:after="0" w:line="174" w:lineRule="exact"/>
              <w:rPr>
                <w:sz w:val="20"/>
                <w:szCs w:val="20"/>
                <w:color w:val="auto"/>
              </w:rPr>
            </w:pPr>
            <w:r>
              <w:rPr>
                <w:rFonts w:ascii="Calibri" w:cs="Calibri" w:eastAsia="Calibri" w:hAnsi="Calibri"/>
                <w:sz w:val="16"/>
                <w:szCs w:val="16"/>
                <w:color w:val="auto"/>
                <w:w w:val="98"/>
              </w:rPr>
              <w:t>-0.7%</w:t>
            </w:r>
          </w:p>
        </w:tc>
        <w:tc>
          <w:tcPr>
            <w:tcW w:w="1340" w:type="dxa"/>
            <w:vAlign w:val="bottom"/>
            <w:tcBorders>
              <w:right w:val="single" w:sz="8" w:color="auto"/>
            </w:tcBorders>
          </w:tcPr>
          <w:p>
            <w:pPr>
              <w:jc w:val="center"/>
              <w:ind w:left="222"/>
              <w:spacing w:after="0" w:line="174" w:lineRule="exact"/>
              <w:rPr>
                <w:sz w:val="20"/>
                <w:szCs w:val="20"/>
                <w:color w:val="auto"/>
              </w:rPr>
            </w:pPr>
            <w:r>
              <w:rPr>
                <w:rFonts w:ascii="Calibri" w:cs="Calibri" w:eastAsia="Calibri" w:hAnsi="Calibri"/>
                <w:sz w:val="16"/>
                <w:szCs w:val="16"/>
                <w:color w:val="auto"/>
              </w:rPr>
              <w:t>6.9%</w:t>
            </w:r>
          </w:p>
        </w:tc>
        <w:tc>
          <w:tcPr>
            <w:tcW w:w="1260" w:type="dxa"/>
            <w:vAlign w:val="bottom"/>
          </w:tcPr>
          <w:p>
            <w:pPr>
              <w:jc w:val="right"/>
              <w:ind w:right="202"/>
              <w:spacing w:after="0" w:line="174" w:lineRule="exact"/>
              <w:rPr>
                <w:sz w:val="20"/>
                <w:szCs w:val="20"/>
                <w:color w:val="auto"/>
              </w:rPr>
            </w:pPr>
            <w:r>
              <w:rPr>
                <w:rFonts w:ascii="Calibri" w:cs="Calibri" w:eastAsia="Calibri" w:hAnsi="Calibri"/>
                <w:sz w:val="16"/>
                <w:szCs w:val="16"/>
                <w:color w:val="auto"/>
              </w:rPr>
              <w:t>3,843,400</w:t>
            </w:r>
          </w:p>
        </w:tc>
        <w:tc>
          <w:tcPr>
            <w:tcW w:w="760" w:type="dxa"/>
            <w:vAlign w:val="bottom"/>
            <w:tcBorders>
              <w:right w:val="single" w:sz="8" w:color="auto"/>
            </w:tcBorders>
          </w:tcPr>
          <w:p>
            <w:pPr>
              <w:jc w:val="right"/>
              <w:spacing w:after="0" w:line="174" w:lineRule="exact"/>
              <w:rPr>
                <w:sz w:val="20"/>
                <w:szCs w:val="20"/>
                <w:color w:val="auto"/>
              </w:rPr>
            </w:pPr>
            <w:r>
              <w:rPr>
                <w:rFonts w:ascii="Calibri" w:cs="Calibri" w:eastAsia="Calibri" w:hAnsi="Calibri"/>
                <w:sz w:val="16"/>
                <w:szCs w:val="16"/>
                <w:color w:val="auto"/>
              </w:rPr>
              <w:t>4,262,407</w:t>
            </w:r>
          </w:p>
        </w:tc>
        <w:tc>
          <w:tcPr>
            <w:tcW w:w="108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w w:val="95"/>
              </w:rPr>
              <w:t>10.9%</w:t>
            </w:r>
          </w:p>
        </w:tc>
      </w:tr>
      <w:tr>
        <w:trPr>
          <w:trHeight w:val="215"/>
        </w:trPr>
        <w:tc>
          <w:tcPr>
            <w:tcW w:w="3060" w:type="dxa"/>
            <w:vAlign w:val="bottom"/>
            <w:tcBorders>
              <w:left w:val="single" w:sz="8" w:color="auto"/>
              <w:bottom w:val="single" w:sz="8" w:color="auto"/>
              <w:right w:val="single" w:sz="8" w:color="auto"/>
            </w:tcBorders>
          </w:tcPr>
          <w:p>
            <w:pPr>
              <w:ind w:left="20"/>
              <w:spacing w:after="0" w:line="215" w:lineRule="exact"/>
              <w:rPr>
                <w:sz w:val="20"/>
                <w:szCs w:val="20"/>
                <w:color w:val="auto"/>
              </w:rPr>
            </w:pPr>
            <w:r>
              <w:rPr>
                <w:rFonts w:ascii="Calibri" w:cs="Calibri" w:eastAsia="Calibri" w:hAnsi="Calibri"/>
                <w:sz w:val="14"/>
                <w:szCs w:val="14"/>
                <w:color w:val="auto"/>
              </w:rPr>
              <w:t xml:space="preserve">Innovaton Portolio </w:t>
            </w:r>
            <w:r>
              <w:rPr>
                <w:rFonts w:ascii="Calibri" w:cs="Calibri" w:eastAsia="Calibri" w:hAnsi="Calibri"/>
                <w:sz w:val="23"/>
                <w:szCs w:val="23"/>
                <w:color w:val="auto"/>
                <w:vertAlign w:val="superscript"/>
              </w:rPr>
              <w:t>(2)</w:t>
            </w:r>
          </w:p>
        </w:tc>
        <w:tc>
          <w:tcPr>
            <w:tcW w:w="1140" w:type="dxa"/>
            <w:vAlign w:val="bottom"/>
            <w:tcBorders>
              <w:bottom w:val="single" w:sz="8" w:color="auto"/>
            </w:tcBorders>
          </w:tcPr>
          <w:p>
            <w:pPr>
              <w:jc w:val="right"/>
              <w:ind w:right="42"/>
              <w:spacing w:after="0" w:line="188" w:lineRule="exact"/>
              <w:rPr>
                <w:sz w:val="20"/>
                <w:szCs w:val="20"/>
                <w:color w:val="auto"/>
              </w:rPr>
            </w:pPr>
            <w:r>
              <w:rPr>
                <w:rFonts w:ascii="Calibri" w:cs="Calibri" w:eastAsia="Calibri" w:hAnsi="Calibri"/>
                <w:sz w:val="16"/>
                <w:szCs w:val="16"/>
                <w:color w:val="auto"/>
              </w:rPr>
              <w:t>284,352</w:t>
            </w:r>
          </w:p>
        </w:tc>
        <w:tc>
          <w:tcPr>
            <w:tcW w:w="1080" w:type="dxa"/>
            <w:vAlign w:val="bottom"/>
            <w:tcBorders>
              <w:bottom w:val="single" w:sz="8" w:color="auto"/>
            </w:tcBorders>
          </w:tcPr>
          <w:p>
            <w:pPr>
              <w:jc w:val="right"/>
              <w:ind w:right="102"/>
              <w:spacing w:after="0" w:line="188" w:lineRule="exact"/>
              <w:rPr>
                <w:sz w:val="20"/>
                <w:szCs w:val="20"/>
                <w:color w:val="auto"/>
              </w:rPr>
            </w:pPr>
            <w:r>
              <w:rPr>
                <w:rFonts w:ascii="Calibri" w:cs="Calibri" w:eastAsia="Calibri" w:hAnsi="Calibri"/>
                <w:sz w:val="16"/>
                <w:szCs w:val="16"/>
                <w:color w:val="auto"/>
              </w:rPr>
              <w:t>303,449</w:t>
            </w:r>
          </w:p>
        </w:tc>
        <w:tc>
          <w:tcPr>
            <w:tcW w:w="880" w:type="dxa"/>
            <w:vAlign w:val="bottom"/>
            <w:tcBorders>
              <w:bottom w:val="single" w:sz="8" w:color="auto"/>
              <w:right w:val="single" w:sz="8" w:color="auto"/>
            </w:tcBorders>
          </w:tcPr>
          <w:p>
            <w:pPr>
              <w:jc w:val="right"/>
              <w:spacing w:after="0" w:line="188" w:lineRule="exact"/>
              <w:rPr>
                <w:sz w:val="20"/>
                <w:szCs w:val="20"/>
                <w:color w:val="auto"/>
              </w:rPr>
            </w:pPr>
            <w:r>
              <w:rPr>
                <w:rFonts w:ascii="Calibri" w:cs="Calibri" w:eastAsia="Calibri" w:hAnsi="Calibri"/>
                <w:sz w:val="16"/>
                <w:szCs w:val="16"/>
                <w:color w:val="auto"/>
              </w:rPr>
              <w:t>317,780</w:t>
            </w:r>
          </w:p>
        </w:tc>
        <w:tc>
          <w:tcPr>
            <w:tcW w:w="660" w:type="dxa"/>
            <w:vAlign w:val="bottom"/>
            <w:tcBorders>
              <w:bottom w:val="single" w:sz="8" w:color="auto"/>
            </w:tcBorders>
          </w:tcPr>
          <w:p>
            <w:pPr>
              <w:jc w:val="center"/>
              <w:ind w:left="222"/>
              <w:spacing w:after="0" w:line="188" w:lineRule="exact"/>
              <w:rPr>
                <w:sz w:val="20"/>
                <w:szCs w:val="20"/>
                <w:color w:val="auto"/>
              </w:rPr>
            </w:pPr>
            <w:r>
              <w:rPr>
                <w:rFonts w:ascii="Calibri" w:cs="Calibri" w:eastAsia="Calibri" w:hAnsi="Calibri"/>
                <w:sz w:val="16"/>
                <w:szCs w:val="16"/>
                <w:color w:val="auto"/>
              </w:rPr>
              <w:t>4.7%</w:t>
            </w:r>
          </w:p>
        </w:tc>
        <w:tc>
          <w:tcPr>
            <w:tcW w:w="1340" w:type="dxa"/>
            <w:vAlign w:val="bottom"/>
            <w:tcBorders>
              <w:bottom w:val="single" w:sz="8" w:color="auto"/>
              <w:right w:val="single" w:sz="8" w:color="auto"/>
            </w:tcBorders>
          </w:tcPr>
          <w:p>
            <w:pPr>
              <w:jc w:val="center"/>
              <w:ind w:left="222"/>
              <w:spacing w:after="0" w:line="188" w:lineRule="exact"/>
              <w:rPr>
                <w:sz w:val="20"/>
                <w:szCs w:val="20"/>
                <w:color w:val="auto"/>
              </w:rPr>
            </w:pPr>
            <w:r>
              <w:rPr>
                <w:rFonts w:ascii="Calibri" w:cs="Calibri" w:eastAsia="Calibri" w:hAnsi="Calibri"/>
                <w:sz w:val="16"/>
                <w:szCs w:val="16"/>
                <w:color w:val="auto"/>
              </w:rPr>
              <w:t>11.8%</w:t>
            </w:r>
          </w:p>
        </w:tc>
        <w:tc>
          <w:tcPr>
            <w:tcW w:w="1260" w:type="dxa"/>
            <w:vAlign w:val="bottom"/>
            <w:tcBorders>
              <w:bottom w:val="single" w:sz="8" w:color="auto"/>
            </w:tcBorders>
          </w:tcPr>
          <w:p>
            <w:pPr>
              <w:jc w:val="right"/>
              <w:ind w:right="202"/>
              <w:spacing w:after="0" w:line="188" w:lineRule="exact"/>
              <w:rPr>
                <w:sz w:val="20"/>
                <w:szCs w:val="20"/>
                <w:color w:val="auto"/>
              </w:rPr>
            </w:pPr>
            <w:r>
              <w:rPr>
                <w:rFonts w:ascii="Calibri" w:cs="Calibri" w:eastAsia="Calibri" w:hAnsi="Calibri"/>
                <w:sz w:val="16"/>
                <w:szCs w:val="16"/>
                <w:color w:val="auto"/>
              </w:rPr>
              <w:t>540,195</w:t>
            </w:r>
          </w:p>
        </w:tc>
        <w:tc>
          <w:tcPr>
            <w:tcW w:w="760" w:type="dxa"/>
            <w:vAlign w:val="bottom"/>
            <w:tcBorders>
              <w:bottom w:val="single" w:sz="8" w:color="auto"/>
              <w:right w:val="single" w:sz="8" w:color="auto"/>
            </w:tcBorders>
          </w:tcPr>
          <w:p>
            <w:pPr>
              <w:jc w:val="right"/>
              <w:spacing w:after="0" w:line="188" w:lineRule="exact"/>
              <w:rPr>
                <w:sz w:val="20"/>
                <w:szCs w:val="20"/>
                <w:color w:val="auto"/>
              </w:rPr>
            </w:pPr>
            <w:r>
              <w:rPr>
                <w:rFonts w:ascii="Calibri" w:cs="Calibri" w:eastAsia="Calibri" w:hAnsi="Calibri"/>
                <w:sz w:val="16"/>
                <w:szCs w:val="16"/>
                <w:color w:val="auto"/>
              </w:rPr>
              <w:t>621,229</w:t>
            </w:r>
          </w:p>
        </w:tc>
        <w:tc>
          <w:tcPr>
            <w:tcW w:w="1080" w:type="dxa"/>
            <w:vAlign w:val="bottom"/>
            <w:tcBorders>
              <w:bottom w:val="single" w:sz="8" w:color="auto"/>
              <w:right w:val="single" w:sz="8" w:color="auto"/>
            </w:tcBorders>
          </w:tcPr>
          <w:p>
            <w:pPr>
              <w:jc w:val="center"/>
              <w:spacing w:after="0" w:line="188" w:lineRule="exact"/>
              <w:rPr>
                <w:sz w:val="20"/>
                <w:szCs w:val="20"/>
                <w:color w:val="auto"/>
              </w:rPr>
            </w:pPr>
            <w:r>
              <w:rPr>
                <w:rFonts w:ascii="Calibri" w:cs="Calibri" w:eastAsia="Calibri" w:hAnsi="Calibri"/>
                <w:sz w:val="16"/>
                <w:szCs w:val="16"/>
                <w:color w:val="auto"/>
                <w:w w:val="95"/>
              </w:rPr>
              <w:t>15.0%</w:t>
            </w:r>
          </w:p>
        </w:tc>
      </w:tr>
      <w:tr>
        <w:trPr>
          <w:trHeight w:val="183"/>
        </w:trPr>
        <w:tc>
          <w:tcPr>
            <w:tcW w:w="3060" w:type="dxa"/>
            <w:vAlign w:val="bottom"/>
            <w:tcBorders>
              <w:left w:val="single" w:sz="8" w:color="auto"/>
              <w:bottom w:val="single" w:sz="8" w:color="auto"/>
              <w:right w:val="single" w:sz="8" w:color="auto"/>
            </w:tcBorders>
          </w:tcPr>
          <w:p>
            <w:pPr>
              <w:ind w:left="20"/>
              <w:spacing w:after="0" w:line="184" w:lineRule="exact"/>
              <w:rPr>
                <w:sz w:val="20"/>
                <w:szCs w:val="20"/>
                <w:color w:val="auto"/>
              </w:rPr>
            </w:pPr>
            <w:r>
              <w:rPr>
                <w:rFonts w:ascii="Calibri" w:cs="Calibri" w:eastAsia="Calibri" w:hAnsi="Calibri"/>
                <w:sz w:val="16"/>
                <w:szCs w:val="16"/>
                <w:b w:val="1"/>
                <w:bCs w:val="1"/>
                <w:color w:val="auto"/>
              </w:rPr>
              <w:t>Total Operatng Expenses</w:t>
            </w:r>
          </w:p>
        </w:tc>
        <w:tc>
          <w:tcPr>
            <w:tcW w:w="1140" w:type="dxa"/>
            <w:vAlign w:val="bottom"/>
            <w:tcBorders>
              <w:bottom w:val="single" w:sz="8" w:color="auto"/>
            </w:tcBorders>
          </w:tcPr>
          <w:p>
            <w:pPr>
              <w:jc w:val="right"/>
              <w:ind w:right="42"/>
              <w:spacing w:after="0" w:line="184" w:lineRule="exact"/>
              <w:rPr>
                <w:sz w:val="20"/>
                <w:szCs w:val="20"/>
                <w:color w:val="auto"/>
              </w:rPr>
            </w:pPr>
            <w:r>
              <w:rPr>
                <w:rFonts w:ascii="Calibri" w:cs="Calibri" w:eastAsia="Calibri" w:hAnsi="Calibri"/>
                <w:sz w:val="16"/>
                <w:szCs w:val="16"/>
                <w:b w:val="1"/>
                <w:bCs w:val="1"/>
                <w:color w:val="auto"/>
              </w:rPr>
              <w:t>2,270,785</w:t>
            </w:r>
          </w:p>
        </w:tc>
        <w:tc>
          <w:tcPr>
            <w:tcW w:w="1080" w:type="dxa"/>
            <w:vAlign w:val="bottom"/>
            <w:tcBorders>
              <w:bottom w:val="single" w:sz="8" w:color="auto"/>
            </w:tcBorders>
          </w:tcPr>
          <w:p>
            <w:pPr>
              <w:jc w:val="right"/>
              <w:ind w:right="102"/>
              <w:spacing w:after="0" w:line="184" w:lineRule="exact"/>
              <w:rPr>
                <w:sz w:val="20"/>
                <w:szCs w:val="20"/>
                <w:color w:val="auto"/>
              </w:rPr>
            </w:pPr>
            <w:r>
              <w:rPr>
                <w:rFonts w:ascii="Calibri" w:cs="Calibri" w:eastAsia="Calibri" w:hAnsi="Calibri"/>
                <w:sz w:val="16"/>
                <w:szCs w:val="16"/>
                <w:b w:val="1"/>
                <w:bCs w:val="1"/>
                <w:color w:val="auto"/>
              </w:rPr>
              <w:t>2,442,089</w:t>
            </w:r>
          </w:p>
        </w:tc>
        <w:tc>
          <w:tcPr>
            <w:tcW w:w="880" w:type="dxa"/>
            <w:vAlign w:val="bottom"/>
            <w:tcBorders>
              <w:bottom w:val="single" w:sz="8" w:color="auto"/>
              <w:right w:val="single" w:sz="8" w:color="auto"/>
            </w:tcBorders>
          </w:tcPr>
          <w:p>
            <w:pPr>
              <w:jc w:val="right"/>
              <w:spacing w:after="0" w:line="184" w:lineRule="exact"/>
              <w:rPr>
                <w:sz w:val="20"/>
                <w:szCs w:val="20"/>
                <w:color w:val="auto"/>
              </w:rPr>
            </w:pPr>
            <w:r>
              <w:rPr>
                <w:rFonts w:ascii="Calibri" w:cs="Calibri" w:eastAsia="Calibri" w:hAnsi="Calibri"/>
                <w:sz w:val="16"/>
                <w:szCs w:val="16"/>
                <w:b w:val="1"/>
                <w:bCs w:val="1"/>
                <w:color w:val="auto"/>
              </w:rPr>
              <w:t>2,441,547</w:t>
            </w:r>
          </w:p>
        </w:tc>
        <w:tc>
          <w:tcPr>
            <w:tcW w:w="660" w:type="dxa"/>
            <w:vAlign w:val="bottom"/>
            <w:tcBorders>
              <w:bottom w:val="single" w:sz="8" w:color="auto"/>
            </w:tcBorders>
          </w:tcPr>
          <w:p>
            <w:pPr>
              <w:jc w:val="center"/>
              <w:ind w:left="222"/>
              <w:spacing w:after="0" w:line="184" w:lineRule="exact"/>
              <w:rPr>
                <w:sz w:val="20"/>
                <w:szCs w:val="20"/>
                <w:color w:val="auto"/>
              </w:rPr>
            </w:pPr>
            <w:r>
              <w:rPr>
                <w:rFonts w:ascii="Calibri" w:cs="Calibri" w:eastAsia="Calibri" w:hAnsi="Calibri"/>
                <w:sz w:val="16"/>
                <w:szCs w:val="16"/>
                <w:b w:val="1"/>
                <w:bCs w:val="1"/>
                <w:color w:val="auto"/>
                <w:w w:val="99"/>
              </w:rPr>
              <w:t>0.0%</w:t>
            </w:r>
          </w:p>
        </w:tc>
        <w:tc>
          <w:tcPr>
            <w:tcW w:w="1340" w:type="dxa"/>
            <w:vAlign w:val="bottom"/>
            <w:tcBorders>
              <w:bottom w:val="single" w:sz="8" w:color="auto"/>
              <w:right w:val="single" w:sz="8" w:color="auto"/>
            </w:tcBorders>
          </w:tcPr>
          <w:p>
            <w:pPr>
              <w:jc w:val="center"/>
              <w:ind w:left="222"/>
              <w:spacing w:after="0" w:line="184" w:lineRule="exact"/>
              <w:rPr>
                <w:sz w:val="20"/>
                <w:szCs w:val="20"/>
                <w:color w:val="auto"/>
              </w:rPr>
            </w:pPr>
            <w:r>
              <w:rPr>
                <w:rFonts w:ascii="Calibri" w:cs="Calibri" w:eastAsia="Calibri" w:hAnsi="Calibri"/>
                <w:sz w:val="16"/>
                <w:szCs w:val="16"/>
                <w:b w:val="1"/>
                <w:bCs w:val="1"/>
                <w:color w:val="auto"/>
                <w:w w:val="99"/>
              </w:rPr>
              <w:t>7.5%</w:t>
            </w:r>
          </w:p>
        </w:tc>
        <w:tc>
          <w:tcPr>
            <w:tcW w:w="1260" w:type="dxa"/>
            <w:vAlign w:val="bottom"/>
            <w:tcBorders>
              <w:bottom w:val="single" w:sz="8" w:color="auto"/>
            </w:tcBorders>
          </w:tcPr>
          <w:p>
            <w:pPr>
              <w:jc w:val="right"/>
              <w:ind w:right="202"/>
              <w:spacing w:after="0" w:line="184" w:lineRule="exact"/>
              <w:rPr>
                <w:sz w:val="20"/>
                <w:szCs w:val="20"/>
                <w:color w:val="auto"/>
              </w:rPr>
            </w:pPr>
            <w:r>
              <w:rPr>
                <w:rFonts w:ascii="Calibri" w:cs="Calibri" w:eastAsia="Calibri" w:hAnsi="Calibri"/>
                <w:sz w:val="16"/>
                <w:szCs w:val="16"/>
                <w:b w:val="1"/>
                <w:bCs w:val="1"/>
                <w:color w:val="auto"/>
              </w:rPr>
              <w:t>4,383,595</w:t>
            </w:r>
          </w:p>
        </w:tc>
        <w:tc>
          <w:tcPr>
            <w:tcW w:w="760" w:type="dxa"/>
            <w:vAlign w:val="bottom"/>
            <w:tcBorders>
              <w:bottom w:val="single" w:sz="8" w:color="auto"/>
              <w:right w:val="single" w:sz="8" w:color="auto"/>
            </w:tcBorders>
          </w:tcPr>
          <w:p>
            <w:pPr>
              <w:jc w:val="right"/>
              <w:spacing w:after="0" w:line="184" w:lineRule="exact"/>
              <w:rPr>
                <w:sz w:val="20"/>
                <w:szCs w:val="20"/>
                <w:color w:val="auto"/>
              </w:rPr>
            </w:pPr>
            <w:r>
              <w:rPr>
                <w:rFonts w:ascii="Calibri" w:cs="Calibri" w:eastAsia="Calibri" w:hAnsi="Calibri"/>
                <w:sz w:val="16"/>
                <w:szCs w:val="16"/>
                <w:b w:val="1"/>
                <w:bCs w:val="1"/>
                <w:color w:val="auto"/>
              </w:rPr>
              <w:t>4,883,637</w:t>
            </w:r>
          </w:p>
        </w:tc>
        <w:tc>
          <w:tcPr>
            <w:tcW w:w="108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9"/>
              </w:rPr>
              <w:t>11.4%</w:t>
            </w:r>
          </w:p>
        </w:tc>
      </w:tr>
    </w:tbl>
    <w:p>
      <w:pPr>
        <w:spacing w:after="0" w:line="115" w:lineRule="exact"/>
        <w:rPr>
          <w:sz w:val="20"/>
          <w:szCs w:val="20"/>
          <w:color w:val="auto"/>
        </w:rPr>
      </w:pPr>
    </w:p>
    <w:p>
      <w:pPr>
        <w:ind w:left="320" w:hanging="316"/>
        <w:spacing w:after="0"/>
        <w:tabs>
          <w:tab w:leader="none" w:pos="320" w:val="left"/>
        </w:tabs>
        <w:numPr>
          <w:ilvl w:val="0"/>
          <w:numId w:val="49"/>
        </w:numPr>
        <w:rPr>
          <w:rFonts w:ascii="Calibri" w:cs="Calibri" w:eastAsia="Calibri" w:hAnsi="Calibri"/>
          <w:sz w:val="11"/>
          <w:szCs w:val="11"/>
          <w:color w:val="auto"/>
        </w:rPr>
      </w:pPr>
      <w:r>
        <w:rPr>
          <w:rFonts w:ascii="Calibri" w:cs="Calibri" w:eastAsia="Calibri" w:hAnsi="Calibri"/>
          <w:sz w:val="11"/>
          <w:szCs w:val="11"/>
          <w:color w:val="auto"/>
        </w:rPr>
        <w:t>Management fgures.</w:t>
      </w:r>
    </w:p>
    <w:p>
      <w:pPr>
        <w:ind w:left="320" w:hanging="316"/>
        <w:spacing w:after="0" w:line="232" w:lineRule="auto"/>
        <w:tabs>
          <w:tab w:leader="none" w:pos="320" w:val="left"/>
        </w:tabs>
        <w:numPr>
          <w:ilvl w:val="0"/>
          <w:numId w:val="49"/>
        </w:numPr>
        <w:rPr>
          <w:rFonts w:ascii="Calibri" w:cs="Calibri" w:eastAsia="Calibri" w:hAnsi="Calibri"/>
          <w:sz w:val="11"/>
          <w:szCs w:val="11"/>
          <w:color w:val="auto"/>
        </w:rPr>
      </w:pPr>
      <w:r>
        <w:rPr>
          <w:rFonts w:ascii="Calibri" w:cs="Calibri" w:eastAsia="Calibri" w:hAnsi="Calibri"/>
          <w:sz w:val="11"/>
          <w:szCs w:val="11"/>
          <w:color w:val="auto"/>
        </w:rPr>
        <w:t>Includes innovaton portolio initatves in subsidiaries and Krealo.</w:t>
      </w:r>
    </w:p>
    <w:p>
      <w:pPr>
        <w:spacing w:after="0" w:line="251"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YoY, the 11.4% increase in operatng expenses was primarily driven by our core businesses, led by: (i) BCP Stand-alone, due to an increase in provisions for variable compensaton, and (ii) Pacífco, which reported growth in Employee Salaries and benefts on the back of the consolidaton of the operatons of Empresas Banmédica, which began in March 2025.</w:t>
      </w:r>
    </w:p>
    <w:p>
      <w:pPr>
        <w:spacing w:after="0" w:line="4"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Innovaton portolio expenses represented 12.7% of total expenses, rising 15.0% YTD. In the frst half of 2025, Yape, Tenpo and Culqi accounted for 83% of the total expenses for innovaton portolio initatves.</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Growth in expenses for core businesses at BCP Stand-alone was fueled by:</w:t>
      </w:r>
    </w:p>
    <w:p>
      <w:pPr>
        <w:spacing w:after="0" w:line="222" w:lineRule="exact"/>
        <w:rPr>
          <w:sz w:val="20"/>
          <w:szCs w:val="20"/>
          <w:color w:val="auto"/>
        </w:rPr>
      </w:pPr>
    </w:p>
    <w:p>
      <w:pPr>
        <w:ind w:left="760" w:hanging="301"/>
        <w:spacing w:after="0"/>
        <w:tabs>
          <w:tab w:leader="none" w:pos="760" w:val="left"/>
        </w:tabs>
        <w:numPr>
          <w:ilvl w:val="0"/>
          <w:numId w:val="50"/>
        </w:numPr>
        <w:rPr>
          <w:rFonts w:ascii="Calibri" w:cs="Calibri" w:eastAsia="Calibri" w:hAnsi="Calibri"/>
          <w:sz w:val="17"/>
          <w:szCs w:val="17"/>
          <w:color w:val="auto"/>
        </w:rPr>
      </w:pPr>
      <w:r>
        <w:rPr>
          <w:rFonts w:ascii="Calibri" w:cs="Calibri" w:eastAsia="Calibri" w:hAnsi="Calibri"/>
          <w:sz w:val="17"/>
          <w:szCs w:val="17"/>
          <w:b w:val="1"/>
          <w:bCs w:val="1"/>
          <w:color w:val="auto"/>
        </w:rPr>
        <w:t>Core business expenses excluding IT</w:t>
      </w:r>
    </w:p>
    <w:p>
      <w:pPr>
        <w:spacing w:after="0" w:line="2" w:lineRule="exact"/>
        <w:rPr>
          <w:rFonts w:ascii="Calibri" w:cs="Calibri" w:eastAsia="Calibri" w:hAnsi="Calibri"/>
          <w:sz w:val="17"/>
          <w:szCs w:val="17"/>
          <w:color w:val="auto"/>
        </w:rPr>
      </w:pPr>
    </w:p>
    <w:p>
      <w:pPr>
        <w:ind w:left="1400" w:hanging="316"/>
        <w:spacing w:after="0" w:line="239" w:lineRule="auto"/>
        <w:tabs>
          <w:tab w:leader="none" w:pos="1400" w:val="left"/>
        </w:tabs>
        <w:numPr>
          <w:ilvl w:val="1"/>
          <w:numId w:val="50"/>
        </w:numPr>
        <w:rPr>
          <w:rFonts w:ascii="Calibri" w:cs="Calibri" w:eastAsia="Calibri" w:hAnsi="Calibri"/>
          <w:sz w:val="17"/>
          <w:szCs w:val="17"/>
          <w:color w:val="auto"/>
        </w:rPr>
      </w:pPr>
      <w:r>
        <w:rPr>
          <w:rFonts w:ascii="Calibri" w:cs="Calibri" w:eastAsia="Calibri" w:hAnsi="Calibri"/>
          <w:sz w:val="17"/>
          <w:szCs w:val="17"/>
          <w:color w:val="auto"/>
        </w:rPr>
        <w:t>Growth in expenses for Salaries and Employee Benefts due to (i) provisions for variable compensaton, in line with higher results, and (ii) an increase in headcount.</w:t>
      </w:r>
    </w:p>
    <w:p>
      <w:pPr>
        <w:spacing w:after="0" w:line="1" w:lineRule="exact"/>
        <w:rPr>
          <w:rFonts w:ascii="Calibri" w:cs="Calibri" w:eastAsia="Calibri" w:hAnsi="Calibri"/>
          <w:sz w:val="17"/>
          <w:szCs w:val="17"/>
          <w:color w:val="auto"/>
        </w:rPr>
      </w:pPr>
    </w:p>
    <w:p>
      <w:pPr>
        <w:ind w:left="760" w:hanging="301"/>
        <w:spacing w:after="0"/>
        <w:tabs>
          <w:tab w:leader="none" w:pos="760" w:val="left"/>
        </w:tabs>
        <w:numPr>
          <w:ilvl w:val="0"/>
          <w:numId w:val="50"/>
        </w:numPr>
        <w:rPr>
          <w:rFonts w:ascii="Calibri" w:cs="Calibri" w:eastAsia="Calibri" w:hAnsi="Calibri"/>
          <w:sz w:val="17"/>
          <w:szCs w:val="17"/>
          <w:color w:val="auto"/>
        </w:rPr>
      </w:pPr>
      <w:r>
        <w:rPr>
          <w:rFonts w:ascii="Calibri" w:cs="Calibri" w:eastAsia="Calibri" w:hAnsi="Calibri"/>
          <w:sz w:val="17"/>
          <w:szCs w:val="17"/>
          <w:b w:val="1"/>
          <w:bCs w:val="1"/>
          <w:color w:val="auto"/>
        </w:rPr>
        <w:t>Technology expenses (IT)</w:t>
      </w:r>
    </w:p>
    <w:p>
      <w:pPr>
        <w:ind w:left="1400" w:hanging="316"/>
        <w:spacing w:after="0"/>
        <w:tabs>
          <w:tab w:leader="none" w:pos="1400" w:val="left"/>
        </w:tabs>
        <w:numPr>
          <w:ilvl w:val="1"/>
          <w:numId w:val="50"/>
        </w:numPr>
        <w:rPr>
          <w:rFonts w:ascii="Calibri" w:cs="Calibri" w:eastAsia="Calibri" w:hAnsi="Calibri"/>
          <w:sz w:val="17"/>
          <w:szCs w:val="17"/>
          <w:color w:val="auto"/>
        </w:rPr>
      </w:pPr>
      <w:r>
        <w:rPr>
          <w:rFonts w:ascii="Calibri" w:cs="Calibri" w:eastAsia="Calibri" w:hAnsi="Calibri"/>
          <w:sz w:val="17"/>
          <w:szCs w:val="17"/>
          <w:color w:val="auto"/>
        </w:rPr>
        <w:t>More personnel with specialized digital capacites were hired with above-average salaries, in line with strategic project executon.</w:t>
      </w:r>
    </w:p>
    <w:p>
      <w:pPr>
        <w:spacing w:after="0" w:line="2" w:lineRule="exact"/>
        <w:rPr>
          <w:rFonts w:ascii="Calibri" w:cs="Calibri" w:eastAsia="Calibri" w:hAnsi="Calibri"/>
          <w:sz w:val="17"/>
          <w:szCs w:val="17"/>
          <w:color w:val="auto"/>
        </w:rPr>
      </w:pPr>
    </w:p>
    <w:p>
      <w:pPr>
        <w:ind w:left="1400" w:hanging="316"/>
        <w:spacing w:after="0" w:line="239" w:lineRule="auto"/>
        <w:tabs>
          <w:tab w:leader="none" w:pos="1400" w:val="left"/>
        </w:tabs>
        <w:numPr>
          <w:ilvl w:val="1"/>
          <w:numId w:val="50"/>
        </w:numPr>
        <w:rPr>
          <w:rFonts w:ascii="Calibri" w:cs="Calibri" w:eastAsia="Calibri" w:hAnsi="Calibri"/>
          <w:sz w:val="17"/>
          <w:szCs w:val="17"/>
          <w:color w:val="auto"/>
        </w:rPr>
      </w:pPr>
      <w:r>
        <w:rPr>
          <w:rFonts w:ascii="Calibri" w:cs="Calibri" w:eastAsia="Calibri" w:hAnsi="Calibri"/>
          <w:sz w:val="17"/>
          <w:szCs w:val="17"/>
          <w:color w:val="auto"/>
        </w:rPr>
        <w:t>Growth in expenses for the use of data processing servers, which refects growth in the volume of transactons through digital channels as clients become increasingly digitalized. Total monetary transactons through digital channels rose 58.2% and 68.2%,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932180</wp:posOffset>
            </wp:positionV>
            <wp:extent cx="713740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139065</wp:posOffset>
            </wp:positionV>
            <wp:extent cx="6484620" cy="652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84620" cy="65278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1" w:name="page42"/>
    <w:bookmarkEnd w:id="41"/>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121920</wp:posOffset>
            </wp:positionV>
            <wp:extent cx="7137400" cy="628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09 </w:t>
      </w:r>
      <w:r>
        <w:rPr>
          <w:rFonts w:ascii="Calibri" w:cs="Calibri" w:eastAsia="Calibri" w:hAnsi="Calibri"/>
          <w:sz w:val="31"/>
          <w:szCs w:val="31"/>
          <w:color w:val="E93BAC"/>
        </w:rPr>
        <w:t>Operatng Efciency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137400" cy="3302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7400" cy="330200"/>
                    </a:xfrm>
                    <a:prstGeom prst="rect">
                      <a:avLst/>
                    </a:prstGeom>
                    <a:noFill/>
                  </pic:spPr>
                </pic:pic>
              </a:graphicData>
            </a:graphic>
          </wp:anchor>
        </w:drawing>
      </w:r>
    </w:p>
    <w:p>
      <w:pPr>
        <w:spacing w:after="0" w:line="277" w:lineRule="exact"/>
        <w:rPr>
          <w:sz w:val="20"/>
          <w:szCs w:val="20"/>
          <w:color w:val="auto"/>
        </w:rPr>
      </w:pPr>
    </w:p>
    <w:p>
      <w:pPr>
        <w:ind w:left="120" w:right="140"/>
        <w:spacing w:after="0" w:line="239" w:lineRule="auto"/>
        <w:rPr>
          <w:sz w:val="20"/>
          <w:szCs w:val="20"/>
          <w:color w:val="auto"/>
        </w:rPr>
      </w:pPr>
      <w:r>
        <w:rPr>
          <w:rFonts w:ascii="Calibri" w:cs="Calibri" w:eastAsia="Calibri" w:hAnsi="Calibri"/>
          <w:sz w:val="17"/>
          <w:szCs w:val="17"/>
          <w:color w:val="FFFFFF"/>
        </w:rPr>
        <w:t>YTD, the efciency rato deteriorated 143 bps as growth in operatng expenses outpaced the expansion reported for operatng income. This evoluton was in line with an increase in expenses for the core business at BCP Stand-alone and for innovaton initatves at the Credicorp level.</w:t>
      </w:r>
    </w:p>
    <w:p>
      <w:pPr>
        <w:spacing w:after="0" w:line="24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Efciency rato </w:t>
      </w:r>
      <w:r>
        <w:rPr>
          <w:rFonts w:ascii="Calibri" w:cs="Calibri" w:eastAsia="Calibri" w:hAnsi="Calibri"/>
          <w:sz w:val="28"/>
          <w:szCs w:val="28"/>
          <w:b w:val="1"/>
          <w:bCs w:val="1"/>
          <w:color w:val="auto"/>
          <w:vertAlign w:val="superscript"/>
        </w:rPr>
        <w:t>(1)</w:t>
      </w:r>
      <w:r>
        <w:rPr>
          <w:rFonts w:ascii="Calibri" w:cs="Calibri" w:eastAsia="Calibri" w:hAnsi="Calibri"/>
          <w:sz w:val="17"/>
          <w:szCs w:val="17"/>
          <w:b w:val="1"/>
          <w:bCs w:val="1"/>
          <w:color w:val="auto"/>
        </w:rPr>
        <w:t xml:space="preserve"> reported by subsidiary</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280" w:type="dxa"/>
            <w:vAlign w:val="bottom"/>
            <w:tcBorders>
              <w:top w:val="single" w:sz="8" w:color="auto"/>
              <w:left w:val="single" w:sz="8" w:color="auto"/>
              <w:right w:val="single" w:sz="8" w:color="auto"/>
            </w:tcBorders>
            <w:shd w:val="clear" w:color="auto" w:fill="33CCCC"/>
          </w:tcPr>
          <w:p>
            <w:pPr>
              <w:ind w:left="800"/>
              <w:spacing w:after="0"/>
              <w:rPr>
                <w:sz w:val="20"/>
                <w:szCs w:val="20"/>
                <w:color w:val="auto"/>
              </w:rPr>
            </w:pPr>
            <w:r>
              <w:rPr>
                <w:rFonts w:ascii="Calibri" w:cs="Calibri" w:eastAsia="Calibri" w:hAnsi="Calibri"/>
                <w:sz w:val="16"/>
                <w:szCs w:val="16"/>
                <w:b w:val="1"/>
                <w:bCs w:val="1"/>
                <w:color w:val="FFFFFF"/>
              </w:rPr>
              <w:t>Subsidiary</w:t>
            </w:r>
          </w:p>
        </w:tc>
        <w:tc>
          <w:tcPr>
            <w:tcW w:w="1100" w:type="dxa"/>
            <w:vAlign w:val="bottom"/>
            <w:tcBorders>
              <w:top w:val="single" w:sz="8" w:color="auto"/>
            </w:tcBorders>
            <w:shd w:val="clear" w:color="auto" w:fill="33CCCC"/>
          </w:tcPr>
          <w:p>
            <w:pPr>
              <w:spacing w:after="0"/>
              <w:rPr>
                <w:sz w:val="17"/>
                <w:szCs w:val="17"/>
                <w:color w:val="auto"/>
              </w:rPr>
            </w:pPr>
          </w:p>
        </w:tc>
        <w:tc>
          <w:tcPr>
            <w:tcW w:w="1200" w:type="dxa"/>
            <w:vAlign w:val="bottom"/>
            <w:tcBorders>
              <w:top w:val="single" w:sz="8" w:color="auto"/>
            </w:tcBorders>
            <w:shd w:val="clear" w:color="auto" w:fill="33CCCC"/>
          </w:tcPr>
          <w:p>
            <w:pPr>
              <w:ind w:left="340"/>
              <w:spacing w:after="0"/>
              <w:rPr>
                <w:sz w:val="20"/>
                <w:szCs w:val="20"/>
                <w:color w:val="auto"/>
              </w:rPr>
            </w:pPr>
            <w:r>
              <w:rPr>
                <w:rFonts w:ascii="Calibri" w:cs="Calibri" w:eastAsia="Calibri" w:hAnsi="Calibri"/>
                <w:sz w:val="16"/>
                <w:szCs w:val="16"/>
                <w:b w:val="1"/>
                <w:bCs w:val="1"/>
                <w:color w:val="FFFFFF"/>
              </w:rPr>
              <w:t>Quarter</w:t>
            </w:r>
          </w:p>
        </w:tc>
        <w:tc>
          <w:tcPr>
            <w:tcW w:w="1120" w:type="dxa"/>
            <w:vAlign w:val="bottom"/>
            <w:tcBorders>
              <w:top w:val="single" w:sz="8" w:color="auto"/>
              <w:right w:val="single" w:sz="8" w:color="auto"/>
            </w:tcBorders>
            <w:shd w:val="clear" w:color="auto" w:fill="33CCCC"/>
          </w:tcPr>
          <w:p>
            <w:pPr>
              <w:spacing w:after="0"/>
              <w:rPr>
                <w:sz w:val="17"/>
                <w:szCs w:val="17"/>
                <w:color w:val="auto"/>
              </w:rPr>
            </w:pPr>
          </w:p>
        </w:tc>
        <w:tc>
          <w:tcPr>
            <w:tcW w:w="2280" w:type="dxa"/>
            <w:vAlign w:val="bottom"/>
            <w:tcBorders>
              <w:top w:val="single" w:sz="8" w:color="auto"/>
              <w:right w:val="single" w:sz="8" w:color="auto"/>
            </w:tcBorders>
            <w:gridSpan w:val="2"/>
            <w:shd w:val="clear" w:color="auto" w:fill="33CCCC"/>
          </w:tcPr>
          <w:p>
            <w:pPr>
              <w:ind w:left="820"/>
              <w:spacing w:after="0"/>
              <w:rPr>
                <w:sz w:val="20"/>
                <w:szCs w:val="20"/>
                <w:color w:val="auto"/>
              </w:rPr>
            </w:pPr>
            <w:r>
              <w:rPr>
                <w:rFonts w:ascii="Calibri" w:cs="Calibri" w:eastAsia="Calibri" w:hAnsi="Calibri"/>
                <w:sz w:val="16"/>
                <w:szCs w:val="16"/>
                <w:b w:val="1"/>
                <w:bCs w:val="1"/>
                <w:color w:val="FFFFFF"/>
              </w:rPr>
              <w:t>% change</w:t>
            </w:r>
          </w:p>
        </w:tc>
        <w:tc>
          <w:tcPr>
            <w:tcW w:w="860" w:type="dxa"/>
            <w:vAlign w:val="bottom"/>
            <w:tcBorders>
              <w:top w:val="single" w:sz="8" w:color="auto"/>
            </w:tcBorders>
            <w:shd w:val="clear" w:color="auto" w:fill="33CCCC"/>
          </w:tcPr>
          <w:p>
            <w:pPr>
              <w:spacing w:after="0"/>
              <w:rPr>
                <w:sz w:val="17"/>
                <w:szCs w:val="17"/>
                <w:color w:val="auto"/>
              </w:rPr>
            </w:pPr>
          </w:p>
        </w:tc>
        <w:tc>
          <w:tcPr>
            <w:tcW w:w="1400" w:type="dxa"/>
            <w:vAlign w:val="bottom"/>
            <w:tcBorders>
              <w:top w:val="single" w:sz="8" w:color="auto"/>
              <w:right w:val="single" w:sz="8" w:color="auto"/>
            </w:tcBorders>
            <w:shd w:val="clear" w:color="auto" w:fill="33CCCC"/>
          </w:tcPr>
          <w:p>
            <w:pPr>
              <w:ind w:left="100"/>
              <w:spacing w:after="0"/>
              <w:rPr>
                <w:sz w:val="20"/>
                <w:szCs w:val="20"/>
                <w:color w:val="auto"/>
              </w:rPr>
            </w:pPr>
            <w:r>
              <w:rPr>
                <w:rFonts w:ascii="Calibri" w:cs="Calibri" w:eastAsia="Calibri" w:hAnsi="Calibri"/>
                <w:sz w:val="16"/>
                <w:szCs w:val="16"/>
                <w:b w:val="1"/>
                <w:bCs w:val="1"/>
                <w:color w:val="FFFFFF"/>
              </w:rPr>
              <w:t>As of</w:t>
            </w:r>
          </w:p>
        </w:tc>
        <w:tc>
          <w:tcPr>
            <w:tcW w:w="10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w w:val="98"/>
              </w:rPr>
              <w:t>% change</w:t>
            </w:r>
          </w:p>
        </w:tc>
      </w:tr>
      <w:tr>
        <w:trPr>
          <w:trHeight w:val="210"/>
        </w:trPr>
        <w:tc>
          <w:tcPr>
            <w:tcW w:w="2280" w:type="dxa"/>
            <w:vAlign w:val="bottom"/>
            <w:tcBorders>
              <w:left w:val="single" w:sz="8" w:color="auto"/>
              <w:bottom w:val="single" w:sz="8" w:color="33CCCC"/>
              <w:right w:val="single" w:sz="8" w:color="auto"/>
            </w:tcBorders>
            <w:shd w:val="clear" w:color="auto" w:fill="33CCCC"/>
          </w:tcPr>
          <w:p>
            <w:pPr>
              <w:spacing w:after="0"/>
              <w:rPr>
                <w:sz w:val="17"/>
                <w:szCs w:val="17"/>
                <w:color w:val="auto"/>
              </w:rPr>
            </w:pPr>
          </w:p>
        </w:tc>
        <w:tc>
          <w:tcPr>
            <w:tcW w:w="1100" w:type="dxa"/>
            <w:vAlign w:val="bottom"/>
            <w:tcBorders>
              <w:bottom w:val="single" w:sz="8" w:color="33CCCC"/>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6"/>
              </w:rPr>
              <w:t>2Q24</w:t>
            </w:r>
          </w:p>
        </w:tc>
        <w:tc>
          <w:tcPr>
            <w:tcW w:w="1200" w:type="dxa"/>
            <w:vAlign w:val="bottom"/>
            <w:tcBorders>
              <w:bottom w:val="single" w:sz="8" w:color="33CCCC"/>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6"/>
              </w:rPr>
              <w:t>1Q25</w:t>
            </w:r>
          </w:p>
        </w:tc>
        <w:tc>
          <w:tcPr>
            <w:tcW w:w="1120" w:type="dxa"/>
            <w:vAlign w:val="bottom"/>
            <w:tcBorders>
              <w:bottom w:val="single" w:sz="8" w:color="33CCCC"/>
              <w:right w:val="single" w:sz="8" w:color="auto"/>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6"/>
              </w:rPr>
              <w:t>2Q25</w:t>
            </w:r>
          </w:p>
        </w:tc>
        <w:tc>
          <w:tcPr>
            <w:tcW w:w="1120" w:type="dxa"/>
            <w:vAlign w:val="bottom"/>
            <w:tcBorders>
              <w:bottom w:val="single" w:sz="8" w:color="33CCCC"/>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8"/>
              </w:rPr>
              <w:t>QoQ</w:t>
            </w:r>
          </w:p>
        </w:tc>
        <w:tc>
          <w:tcPr>
            <w:tcW w:w="1160" w:type="dxa"/>
            <w:vAlign w:val="bottom"/>
            <w:tcBorders>
              <w:bottom w:val="single" w:sz="8" w:color="33CCCC"/>
              <w:right w:val="single" w:sz="8" w:color="auto"/>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4"/>
              </w:rPr>
              <w:t>YoY</w:t>
            </w:r>
          </w:p>
        </w:tc>
        <w:tc>
          <w:tcPr>
            <w:tcW w:w="860" w:type="dxa"/>
            <w:vAlign w:val="bottom"/>
            <w:tcBorders>
              <w:bottom w:val="single" w:sz="8" w:color="33CCCC"/>
            </w:tcBorders>
            <w:shd w:val="clear" w:color="auto" w:fill="33CCCC"/>
          </w:tcPr>
          <w:p>
            <w:pPr>
              <w:jc w:val="center"/>
              <w:ind w:left="162"/>
              <w:spacing w:after="0" w:line="185" w:lineRule="exact"/>
              <w:rPr>
                <w:sz w:val="20"/>
                <w:szCs w:val="20"/>
                <w:color w:val="auto"/>
              </w:rPr>
            </w:pPr>
            <w:r>
              <w:rPr>
                <w:rFonts w:ascii="Calibri" w:cs="Calibri" w:eastAsia="Calibri" w:hAnsi="Calibri"/>
                <w:sz w:val="16"/>
                <w:szCs w:val="16"/>
                <w:b w:val="1"/>
                <w:bCs w:val="1"/>
                <w:color w:val="FFFFFF"/>
                <w:w w:val="98"/>
              </w:rPr>
              <w:t>1H24</w:t>
            </w:r>
          </w:p>
        </w:tc>
        <w:tc>
          <w:tcPr>
            <w:tcW w:w="1400" w:type="dxa"/>
            <w:vAlign w:val="bottom"/>
            <w:tcBorders>
              <w:bottom w:val="single" w:sz="8" w:color="33CCCC"/>
              <w:right w:val="single" w:sz="8" w:color="auto"/>
            </w:tcBorders>
            <w:shd w:val="clear" w:color="auto" w:fill="33CCCC"/>
          </w:tcPr>
          <w:p>
            <w:pPr>
              <w:jc w:val="center"/>
              <w:ind w:left="142"/>
              <w:spacing w:after="0" w:line="185" w:lineRule="exact"/>
              <w:rPr>
                <w:sz w:val="20"/>
                <w:szCs w:val="20"/>
                <w:color w:val="auto"/>
              </w:rPr>
            </w:pPr>
            <w:r>
              <w:rPr>
                <w:rFonts w:ascii="Calibri" w:cs="Calibri" w:eastAsia="Calibri" w:hAnsi="Calibri"/>
                <w:sz w:val="16"/>
                <w:szCs w:val="16"/>
                <w:b w:val="1"/>
                <w:bCs w:val="1"/>
                <w:color w:val="FFFFFF"/>
                <w:w w:val="98"/>
              </w:rPr>
              <w:t>1H25</w:t>
            </w:r>
          </w:p>
        </w:tc>
        <w:tc>
          <w:tcPr>
            <w:tcW w:w="1020" w:type="dxa"/>
            <w:vAlign w:val="bottom"/>
            <w:tcBorders>
              <w:bottom w:val="single" w:sz="8" w:color="33CCCC"/>
              <w:right w:val="single" w:sz="8" w:color="auto"/>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8"/>
              </w:rPr>
              <w:t>1H25 / 1H24</w:t>
            </w:r>
          </w:p>
        </w:tc>
      </w:tr>
      <w:tr>
        <w:trPr>
          <w:trHeight w:val="171"/>
        </w:trPr>
        <w:tc>
          <w:tcPr>
            <w:tcW w:w="2280" w:type="dxa"/>
            <w:vAlign w:val="bottom"/>
            <w:tcBorders>
              <w:top w:val="single" w:sz="8" w:color="auto"/>
              <w:left w:val="single" w:sz="8" w:color="auto"/>
              <w:right w:val="single" w:sz="8" w:color="auto"/>
            </w:tcBorders>
          </w:tcPr>
          <w:p>
            <w:pPr>
              <w:ind w:left="20"/>
              <w:spacing w:after="0" w:line="171" w:lineRule="exact"/>
              <w:rPr>
                <w:sz w:val="20"/>
                <w:szCs w:val="20"/>
                <w:color w:val="auto"/>
              </w:rPr>
            </w:pPr>
            <w:r>
              <w:rPr>
                <w:rFonts w:ascii="Calibri" w:cs="Calibri" w:eastAsia="Calibri" w:hAnsi="Calibri"/>
                <w:sz w:val="16"/>
                <w:szCs w:val="16"/>
                <w:color w:val="auto"/>
              </w:rPr>
              <w:t>BCP Stand-alone</w:t>
            </w:r>
          </w:p>
        </w:tc>
        <w:tc>
          <w:tcPr>
            <w:tcW w:w="110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5"/>
              </w:rPr>
              <w:t>37.1%</w:t>
            </w:r>
          </w:p>
        </w:tc>
        <w:tc>
          <w:tcPr>
            <w:tcW w:w="120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5"/>
              </w:rPr>
              <w:t>37.7%</w:t>
            </w:r>
          </w:p>
        </w:tc>
        <w:tc>
          <w:tcPr>
            <w:tcW w:w="112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color w:val="auto"/>
              </w:rPr>
              <w:t>38.3%</w:t>
            </w:r>
          </w:p>
        </w:tc>
        <w:tc>
          <w:tcPr>
            <w:tcW w:w="112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3"/>
              </w:rPr>
              <w:t>70 bps</w:t>
            </w:r>
          </w:p>
        </w:tc>
        <w:tc>
          <w:tcPr>
            <w:tcW w:w="116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7"/>
              </w:rPr>
              <w:t>130 bps</w:t>
            </w:r>
          </w:p>
        </w:tc>
        <w:tc>
          <w:tcPr>
            <w:tcW w:w="860" w:type="dxa"/>
            <w:vAlign w:val="bottom"/>
            <w:tcBorders>
              <w:top w:val="single" w:sz="8" w:color="auto"/>
            </w:tcBorders>
          </w:tcPr>
          <w:p>
            <w:pPr>
              <w:jc w:val="center"/>
              <w:ind w:left="162"/>
              <w:spacing w:after="0" w:line="171" w:lineRule="exact"/>
              <w:rPr>
                <w:sz w:val="20"/>
                <w:szCs w:val="20"/>
                <w:color w:val="auto"/>
              </w:rPr>
            </w:pPr>
            <w:r>
              <w:rPr>
                <w:rFonts w:ascii="Calibri" w:cs="Calibri" w:eastAsia="Calibri" w:hAnsi="Calibri"/>
                <w:sz w:val="16"/>
                <w:szCs w:val="16"/>
                <w:color w:val="auto"/>
                <w:w w:val="95"/>
              </w:rPr>
              <w:t>36.1%</w:t>
            </w:r>
          </w:p>
        </w:tc>
        <w:tc>
          <w:tcPr>
            <w:tcW w:w="1400" w:type="dxa"/>
            <w:vAlign w:val="bottom"/>
            <w:tcBorders>
              <w:top w:val="single" w:sz="8" w:color="auto"/>
              <w:right w:val="single" w:sz="8" w:color="auto"/>
            </w:tcBorders>
          </w:tcPr>
          <w:p>
            <w:pPr>
              <w:jc w:val="center"/>
              <w:ind w:left="142"/>
              <w:spacing w:after="0" w:line="171" w:lineRule="exact"/>
              <w:rPr>
                <w:sz w:val="20"/>
                <w:szCs w:val="20"/>
                <w:color w:val="auto"/>
              </w:rPr>
            </w:pPr>
            <w:r>
              <w:rPr>
                <w:rFonts w:ascii="Calibri" w:cs="Calibri" w:eastAsia="Calibri" w:hAnsi="Calibri"/>
                <w:sz w:val="16"/>
                <w:szCs w:val="16"/>
                <w:color w:val="auto"/>
                <w:w w:val="95"/>
              </w:rPr>
              <w:t>38.0%</w:t>
            </w:r>
          </w:p>
        </w:tc>
        <w:tc>
          <w:tcPr>
            <w:tcW w:w="102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color w:val="auto"/>
                <w:w w:val="97"/>
              </w:rPr>
              <w:t>190 bps</w:t>
            </w:r>
          </w:p>
        </w:tc>
      </w:tr>
      <w:tr>
        <w:trPr>
          <w:trHeight w:val="185"/>
        </w:trPr>
        <w:tc>
          <w:tcPr>
            <w:tcW w:w="2280" w:type="dxa"/>
            <w:vAlign w:val="bottom"/>
            <w:tcBorders>
              <w:left w:val="single" w:sz="8" w:color="auto"/>
              <w:right w:val="single" w:sz="8" w:color="auto"/>
            </w:tcBorders>
          </w:tcPr>
          <w:p>
            <w:pPr>
              <w:ind w:left="20"/>
              <w:spacing w:after="0" w:line="185" w:lineRule="exact"/>
              <w:rPr>
                <w:sz w:val="20"/>
                <w:szCs w:val="20"/>
                <w:color w:val="auto"/>
              </w:rPr>
            </w:pPr>
            <w:r>
              <w:rPr>
                <w:rFonts w:ascii="Calibri" w:cs="Calibri" w:eastAsia="Calibri" w:hAnsi="Calibri"/>
                <w:sz w:val="16"/>
                <w:szCs w:val="16"/>
                <w:color w:val="auto"/>
              </w:rPr>
              <w:t>BCP Bolivia</w:t>
            </w:r>
          </w:p>
        </w:tc>
        <w:tc>
          <w:tcPr>
            <w:tcW w:w="1100" w:type="dxa"/>
            <w:vAlign w:val="bottom"/>
          </w:tcPr>
          <w:p>
            <w:pPr>
              <w:jc w:val="center"/>
              <w:spacing w:after="0" w:line="185" w:lineRule="exact"/>
              <w:rPr>
                <w:sz w:val="20"/>
                <w:szCs w:val="20"/>
                <w:color w:val="auto"/>
              </w:rPr>
            </w:pPr>
            <w:r>
              <w:rPr>
                <w:rFonts w:ascii="Calibri" w:cs="Calibri" w:eastAsia="Calibri" w:hAnsi="Calibri"/>
                <w:sz w:val="16"/>
                <w:szCs w:val="16"/>
                <w:color w:val="auto"/>
                <w:w w:val="95"/>
              </w:rPr>
              <w:t>58.2%</w:t>
            </w:r>
          </w:p>
        </w:tc>
        <w:tc>
          <w:tcPr>
            <w:tcW w:w="1200" w:type="dxa"/>
            <w:vAlign w:val="bottom"/>
          </w:tcPr>
          <w:p>
            <w:pPr>
              <w:jc w:val="center"/>
              <w:spacing w:after="0" w:line="185" w:lineRule="exact"/>
              <w:rPr>
                <w:sz w:val="20"/>
                <w:szCs w:val="20"/>
                <w:color w:val="auto"/>
              </w:rPr>
            </w:pPr>
            <w:r>
              <w:rPr>
                <w:rFonts w:ascii="Calibri" w:cs="Calibri" w:eastAsia="Calibri" w:hAnsi="Calibri"/>
                <w:sz w:val="16"/>
                <w:szCs w:val="16"/>
                <w:color w:val="auto"/>
                <w:w w:val="95"/>
              </w:rPr>
              <w:t>69.6%</w:t>
            </w:r>
          </w:p>
        </w:tc>
        <w:tc>
          <w:tcPr>
            <w:tcW w:w="11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rPr>
              <w:t>67.3%</w:t>
            </w:r>
          </w:p>
        </w:tc>
        <w:tc>
          <w:tcPr>
            <w:tcW w:w="1120" w:type="dxa"/>
            <w:vAlign w:val="bottom"/>
          </w:tcPr>
          <w:p>
            <w:pPr>
              <w:jc w:val="center"/>
              <w:spacing w:after="0" w:line="185" w:lineRule="exact"/>
              <w:rPr>
                <w:sz w:val="20"/>
                <w:szCs w:val="20"/>
                <w:color w:val="auto"/>
              </w:rPr>
            </w:pPr>
            <w:r>
              <w:rPr>
                <w:rFonts w:ascii="Calibri" w:cs="Calibri" w:eastAsia="Calibri" w:hAnsi="Calibri"/>
                <w:sz w:val="16"/>
                <w:szCs w:val="16"/>
                <w:color w:val="auto"/>
              </w:rPr>
              <w:t>-230 bps</w:t>
            </w:r>
          </w:p>
        </w:tc>
        <w:tc>
          <w:tcPr>
            <w:tcW w:w="11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7"/>
              </w:rPr>
              <w:t>910 bps</w:t>
            </w:r>
          </w:p>
        </w:tc>
        <w:tc>
          <w:tcPr>
            <w:tcW w:w="860" w:type="dxa"/>
            <w:vAlign w:val="bottom"/>
          </w:tcPr>
          <w:p>
            <w:pPr>
              <w:jc w:val="center"/>
              <w:ind w:left="162"/>
              <w:spacing w:after="0" w:line="185" w:lineRule="exact"/>
              <w:rPr>
                <w:sz w:val="20"/>
                <w:szCs w:val="20"/>
                <w:color w:val="auto"/>
              </w:rPr>
            </w:pPr>
            <w:r>
              <w:rPr>
                <w:rFonts w:ascii="Calibri" w:cs="Calibri" w:eastAsia="Calibri" w:hAnsi="Calibri"/>
                <w:sz w:val="16"/>
                <w:szCs w:val="16"/>
                <w:color w:val="auto"/>
                <w:w w:val="95"/>
              </w:rPr>
              <w:t>58.1%</w:t>
            </w:r>
          </w:p>
        </w:tc>
        <w:tc>
          <w:tcPr>
            <w:tcW w:w="1400" w:type="dxa"/>
            <w:vAlign w:val="bottom"/>
            <w:tcBorders>
              <w:right w:val="single" w:sz="8" w:color="auto"/>
            </w:tcBorders>
          </w:tcPr>
          <w:p>
            <w:pPr>
              <w:jc w:val="center"/>
              <w:ind w:left="142"/>
              <w:spacing w:after="0" w:line="185" w:lineRule="exact"/>
              <w:rPr>
                <w:sz w:val="20"/>
                <w:szCs w:val="20"/>
                <w:color w:val="auto"/>
              </w:rPr>
            </w:pPr>
            <w:r>
              <w:rPr>
                <w:rFonts w:ascii="Calibri" w:cs="Calibri" w:eastAsia="Calibri" w:hAnsi="Calibri"/>
                <w:sz w:val="16"/>
                <w:szCs w:val="16"/>
                <w:color w:val="auto"/>
                <w:w w:val="95"/>
              </w:rPr>
              <w:t>68.8%</w:t>
            </w:r>
          </w:p>
        </w:tc>
        <w:tc>
          <w:tcPr>
            <w:tcW w:w="10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8"/>
              </w:rPr>
              <w:t>1070 bps</w:t>
            </w:r>
          </w:p>
        </w:tc>
      </w:tr>
      <w:tr>
        <w:trPr>
          <w:trHeight w:val="195"/>
        </w:trPr>
        <w:tc>
          <w:tcPr>
            <w:tcW w:w="22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Mibanco Peru</w:t>
            </w:r>
          </w:p>
        </w:tc>
        <w:tc>
          <w:tcPr>
            <w:tcW w:w="1100" w:type="dxa"/>
            <w:vAlign w:val="bottom"/>
          </w:tcPr>
          <w:p>
            <w:pPr>
              <w:jc w:val="center"/>
              <w:spacing w:after="0"/>
              <w:rPr>
                <w:sz w:val="20"/>
                <w:szCs w:val="20"/>
                <w:color w:val="auto"/>
              </w:rPr>
            </w:pPr>
            <w:r>
              <w:rPr>
                <w:rFonts w:ascii="Calibri" w:cs="Calibri" w:eastAsia="Calibri" w:hAnsi="Calibri"/>
                <w:sz w:val="16"/>
                <w:szCs w:val="16"/>
                <w:color w:val="auto"/>
                <w:w w:val="95"/>
              </w:rPr>
              <w:t>51.0%</w:t>
            </w:r>
          </w:p>
        </w:tc>
        <w:tc>
          <w:tcPr>
            <w:tcW w:w="1200" w:type="dxa"/>
            <w:vAlign w:val="bottom"/>
          </w:tcPr>
          <w:p>
            <w:pPr>
              <w:jc w:val="center"/>
              <w:spacing w:after="0"/>
              <w:rPr>
                <w:sz w:val="20"/>
                <w:szCs w:val="20"/>
                <w:color w:val="auto"/>
              </w:rPr>
            </w:pPr>
            <w:r>
              <w:rPr>
                <w:rFonts w:ascii="Calibri" w:cs="Calibri" w:eastAsia="Calibri" w:hAnsi="Calibri"/>
                <w:sz w:val="16"/>
                <w:szCs w:val="16"/>
                <w:color w:val="auto"/>
                <w:w w:val="95"/>
              </w:rPr>
              <w:t>52.9%</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52.0%</w:t>
            </w:r>
          </w:p>
        </w:tc>
        <w:tc>
          <w:tcPr>
            <w:tcW w:w="1120" w:type="dxa"/>
            <w:vAlign w:val="bottom"/>
          </w:tcPr>
          <w:p>
            <w:pPr>
              <w:jc w:val="center"/>
              <w:spacing w:after="0"/>
              <w:rPr>
                <w:sz w:val="20"/>
                <w:szCs w:val="20"/>
                <w:color w:val="auto"/>
              </w:rPr>
            </w:pPr>
            <w:r>
              <w:rPr>
                <w:rFonts w:ascii="Calibri" w:cs="Calibri" w:eastAsia="Calibri" w:hAnsi="Calibri"/>
                <w:sz w:val="16"/>
                <w:szCs w:val="16"/>
                <w:color w:val="auto"/>
              </w:rPr>
              <w:t>-90 bps</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7"/>
              </w:rPr>
              <w:t>100 bps</w:t>
            </w:r>
          </w:p>
        </w:tc>
        <w:tc>
          <w:tcPr>
            <w:tcW w:w="860" w:type="dxa"/>
            <w:vAlign w:val="bottom"/>
          </w:tcPr>
          <w:p>
            <w:pPr>
              <w:jc w:val="center"/>
              <w:ind w:left="162"/>
              <w:spacing w:after="0"/>
              <w:rPr>
                <w:sz w:val="20"/>
                <w:szCs w:val="20"/>
                <w:color w:val="auto"/>
              </w:rPr>
            </w:pPr>
            <w:r>
              <w:rPr>
                <w:rFonts w:ascii="Calibri" w:cs="Calibri" w:eastAsia="Calibri" w:hAnsi="Calibri"/>
                <w:sz w:val="16"/>
                <w:szCs w:val="16"/>
                <w:color w:val="auto"/>
                <w:w w:val="95"/>
              </w:rPr>
              <w:t>52.1%</w:t>
            </w:r>
          </w:p>
        </w:tc>
        <w:tc>
          <w:tcPr>
            <w:tcW w:w="1400" w:type="dxa"/>
            <w:vAlign w:val="bottom"/>
            <w:tcBorders>
              <w:right w:val="single" w:sz="8" w:color="auto"/>
            </w:tcBorders>
          </w:tcPr>
          <w:p>
            <w:pPr>
              <w:jc w:val="center"/>
              <w:ind w:left="142"/>
              <w:spacing w:after="0"/>
              <w:rPr>
                <w:sz w:val="20"/>
                <w:szCs w:val="20"/>
                <w:color w:val="auto"/>
              </w:rPr>
            </w:pPr>
            <w:r>
              <w:rPr>
                <w:rFonts w:ascii="Calibri" w:cs="Calibri" w:eastAsia="Calibri" w:hAnsi="Calibri"/>
                <w:sz w:val="16"/>
                <w:szCs w:val="16"/>
                <w:color w:val="auto"/>
                <w:w w:val="95"/>
              </w:rPr>
              <w:t>52.4%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7"/>
              </w:rPr>
              <w:t>30 bps</w:t>
            </w:r>
          </w:p>
        </w:tc>
      </w:tr>
      <w:tr>
        <w:trPr>
          <w:trHeight w:val="195"/>
        </w:trPr>
        <w:tc>
          <w:tcPr>
            <w:tcW w:w="22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Mibanco Colombia</w:t>
            </w:r>
          </w:p>
        </w:tc>
        <w:tc>
          <w:tcPr>
            <w:tcW w:w="1100" w:type="dxa"/>
            <w:vAlign w:val="bottom"/>
          </w:tcPr>
          <w:p>
            <w:pPr>
              <w:jc w:val="center"/>
              <w:spacing w:after="0"/>
              <w:rPr>
                <w:sz w:val="20"/>
                <w:szCs w:val="20"/>
                <w:color w:val="auto"/>
              </w:rPr>
            </w:pPr>
            <w:r>
              <w:rPr>
                <w:rFonts w:ascii="Calibri" w:cs="Calibri" w:eastAsia="Calibri" w:hAnsi="Calibri"/>
                <w:sz w:val="16"/>
                <w:szCs w:val="16"/>
                <w:color w:val="auto"/>
                <w:w w:val="95"/>
              </w:rPr>
              <w:t>78.9%</w:t>
            </w:r>
          </w:p>
        </w:tc>
        <w:tc>
          <w:tcPr>
            <w:tcW w:w="1200" w:type="dxa"/>
            <w:vAlign w:val="bottom"/>
          </w:tcPr>
          <w:p>
            <w:pPr>
              <w:jc w:val="center"/>
              <w:spacing w:after="0"/>
              <w:rPr>
                <w:sz w:val="20"/>
                <w:szCs w:val="20"/>
                <w:color w:val="auto"/>
              </w:rPr>
            </w:pPr>
            <w:r>
              <w:rPr>
                <w:rFonts w:ascii="Calibri" w:cs="Calibri" w:eastAsia="Calibri" w:hAnsi="Calibri"/>
                <w:sz w:val="16"/>
                <w:szCs w:val="16"/>
                <w:color w:val="auto"/>
                <w:w w:val="95"/>
              </w:rPr>
              <w:t>70.6%</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65.5%</w:t>
            </w:r>
          </w:p>
        </w:tc>
        <w:tc>
          <w:tcPr>
            <w:tcW w:w="1120" w:type="dxa"/>
            <w:vAlign w:val="bottom"/>
          </w:tcPr>
          <w:p>
            <w:pPr>
              <w:jc w:val="center"/>
              <w:spacing w:after="0"/>
              <w:rPr>
                <w:sz w:val="20"/>
                <w:szCs w:val="20"/>
                <w:color w:val="auto"/>
              </w:rPr>
            </w:pPr>
            <w:r>
              <w:rPr>
                <w:rFonts w:ascii="Calibri" w:cs="Calibri" w:eastAsia="Calibri" w:hAnsi="Calibri"/>
                <w:sz w:val="16"/>
                <w:szCs w:val="16"/>
                <w:color w:val="auto"/>
              </w:rPr>
              <w:t>-520 bps</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6"/>
              </w:rPr>
              <w:t>-1340 bps</w:t>
            </w:r>
          </w:p>
        </w:tc>
        <w:tc>
          <w:tcPr>
            <w:tcW w:w="860" w:type="dxa"/>
            <w:vAlign w:val="bottom"/>
          </w:tcPr>
          <w:p>
            <w:pPr>
              <w:jc w:val="center"/>
              <w:ind w:left="162"/>
              <w:spacing w:after="0"/>
              <w:rPr>
                <w:sz w:val="20"/>
                <w:szCs w:val="20"/>
                <w:color w:val="auto"/>
              </w:rPr>
            </w:pPr>
            <w:r>
              <w:rPr>
                <w:rFonts w:ascii="Calibri" w:cs="Calibri" w:eastAsia="Calibri" w:hAnsi="Calibri"/>
                <w:sz w:val="16"/>
                <w:szCs w:val="16"/>
                <w:color w:val="auto"/>
                <w:w w:val="95"/>
              </w:rPr>
              <w:t>82.1%</w:t>
            </w:r>
          </w:p>
        </w:tc>
        <w:tc>
          <w:tcPr>
            <w:tcW w:w="1400" w:type="dxa"/>
            <w:vAlign w:val="bottom"/>
            <w:tcBorders>
              <w:right w:val="single" w:sz="8" w:color="auto"/>
            </w:tcBorders>
          </w:tcPr>
          <w:p>
            <w:pPr>
              <w:jc w:val="center"/>
              <w:ind w:left="142"/>
              <w:spacing w:after="0"/>
              <w:rPr>
                <w:sz w:val="20"/>
                <w:szCs w:val="20"/>
                <w:color w:val="auto"/>
              </w:rPr>
            </w:pPr>
            <w:r>
              <w:rPr>
                <w:rFonts w:ascii="Calibri" w:cs="Calibri" w:eastAsia="Calibri" w:hAnsi="Calibri"/>
                <w:sz w:val="16"/>
                <w:szCs w:val="16"/>
                <w:color w:val="auto"/>
                <w:w w:val="95"/>
              </w:rPr>
              <w:t>67.9%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6"/>
              </w:rPr>
              <w:t>-1420 bps</w:t>
            </w:r>
          </w:p>
        </w:tc>
      </w:tr>
      <w:tr>
        <w:trPr>
          <w:trHeight w:val="195"/>
        </w:trPr>
        <w:tc>
          <w:tcPr>
            <w:tcW w:w="22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Pacífco</w:t>
            </w:r>
          </w:p>
        </w:tc>
        <w:tc>
          <w:tcPr>
            <w:tcW w:w="1100" w:type="dxa"/>
            <w:vAlign w:val="bottom"/>
          </w:tcPr>
          <w:p>
            <w:pPr>
              <w:jc w:val="center"/>
              <w:spacing w:after="0"/>
              <w:rPr>
                <w:sz w:val="20"/>
                <w:szCs w:val="20"/>
                <w:color w:val="auto"/>
              </w:rPr>
            </w:pPr>
            <w:r>
              <w:rPr>
                <w:rFonts w:ascii="Calibri" w:cs="Calibri" w:eastAsia="Calibri" w:hAnsi="Calibri"/>
                <w:sz w:val="16"/>
                <w:szCs w:val="16"/>
                <w:color w:val="auto"/>
                <w:w w:val="95"/>
              </w:rPr>
              <w:t>27.5%</w:t>
            </w:r>
          </w:p>
        </w:tc>
        <w:tc>
          <w:tcPr>
            <w:tcW w:w="1200" w:type="dxa"/>
            <w:vAlign w:val="bottom"/>
          </w:tcPr>
          <w:p>
            <w:pPr>
              <w:jc w:val="center"/>
              <w:spacing w:after="0"/>
              <w:rPr>
                <w:sz w:val="20"/>
                <w:szCs w:val="20"/>
                <w:color w:val="auto"/>
              </w:rPr>
            </w:pPr>
            <w:r>
              <w:rPr>
                <w:rFonts w:ascii="Calibri" w:cs="Calibri" w:eastAsia="Calibri" w:hAnsi="Calibri"/>
                <w:sz w:val="16"/>
                <w:szCs w:val="16"/>
                <w:color w:val="auto"/>
                <w:w w:val="95"/>
              </w:rPr>
              <w:t>31.5%</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37.5%</w:t>
            </w:r>
          </w:p>
        </w:tc>
        <w:tc>
          <w:tcPr>
            <w:tcW w:w="1120" w:type="dxa"/>
            <w:vAlign w:val="bottom"/>
          </w:tcPr>
          <w:p>
            <w:pPr>
              <w:jc w:val="center"/>
              <w:spacing w:after="0"/>
              <w:rPr>
                <w:sz w:val="20"/>
                <w:szCs w:val="20"/>
                <w:color w:val="auto"/>
              </w:rPr>
            </w:pPr>
            <w:r>
              <w:rPr>
                <w:rFonts w:ascii="Calibri" w:cs="Calibri" w:eastAsia="Calibri" w:hAnsi="Calibri"/>
                <w:sz w:val="16"/>
                <w:szCs w:val="16"/>
                <w:color w:val="auto"/>
                <w:w w:val="94"/>
              </w:rPr>
              <w:t>600 bps</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1000 bps</w:t>
            </w:r>
          </w:p>
        </w:tc>
        <w:tc>
          <w:tcPr>
            <w:tcW w:w="860" w:type="dxa"/>
            <w:vAlign w:val="bottom"/>
          </w:tcPr>
          <w:p>
            <w:pPr>
              <w:jc w:val="center"/>
              <w:ind w:left="162"/>
              <w:spacing w:after="0"/>
              <w:rPr>
                <w:sz w:val="20"/>
                <w:szCs w:val="20"/>
                <w:color w:val="auto"/>
              </w:rPr>
            </w:pPr>
            <w:r>
              <w:rPr>
                <w:rFonts w:ascii="Calibri" w:cs="Calibri" w:eastAsia="Calibri" w:hAnsi="Calibri"/>
                <w:sz w:val="16"/>
                <w:szCs w:val="16"/>
                <w:color w:val="auto"/>
                <w:w w:val="95"/>
              </w:rPr>
              <w:t>27.6%</w:t>
            </w:r>
          </w:p>
        </w:tc>
        <w:tc>
          <w:tcPr>
            <w:tcW w:w="1400" w:type="dxa"/>
            <w:vAlign w:val="bottom"/>
            <w:tcBorders>
              <w:right w:val="single" w:sz="8" w:color="auto"/>
            </w:tcBorders>
          </w:tcPr>
          <w:p>
            <w:pPr>
              <w:jc w:val="center"/>
              <w:ind w:left="142"/>
              <w:spacing w:after="0"/>
              <w:rPr>
                <w:sz w:val="20"/>
                <w:szCs w:val="20"/>
                <w:color w:val="auto"/>
              </w:rPr>
            </w:pPr>
            <w:r>
              <w:rPr>
                <w:rFonts w:ascii="Calibri" w:cs="Calibri" w:eastAsia="Calibri" w:hAnsi="Calibri"/>
                <w:sz w:val="16"/>
                <w:szCs w:val="16"/>
                <w:color w:val="auto"/>
                <w:w w:val="95"/>
              </w:rPr>
              <w:t>44.6%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1700 bps</w:t>
            </w:r>
          </w:p>
        </w:tc>
      </w:tr>
      <w:tr>
        <w:trPr>
          <w:trHeight w:val="195"/>
        </w:trPr>
        <w:tc>
          <w:tcPr>
            <w:tcW w:w="22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Prima AFP</w:t>
            </w:r>
          </w:p>
        </w:tc>
        <w:tc>
          <w:tcPr>
            <w:tcW w:w="1100" w:type="dxa"/>
            <w:vAlign w:val="bottom"/>
          </w:tcPr>
          <w:p>
            <w:pPr>
              <w:jc w:val="center"/>
              <w:spacing w:after="0"/>
              <w:rPr>
                <w:sz w:val="20"/>
                <w:szCs w:val="20"/>
                <w:color w:val="auto"/>
              </w:rPr>
            </w:pPr>
            <w:r>
              <w:rPr>
                <w:rFonts w:ascii="Calibri" w:cs="Calibri" w:eastAsia="Calibri" w:hAnsi="Calibri"/>
                <w:sz w:val="16"/>
                <w:szCs w:val="16"/>
                <w:color w:val="auto"/>
                <w:w w:val="95"/>
              </w:rPr>
              <w:t>52.1%</w:t>
            </w:r>
          </w:p>
        </w:tc>
        <w:tc>
          <w:tcPr>
            <w:tcW w:w="1200" w:type="dxa"/>
            <w:vAlign w:val="bottom"/>
          </w:tcPr>
          <w:p>
            <w:pPr>
              <w:jc w:val="center"/>
              <w:spacing w:after="0"/>
              <w:rPr>
                <w:sz w:val="20"/>
                <w:szCs w:val="20"/>
                <w:color w:val="auto"/>
              </w:rPr>
            </w:pPr>
            <w:r>
              <w:rPr>
                <w:rFonts w:ascii="Calibri" w:cs="Calibri" w:eastAsia="Calibri" w:hAnsi="Calibri"/>
                <w:sz w:val="16"/>
                <w:szCs w:val="16"/>
                <w:color w:val="auto"/>
                <w:w w:val="95"/>
              </w:rPr>
              <w:t>54.4%</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51.4%</w:t>
            </w:r>
          </w:p>
        </w:tc>
        <w:tc>
          <w:tcPr>
            <w:tcW w:w="1120" w:type="dxa"/>
            <w:vAlign w:val="bottom"/>
          </w:tcPr>
          <w:p>
            <w:pPr>
              <w:jc w:val="center"/>
              <w:spacing w:after="0"/>
              <w:rPr>
                <w:sz w:val="20"/>
                <w:szCs w:val="20"/>
                <w:color w:val="auto"/>
              </w:rPr>
            </w:pPr>
            <w:r>
              <w:rPr>
                <w:rFonts w:ascii="Calibri" w:cs="Calibri" w:eastAsia="Calibri" w:hAnsi="Calibri"/>
                <w:sz w:val="16"/>
                <w:szCs w:val="16"/>
                <w:color w:val="auto"/>
              </w:rPr>
              <w:t>-310 bps</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6"/>
              </w:rPr>
              <w:t>-80 bps</w:t>
            </w:r>
          </w:p>
        </w:tc>
        <w:tc>
          <w:tcPr>
            <w:tcW w:w="860" w:type="dxa"/>
            <w:vAlign w:val="bottom"/>
          </w:tcPr>
          <w:p>
            <w:pPr>
              <w:jc w:val="center"/>
              <w:ind w:left="162"/>
              <w:spacing w:after="0"/>
              <w:rPr>
                <w:sz w:val="20"/>
                <w:szCs w:val="20"/>
                <w:color w:val="auto"/>
              </w:rPr>
            </w:pPr>
            <w:r>
              <w:rPr>
                <w:rFonts w:ascii="Calibri" w:cs="Calibri" w:eastAsia="Calibri" w:hAnsi="Calibri"/>
                <w:sz w:val="16"/>
                <w:szCs w:val="16"/>
                <w:color w:val="auto"/>
                <w:w w:val="95"/>
              </w:rPr>
              <w:t>51.3%</w:t>
            </w:r>
          </w:p>
        </w:tc>
        <w:tc>
          <w:tcPr>
            <w:tcW w:w="1400" w:type="dxa"/>
            <w:vAlign w:val="bottom"/>
            <w:tcBorders>
              <w:right w:val="single" w:sz="8" w:color="auto"/>
            </w:tcBorders>
          </w:tcPr>
          <w:p>
            <w:pPr>
              <w:jc w:val="center"/>
              <w:ind w:left="142"/>
              <w:spacing w:after="0"/>
              <w:rPr>
                <w:sz w:val="20"/>
                <w:szCs w:val="20"/>
                <w:color w:val="auto"/>
              </w:rPr>
            </w:pPr>
            <w:r>
              <w:rPr>
                <w:rFonts w:ascii="Calibri" w:cs="Calibri" w:eastAsia="Calibri" w:hAnsi="Calibri"/>
                <w:sz w:val="16"/>
                <w:szCs w:val="16"/>
                <w:color w:val="auto"/>
                <w:w w:val="95"/>
              </w:rPr>
              <w:t>52.9%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7"/>
              </w:rPr>
              <w:t>160 bps</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83"/>
        </w:trPr>
        <w:tc>
          <w:tcPr>
            <w:tcW w:w="2280" w:type="dxa"/>
            <w:vAlign w:val="bottom"/>
            <w:tcBorders>
              <w:left w:val="single" w:sz="8" w:color="auto"/>
              <w:bottom w:val="single" w:sz="8" w:color="auto"/>
              <w:right w:val="single" w:sz="8" w:color="auto"/>
            </w:tcBorders>
          </w:tcPr>
          <w:p>
            <w:pPr>
              <w:ind w:left="20"/>
              <w:spacing w:after="0" w:line="184" w:lineRule="exact"/>
              <w:rPr>
                <w:sz w:val="20"/>
                <w:szCs w:val="20"/>
                <w:color w:val="auto"/>
              </w:rPr>
            </w:pPr>
            <w:r>
              <w:rPr>
                <w:rFonts w:ascii="Calibri" w:cs="Calibri" w:eastAsia="Calibri" w:hAnsi="Calibri"/>
                <w:sz w:val="16"/>
                <w:szCs w:val="16"/>
                <w:b w:val="1"/>
                <w:bCs w:val="1"/>
                <w:color w:val="auto"/>
              </w:rPr>
              <w:t>Credicorp</w:t>
            </w:r>
          </w:p>
        </w:tc>
        <w:tc>
          <w:tcPr>
            <w:tcW w:w="110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9"/>
              </w:rPr>
              <w:t>44.2%</w:t>
            </w:r>
          </w:p>
        </w:tc>
        <w:tc>
          <w:tcPr>
            <w:tcW w:w="120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4"/>
              </w:rPr>
              <w:t>45.7%</w:t>
            </w:r>
          </w:p>
        </w:tc>
        <w:tc>
          <w:tcPr>
            <w:tcW w:w="112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9"/>
              </w:rPr>
              <w:t>44.2%</w:t>
            </w:r>
          </w:p>
        </w:tc>
        <w:tc>
          <w:tcPr>
            <w:tcW w:w="112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9"/>
              </w:rPr>
              <w:t>-160 bps</w:t>
            </w:r>
          </w:p>
        </w:tc>
        <w:tc>
          <w:tcPr>
            <w:tcW w:w="116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6"/>
              </w:rPr>
              <w:t>0 bps</w:t>
            </w:r>
          </w:p>
        </w:tc>
        <w:tc>
          <w:tcPr>
            <w:tcW w:w="860" w:type="dxa"/>
            <w:vAlign w:val="bottom"/>
            <w:tcBorders>
              <w:bottom w:val="single" w:sz="8" w:color="auto"/>
            </w:tcBorders>
          </w:tcPr>
          <w:p>
            <w:pPr>
              <w:jc w:val="center"/>
              <w:ind w:left="162"/>
              <w:spacing w:after="0" w:line="184" w:lineRule="exact"/>
              <w:rPr>
                <w:sz w:val="20"/>
                <w:szCs w:val="20"/>
                <w:color w:val="auto"/>
              </w:rPr>
            </w:pPr>
            <w:r>
              <w:rPr>
                <w:rFonts w:ascii="Calibri" w:cs="Calibri" w:eastAsia="Calibri" w:hAnsi="Calibri"/>
                <w:sz w:val="16"/>
                <w:szCs w:val="16"/>
                <w:b w:val="1"/>
                <w:bCs w:val="1"/>
                <w:color w:val="auto"/>
                <w:w w:val="94"/>
              </w:rPr>
              <w:t>43.5%</w:t>
            </w:r>
          </w:p>
        </w:tc>
        <w:tc>
          <w:tcPr>
            <w:tcW w:w="1400" w:type="dxa"/>
            <w:vAlign w:val="bottom"/>
            <w:tcBorders>
              <w:bottom w:val="single" w:sz="8" w:color="auto"/>
              <w:right w:val="single" w:sz="8" w:color="auto"/>
            </w:tcBorders>
          </w:tcPr>
          <w:p>
            <w:pPr>
              <w:jc w:val="center"/>
              <w:ind w:left="142"/>
              <w:spacing w:after="0" w:line="184" w:lineRule="exact"/>
              <w:rPr>
                <w:sz w:val="20"/>
                <w:szCs w:val="20"/>
                <w:color w:val="auto"/>
              </w:rPr>
            </w:pPr>
            <w:r>
              <w:rPr>
                <w:rFonts w:ascii="Calibri" w:cs="Calibri" w:eastAsia="Calibri" w:hAnsi="Calibri"/>
                <w:sz w:val="16"/>
                <w:szCs w:val="16"/>
                <w:b w:val="1"/>
                <w:bCs w:val="1"/>
                <w:color w:val="auto"/>
                <w:w w:val="94"/>
              </w:rPr>
              <w:t>44.9%</w:t>
            </w:r>
          </w:p>
        </w:tc>
        <w:tc>
          <w:tcPr>
            <w:tcW w:w="102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6"/>
              </w:rPr>
              <w:t>143 bps</w:t>
            </w:r>
          </w:p>
        </w:tc>
      </w:tr>
    </w:tbl>
    <w:p>
      <w:pPr>
        <w:spacing w:after="0" w:line="158" w:lineRule="exact"/>
        <w:rPr>
          <w:sz w:val="20"/>
          <w:szCs w:val="20"/>
          <w:color w:val="auto"/>
        </w:rPr>
      </w:pPr>
    </w:p>
    <w:p>
      <w:pPr>
        <w:ind w:firstLine="4"/>
        <w:spacing w:after="0" w:line="235" w:lineRule="auto"/>
        <w:tabs>
          <w:tab w:leader="none" w:pos="163" w:val="left"/>
        </w:tabs>
        <w:numPr>
          <w:ilvl w:val="0"/>
          <w:numId w:val="51"/>
        </w:numPr>
        <w:rPr>
          <w:rFonts w:ascii="Calibri" w:cs="Calibri" w:eastAsia="Calibri" w:hAnsi="Calibri"/>
          <w:sz w:val="12"/>
          <w:szCs w:val="12"/>
          <w:color w:val="auto"/>
        </w:rPr>
      </w:pPr>
      <w:r>
        <w:rPr>
          <w:rFonts w:ascii="Calibri" w:cs="Calibri" w:eastAsia="Calibri" w:hAnsi="Calibri"/>
          <w:sz w:val="12"/>
          <w:szCs w:val="12"/>
          <w:color w:val="auto"/>
        </w:rPr>
        <w:t>Operatng expenses / Operatng income (under IFRS 1). Operatng expenses = Salaries and employee benefts + Administratve expenses + Depreciaton and amortzaton + Associaton in partcipaton + Acquisiton cost. Operatng income = Net interest, similar income, and expenses + Fee income + Net gain on foreign exchange transactons + Net gain from associates + Net gain on derivatves held for trading + Net gain from exchange diferences + Insurance Underwritng Results + Results for Medical Services</w:t>
      </w:r>
    </w:p>
    <w:p>
      <w:pPr>
        <w:spacing w:after="0" w:line="248" w:lineRule="exact"/>
        <w:rPr>
          <w:sz w:val="20"/>
          <w:szCs w:val="20"/>
          <w:color w:val="auto"/>
        </w:rPr>
      </w:pPr>
    </w:p>
    <w:p>
      <w:pPr>
        <w:spacing w:after="0"/>
        <w:rPr>
          <w:sz w:val="20"/>
          <w:szCs w:val="20"/>
          <w:color w:val="auto"/>
        </w:rPr>
      </w:pPr>
      <w:r>
        <w:rPr>
          <w:rFonts w:ascii="Calibri" w:cs="Calibri" w:eastAsia="Calibri" w:hAnsi="Calibri"/>
          <w:sz w:val="17"/>
          <w:szCs w:val="17"/>
          <w:color w:val="auto"/>
        </w:rPr>
        <w:t>The analysis the be based on YTD movements to eliminate the efect of seasonality between quarters.</w:t>
      </w:r>
    </w:p>
    <w:p>
      <w:pPr>
        <w:spacing w:after="0" w:line="197"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The efciency rato deteriorated 143 bps over the period. This evoluton was driven mainly by an uptck in operatng expenses through (i) core business at BCP, which registered growth in Employee Salaries and Benefts and in Administratve Expenses, and (ii) initatves in the innovaton portolio at Credicorp. The increase in operatng expenses was accompanied by growth in ordinary income.</w:t>
      </w:r>
    </w:p>
    <w:p>
      <w:pPr>
        <w:spacing w:after="0" w:line="21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It is important to note that as of 1Q25, a change was implemented in the calculaton of the efciency rato. Specifcally, within Operatng Income, expenses for credit card fdelity programs are neted in the Fee Income line instead of the General and Administratve Expenses line, as was the case prior to 1Q25.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849630</wp:posOffset>
            </wp:positionV>
            <wp:extent cx="713740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139065</wp:posOffset>
            </wp:positionV>
            <wp:extent cx="6459855" cy="5702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59855" cy="57023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2" w:name="page43"/>
    <w:bookmarkEnd w:id="42"/>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121920</wp:posOffset>
            </wp:positionV>
            <wp:extent cx="7137400" cy="628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10 </w:t>
      </w:r>
      <w:r>
        <w:rPr>
          <w:rFonts w:ascii="Calibri" w:cs="Calibri" w:eastAsia="Calibri" w:hAnsi="Calibri"/>
          <w:sz w:val="31"/>
          <w:szCs w:val="31"/>
          <w:color w:val="E93B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137400" cy="1057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7400" cy="1057275"/>
                    </a:xfrm>
                    <a:prstGeom prst="rect">
                      <a:avLst/>
                    </a:prstGeom>
                    <a:noFill/>
                  </pic:spPr>
                </pic:pic>
              </a:graphicData>
            </a:graphic>
          </wp:anchor>
        </w:drawing>
      </w:r>
    </w:p>
    <w:p>
      <w:pPr>
        <w:spacing w:after="0" w:line="289" w:lineRule="exact"/>
        <w:rPr>
          <w:sz w:val="20"/>
          <w:szCs w:val="20"/>
          <w:color w:val="auto"/>
        </w:rPr>
      </w:pPr>
    </w:p>
    <w:p>
      <w:pPr>
        <w:ind w:left="120"/>
        <w:spacing w:after="0"/>
        <w:rPr>
          <w:sz w:val="20"/>
          <w:szCs w:val="20"/>
          <w:color w:val="auto"/>
        </w:rPr>
      </w:pPr>
      <w:r>
        <w:rPr>
          <w:rFonts w:ascii="Calibri" w:cs="Calibri" w:eastAsia="Calibri" w:hAnsi="Calibri"/>
          <w:sz w:val="17"/>
          <w:szCs w:val="17"/>
          <w:color w:val="FFFFFF"/>
        </w:rPr>
        <w:t>The Regulatory Capital Rato at Credicorp was 135% higher than the regulatory minimum.</w:t>
      </w:r>
    </w:p>
    <w:p>
      <w:pPr>
        <w:spacing w:after="0" w:line="288" w:lineRule="exact"/>
        <w:rPr>
          <w:sz w:val="20"/>
          <w:szCs w:val="20"/>
          <w:color w:val="auto"/>
        </w:rPr>
      </w:pPr>
    </w:p>
    <w:p>
      <w:pPr>
        <w:ind w:left="120" w:right="120"/>
        <w:spacing w:after="0" w:line="239" w:lineRule="auto"/>
        <w:rPr>
          <w:sz w:val="20"/>
          <w:szCs w:val="20"/>
          <w:color w:val="auto"/>
        </w:rPr>
      </w:pPr>
      <w:r>
        <w:rPr>
          <w:rFonts w:ascii="Calibri" w:cs="Calibri" w:eastAsia="Calibri" w:hAnsi="Calibri"/>
          <w:sz w:val="17"/>
          <w:szCs w:val="17"/>
          <w:color w:val="FFFFFF"/>
        </w:rPr>
        <w:t>IFRS CET1 at BCP Stand-alone rose 51 bps YoY to stand at 12.56%, which is above our appette of 11%. Growth was driven by an uptck in Retained Earnings, which was atributable to business growth and partally ofset by an increase in operatng RWAS, which was fueled by growth in the bank’s margin.</w:t>
      </w:r>
    </w:p>
    <w:p>
      <w:pPr>
        <w:spacing w:after="0" w:line="211" w:lineRule="exact"/>
        <w:rPr>
          <w:sz w:val="20"/>
          <w:szCs w:val="20"/>
          <w:color w:val="auto"/>
        </w:rPr>
      </w:pPr>
    </w:p>
    <w:p>
      <w:pPr>
        <w:ind w:left="120" w:right="140"/>
        <w:spacing w:after="0" w:line="239" w:lineRule="auto"/>
        <w:rPr>
          <w:sz w:val="20"/>
          <w:szCs w:val="20"/>
          <w:color w:val="auto"/>
        </w:rPr>
      </w:pPr>
      <w:r>
        <w:rPr>
          <w:rFonts w:ascii="Calibri" w:cs="Calibri" w:eastAsia="Calibri" w:hAnsi="Calibri"/>
          <w:sz w:val="17"/>
          <w:szCs w:val="17"/>
          <w:color w:val="FFFFFF"/>
        </w:rPr>
        <w:t>Mibanco’s IFRS CET1 stood at 16.73%, which was aligned with our internal appette of 15%. This evoluton was driven by a drop in operatng RWAs, which was ofset by a decrease in Retained earnings, which fell on the back of dividend payments.</w:t>
      </w:r>
    </w:p>
    <w:p>
      <w:pPr>
        <w:spacing w:after="0" w:line="273" w:lineRule="exact"/>
        <w:rPr>
          <w:sz w:val="20"/>
          <w:szCs w:val="20"/>
          <w:color w:val="auto"/>
        </w:rPr>
      </w:pPr>
    </w:p>
    <w:p>
      <w:pPr>
        <w:spacing w:after="0"/>
        <w:tabs>
          <w:tab w:leader="none" w:pos="7640" w:val="left"/>
        </w:tabs>
        <w:rPr>
          <w:sz w:val="20"/>
          <w:szCs w:val="20"/>
          <w:color w:val="auto"/>
        </w:rPr>
      </w:pPr>
      <w:r>
        <w:rPr>
          <w:rFonts w:ascii="Calibri" w:cs="Calibri" w:eastAsia="Calibri" w:hAnsi="Calibri"/>
          <w:sz w:val="17"/>
          <w:szCs w:val="17"/>
          <w:b w:val="1"/>
          <w:bCs w:val="1"/>
          <w:color w:val="auto"/>
        </w:rPr>
        <w:t>10.1 Regulatory Capital at Credicorp</w:t>
      </w:r>
      <w:r>
        <w:rPr>
          <w:sz w:val="20"/>
          <w:szCs w:val="20"/>
          <w:color w:val="auto"/>
        </w:rPr>
        <w:tab/>
      </w:r>
      <w:r>
        <w:rPr>
          <w:rFonts w:ascii="Calibri" w:cs="Calibri" w:eastAsia="Calibri" w:hAnsi="Calibri"/>
          <w:sz w:val="18"/>
          <w:szCs w:val="18"/>
          <w:b w:val="1"/>
          <w:bCs w:val="1"/>
          <w:color w:val="auto"/>
        </w:rPr>
        <w:t>Capital Coverage 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148590</wp:posOffset>
            </wp:positionV>
            <wp:extent cx="3072765" cy="14624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072765" cy="146240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Capital Analysis of the Financial Group</w:t>
      </w:r>
    </w:p>
    <w:p>
      <w:pPr>
        <w:spacing w:after="0" w:line="262" w:lineRule="exact"/>
        <w:rPr>
          <w:sz w:val="20"/>
          <w:szCs w:val="20"/>
          <w:color w:val="auto"/>
        </w:rPr>
      </w:pPr>
    </w:p>
    <w:p>
      <w:pPr>
        <w:jc w:val="both"/>
        <w:ind w:right="5840"/>
        <w:spacing w:after="0"/>
        <w:rPr>
          <w:sz w:val="20"/>
          <w:szCs w:val="20"/>
          <w:color w:val="auto"/>
        </w:rPr>
      </w:pPr>
      <w:r>
        <w:rPr>
          <w:rFonts w:ascii="Calibri" w:cs="Calibri" w:eastAsia="Calibri" w:hAnsi="Calibri"/>
          <w:sz w:val="17"/>
          <w:szCs w:val="17"/>
          <w:color w:val="auto"/>
        </w:rPr>
        <w:t xml:space="preserve">At the end of 2Q25, Credicorp’s Regulatory Capital Rato stood 135% above the regulatory minimum. This atests to the Group’s fnancial solidity and stability. The rato dropped 351 bps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fueled primarily by a decrease in Discretonary Reserves due to dividend payments. This decline was partally ofset by an increase in Retained Earnings, which was driven by business growth and by a reducton in regulatory capital requirements. </w:t>
      </w:r>
      <w:r>
        <w:rPr>
          <w:rFonts w:ascii="Calibri" w:cs="Calibri" w:eastAsia="Calibri" w:hAnsi="Calibri"/>
          <w:sz w:val="17"/>
          <w:szCs w:val="17"/>
          <w:b w:val="1"/>
          <w:bCs w:val="1"/>
          <w:color w:val="auto"/>
        </w:rPr>
        <w:t>YoY</w:t>
      </w:r>
      <w:r>
        <w:rPr>
          <w:rFonts w:ascii="Calibri" w:cs="Calibri" w:eastAsia="Calibri" w:hAnsi="Calibri"/>
          <w:sz w:val="17"/>
          <w:szCs w:val="17"/>
          <w:color w:val="auto"/>
        </w:rPr>
        <w:t>, the rato rose 147 bps, impacted primarily by growth in Discretonary Reserves for proft sharing in 2024; an uptck in Subordinated Debt due to a bond issuance; and fnally, a rise in Retained Earnings, which was driven by the same dynamics that drove the QoQ result.</w:t>
      </w:r>
    </w:p>
    <w:p>
      <w:pPr>
        <w:spacing w:after="0" w:line="201"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The Regulatory Tier 1 Rato stood at 169% (-140bps QoQ, -147 bps YoY), while the CET1 rato was situated at 205% (-251bps QoQ, +- 430 bps YoY), both above the regulatory minimum. Growth in both ratos QoQ was driven by the same dynamics that fueled the Qincrease in the Regulatory Capital Rato, with the excepton of Subordinated Debt, which had no impact on either the Regulatory Tier 1 or CET1 ratos.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40" w:type="dxa"/>
            <w:vAlign w:val="bottom"/>
          </w:tcPr>
          <w:p>
            <w:pPr>
              <w:spacing w:after="0"/>
              <w:rPr>
                <w:sz w:val="20"/>
                <w:szCs w:val="20"/>
                <w:color w:val="auto"/>
              </w:rPr>
            </w:pPr>
            <w:r>
              <w:rPr>
                <w:rFonts w:ascii="Calibri" w:cs="Calibri" w:eastAsia="Calibri" w:hAnsi="Calibri"/>
                <w:sz w:val="17"/>
                <w:szCs w:val="17"/>
                <w:b w:val="1"/>
                <w:bCs w:val="1"/>
                <w:color w:val="auto"/>
              </w:rPr>
              <w:t>10.2 Analysis of Capital at BCP Stand-alone</w:t>
            </w:r>
          </w:p>
        </w:tc>
        <w:tc>
          <w:tcPr>
            <w:tcW w:w="6800" w:type="dxa"/>
            <w:vAlign w:val="bottom"/>
          </w:tcPr>
          <w:p>
            <w:pPr>
              <w:ind w:left="1400"/>
              <w:spacing w:after="0"/>
              <w:rPr>
                <w:sz w:val="20"/>
                <w:szCs w:val="20"/>
                <w:color w:val="auto"/>
              </w:rPr>
            </w:pPr>
            <w:r>
              <w:rPr>
                <w:rFonts w:ascii="Calibri" w:cs="Calibri" w:eastAsia="Calibri" w:hAnsi="Calibri"/>
                <w:sz w:val="17"/>
                <w:szCs w:val="17"/>
                <w:color w:val="auto"/>
              </w:rPr>
              <w:t xml:space="preserve">The IFRS CET1 rato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rose 94 bps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to stand at 12.56% in</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2Q25, which is above our internal appette of 11%. The increase this quarter</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was driven by a growth in Retained Earnings This evoluton was driven by</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business expansion and was partally ofset by an uptck in RWAS, which rose</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 xml:space="preserve">on the back of an increase in the balance for the retail portolio. </w:t>
            </w:r>
            <w:r>
              <w:rPr>
                <w:rFonts w:ascii="Calibri" w:cs="Calibri" w:eastAsia="Calibri" w:hAnsi="Calibri"/>
                <w:sz w:val="17"/>
                <w:szCs w:val="17"/>
                <w:b w:val="1"/>
                <w:bCs w:val="1"/>
                <w:color w:val="auto"/>
              </w:rPr>
              <w:t>YoY,</w:t>
            </w:r>
            <w:r>
              <w:rPr>
                <w:rFonts w:ascii="Calibri" w:cs="Calibri" w:eastAsia="Calibri" w:hAnsi="Calibri"/>
                <w:sz w:val="17"/>
                <w:szCs w:val="17"/>
                <w:color w:val="auto"/>
              </w:rPr>
              <w:t xml:space="preserve"> the rato</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increased 51 bps, spurred by higher Retained earnings and ofset by an</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increase in operatng RWAs, which rose due to growth in the bank’s margin.</w:t>
            </w:r>
          </w:p>
        </w:tc>
      </w:tr>
      <w:tr>
        <w:trPr>
          <w:trHeight w:val="403"/>
        </w:trPr>
        <w:tc>
          <w:tcPr>
            <w:tcW w:w="4440" w:type="dxa"/>
            <w:vAlign w:val="bottom"/>
          </w:tcPr>
          <w:p>
            <w:pPr>
              <w:spacing w:after="0"/>
              <w:rPr>
                <w:sz w:val="24"/>
                <w:szCs w:val="24"/>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Finally, under the parameters of current regulaton, the local CET1 rato stood</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at 12.24% (versus 11.34% in 1Q25) driven by the same dynamics seen in the</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evoluton  of  IFRS  CET1.  This  compares  favorably  with  the  minimum</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requirement of 7.75% at the end of June 2025. The Regulatory Global Capital</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rato stood at 17.33% above the regulatory minimum of 14.55% but down 47</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bps QoQ, driven by the same dynamics that drove the evoluton of IFRS CET1.</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this rato rose 109 bps afer Subordinated Debt registered growth</w:t>
            </w:r>
          </w:p>
        </w:tc>
      </w:tr>
      <w:tr>
        <w:trPr>
          <w:trHeight w:val="208"/>
        </w:trPr>
        <w:tc>
          <w:tcPr>
            <w:tcW w:w="4440" w:type="dxa"/>
            <w:vAlign w:val="bottom"/>
          </w:tcPr>
          <w:p>
            <w:pPr>
              <w:spacing w:after="0"/>
              <w:rPr>
                <w:sz w:val="18"/>
                <w:szCs w:val="18"/>
                <w:color w:val="auto"/>
              </w:rPr>
            </w:pPr>
          </w:p>
        </w:tc>
        <w:tc>
          <w:tcPr>
            <w:tcW w:w="6800" w:type="dxa"/>
            <w:vAlign w:val="bottom"/>
          </w:tcPr>
          <w:p>
            <w:pPr>
              <w:ind w:left="1400"/>
              <w:spacing w:after="0"/>
              <w:rPr>
                <w:sz w:val="20"/>
                <w:szCs w:val="20"/>
                <w:color w:val="auto"/>
              </w:rPr>
            </w:pPr>
            <w:r>
              <w:rPr>
                <w:rFonts w:ascii="Calibri" w:cs="Calibri" w:eastAsia="Calibri" w:hAnsi="Calibri"/>
                <w:sz w:val="17"/>
                <w:szCs w:val="17"/>
                <w:color w:val="auto"/>
              </w:rPr>
              <w:t>following an issuance.</w:t>
            </w:r>
          </w:p>
        </w:tc>
      </w:tr>
      <w:tr>
        <w:trPr>
          <w:trHeight w:val="2163"/>
        </w:trPr>
        <w:tc>
          <w:tcPr>
            <w:tcW w:w="444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-3345180</wp:posOffset>
            </wp:positionV>
            <wp:extent cx="3006725" cy="23380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06725" cy="233807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-635635</wp:posOffset>
            </wp:positionV>
            <wp:extent cx="6476365" cy="4794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76365" cy="47942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3" w:name="page44"/>
    <w:bookmarkEnd w:id="43"/>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10.Regulatory Capital</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40" w:type="dxa"/>
            <w:vAlign w:val="bottom"/>
          </w:tcPr>
          <w:p>
            <w:pPr>
              <w:ind w:left="320"/>
              <w:spacing w:after="0"/>
              <w:rPr>
                <w:sz w:val="20"/>
                <w:szCs w:val="20"/>
                <w:color w:val="auto"/>
              </w:rPr>
            </w:pPr>
            <w:r>
              <w:rPr>
                <w:rFonts w:ascii="Calibri" w:cs="Calibri" w:eastAsia="Calibri" w:hAnsi="Calibri"/>
                <w:sz w:val="17"/>
                <w:szCs w:val="17"/>
                <w:b w:val="1"/>
                <w:bCs w:val="1"/>
                <w:color w:val="auto"/>
              </w:rPr>
              <w:t>10.3 Capital Analysis at Mibanco</w:t>
            </w:r>
          </w:p>
        </w:tc>
        <w:tc>
          <w:tcPr>
            <w:tcW w:w="7000" w:type="dxa"/>
            <w:vAlign w:val="bottom"/>
          </w:tcPr>
          <w:p>
            <w:pPr>
              <w:ind w:left="1600"/>
              <w:spacing w:after="0"/>
              <w:rPr>
                <w:sz w:val="20"/>
                <w:szCs w:val="20"/>
                <w:color w:val="auto"/>
              </w:rPr>
            </w:pPr>
            <w:r>
              <w:rPr>
                <w:rFonts w:ascii="Calibri" w:cs="Calibri" w:eastAsia="Calibri" w:hAnsi="Calibri"/>
                <w:sz w:val="17"/>
                <w:szCs w:val="17"/>
                <w:color w:val="auto"/>
              </w:rPr>
              <w:t xml:space="preserve">At the end of 2Q25, the IFRS CET 1 rato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stood at 16.73% (+84 bps</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 which was above our internal appette of 15%.</w:t>
            </w:r>
            <w:r>
              <w:rPr>
                <w:rFonts w:ascii="Calibri" w:cs="Calibri" w:eastAsia="Calibri" w:hAnsi="Calibri"/>
                <w:sz w:val="17"/>
                <w:szCs w:val="17"/>
                <w:b w:val="1"/>
                <w:bCs w:val="1"/>
                <w:color w:val="auto"/>
              </w:rPr>
              <w:t xml:space="preserve"> QoQ</w:t>
            </w:r>
            <w:r>
              <w:rPr>
                <w:rFonts w:ascii="Calibri" w:cs="Calibri" w:eastAsia="Calibri" w:hAnsi="Calibri"/>
                <w:sz w:val="17"/>
                <w:szCs w:val="17"/>
                <w:color w:val="auto"/>
              </w:rPr>
              <w:t>, growth was</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atributable to an uptck in Retained Earnings, which refected business</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 xml:space="preserve">growth. The drop in operatng RWAs also drove a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rise in the IFRS CET 1.</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YoY, this rato remained stable, which was atributable to a drop in operatng</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RWA due to QoQ dynamics, which was ofset by a decrease in Retained</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Earnings following a dividend payment.</w:t>
            </w:r>
          </w:p>
        </w:tc>
      </w:tr>
      <w:tr>
        <w:trPr>
          <w:trHeight w:val="416"/>
        </w:trPr>
        <w:tc>
          <w:tcPr>
            <w:tcW w:w="4240" w:type="dxa"/>
            <w:vAlign w:val="bottom"/>
          </w:tcPr>
          <w:p>
            <w:pPr>
              <w:spacing w:after="0"/>
              <w:rPr>
                <w:sz w:val="24"/>
                <w:szCs w:val="24"/>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Under the parameters of current regulaton, the local CET 1 rato stood at</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16.48% (versus 15.48% in 1Q25), driven by the same dynamics that fueled the</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evoluton of IFRS CET1. The Regulatory Global Capital rato situated at 19.61%</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(down 108 bps QoQ), remaining comfortably above the regulatory minimum</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of 14.55%. The QoQ decline was fueled by the same factors seen for IFRS CET</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1. YoY, the Regulatory Global Capital rato increased 66 bps, spurred mainly by</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a reducton in the balance of RWAs and to a lesser extent, by the issuance of</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Subordinated Debt and growth in the Reserves balance, which ofset the</w:t>
            </w:r>
          </w:p>
        </w:tc>
      </w:tr>
      <w:tr>
        <w:trPr>
          <w:trHeight w:val="208"/>
        </w:trPr>
        <w:tc>
          <w:tcPr>
            <w:tcW w:w="4240" w:type="dxa"/>
            <w:vAlign w:val="bottom"/>
          </w:tcPr>
          <w:p>
            <w:pPr>
              <w:spacing w:after="0"/>
              <w:rPr>
                <w:sz w:val="18"/>
                <w:szCs w:val="18"/>
                <w:color w:val="auto"/>
              </w:rPr>
            </w:pPr>
          </w:p>
        </w:tc>
        <w:tc>
          <w:tcPr>
            <w:tcW w:w="7000" w:type="dxa"/>
            <w:vAlign w:val="bottom"/>
          </w:tcPr>
          <w:p>
            <w:pPr>
              <w:ind w:left="1600"/>
              <w:spacing w:after="0"/>
              <w:rPr>
                <w:sz w:val="20"/>
                <w:szCs w:val="20"/>
                <w:color w:val="auto"/>
              </w:rPr>
            </w:pPr>
            <w:r>
              <w:rPr>
                <w:rFonts w:ascii="Calibri" w:cs="Calibri" w:eastAsia="Calibri" w:hAnsi="Calibri"/>
                <w:sz w:val="17"/>
                <w:szCs w:val="17"/>
                <w:color w:val="auto"/>
              </w:rPr>
              <w:t>decline in Retained Earnings generated by a dividend payment.</w:t>
            </w:r>
          </w:p>
        </w:tc>
      </w:tr>
      <w:tr>
        <w:trPr>
          <w:trHeight w:val="2735"/>
        </w:trPr>
        <w:tc>
          <w:tcPr>
            <w:tcW w:w="42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-3716655</wp:posOffset>
            </wp:positionV>
            <wp:extent cx="6641465" cy="3436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41465" cy="3436620"/>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4" w:name="page45"/>
    <w:bookmarkEnd w:id="44"/>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121920</wp:posOffset>
            </wp:positionV>
            <wp:extent cx="7137400" cy="628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11 </w:t>
      </w:r>
      <w:r>
        <w:rPr>
          <w:rFonts w:ascii="Calibri" w:cs="Calibri" w:eastAsia="Calibri" w:hAnsi="Calibri"/>
          <w:sz w:val="31"/>
          <w:szCs w:val="31"/>
          <w:color w:val="E93B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137400" cy="1032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7400" cy="1032510"/>
                    </a:xfrm>
                    <a:prstGeom prst="rect">
                      <a:avLst/>
                    </a:prstGeom>
                    <a:noFill/>
                  </pic:spPr>
                </pic:pic>
              </a:graphicData>
            </a:graphic>
          </wp:anchor>
        </w:drawing>
      </w:r>
    </w:p>
    <w:p>
      <w:pPr>
        <w:spacing w:after="0" w:line="316" w:lineRule="exact"/>
        <w:rPr>
          <w:sz w:val="20"/>
          <w:szCs w:val="20"/>
          <w:color w:val="auto"/>
        </w:rPr>
      </w:pPr>
    </w:p>
    <w:p>
      <w:pPr>
        <w:ind w:left="120" w:right="120"/>
        <w:spacing w:after="0" w:line="239" w:lineRule="auto"/>
        <w:rPr>
          <w:sz w:val="20"/>
          <w:szCs w:val="20"/>
          <w:color w:val="auto"/>
        </w:rPr>
      </w:pPr>
      <w:r>
        <w:rPr>
          <w:rFonts w:ascii="Calibri" w:cs="Calibri" w:eastAsia="Calibri" w:hAnsi="Calibri"/>
          <w:sz w:val="17"/>
          <w:szCs w:val="17"/>
          <w:color w:val="FFFFFF"/>
        </w:rPr>
        <w:t>In 2Q25, GDP grew around 3.0% YoY, supported by high terms of trade, a contnued recovery in formal employment, and infaton comfortably within the BCRP’s target range. The slowdown compared to 1Q25 was mainly due to weaker performance in primary sectors (mining, fshing, and agriculture).}</w:t>
      </w:r>
    </w:p>
    <w:p>
      <w:pPr>
        <w:spacing w:after="0" w:line="107" w:lineRule="exact"/>
        <w:rPr>
          <w:sz w:val="20"/>
          <w:szCs w:val="20"/>
          <w:color w:val="auto"/>
        </w:rPr>
      </w:pPr>
    </w:p>
    <w:p>
      <w:pPr>
        <w:ind w:left="120" w:right="140"/>
        <w:spacing w:after="0" w:line="239" w:lineRule="auto"/>
        <w:rPr>
          <w:sz w:val="20"/>
          <w:szCs w:val="20"/>
          <w:color w:val="auto"/>
        </w:rPr>
      </w:pPr>
      <w:r>
        <w:rPr>
          <w:rFonts w:ascii="Calibri" w:cs="Calibri" w:eastAsia="Calibri" w:hAnsi="Calibri"/>
          <w:sz w:val="17"/>
          <w:szCs w:val="17"/>
          <w:color w:val="FFFFFF"/>
        </w:rPr>
        <w:t>Infaton rose slightly, closing the quarter at 1.7% YoY (compared to 1.3% YoY in1Q25), marking seven consecutve months below the midpoint of the target range (1%–3%). Meanwhile, in its July meetng, the BCRP decided to keep the reference interest rate unchanged at 4.50%.</w:t>
      </w:r>
    </w:p>
    <w:p>
      <w:pPr>
        <w:spacing w:after="0" w:line="107" w:lineRule="exact"/>
        <w:rPr>
          <w:sz w:val="20"/>
          <w:szCs w:val="20"/>
          <w:color w:val="auto"/>
        </w:rPr>
      </w:pPr>
    </w:p>
    <w:p>
      <w:pPr>
        <w:ind w:left="120" w:right="140"/>
        <w:spacing w:after="0" w:line="239" w:lineRule="auto"/>
        <w:rPr>
          <w:sz w:val="20"/>
          <w:szCs w:val="20"/>
          <w:color w:val="auto"/>
        </w:rPr>
      </w:pPr>
      <w:r>
        <w:rPr>
          <w:rFonts w:ascii="Calibri" w:cs="Calibri" w:eastAsia="Calibri" w:hAnsi="Calibri"/>
          <w:sz w:val="17"/>
          <w:szCs w:val="17"/>
          <w:color w:val="FFFFFF"/>
        </w:rPr>
        <w:t>According to the BCRP, the exchange rate closed 2Q25 at USDPEN 3.54. Thus, the sol appreciated 3.5% compared to the end of 1Q25 and 6.0% compared to the end of 4Q24 (USDPEN 3.77).</w:t>
      </w:r>
    </w:p>
    <w:p>
      <w:pPr>
        <w:spacing w:after="0" w:line="9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Peru: Economic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22860</wp:posOffset>
            </wp:positionV>
            <wp:extent cx="8255" cy="3467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22860</wp:posOffset>
            </wp:positionV>
            <wp:extent cx="8255" cy="3467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5297805</wp:posOffset>
            </wp:positionH>
            <wp:positionV relativeFrom="paragraph">
              <wp:posOffset>22860</wp:posOffset>
            </wp:positionV>
            <wp:extent cx="8255" cy="3467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22860</wp:posOffset>
            </wp:positionV>
            <wp:extent cx="8255" cy="3467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22860</wp:posOffset>
            </wp:positionV>
            <wp:extent cx="8255" cy="3467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22860</wp:posOffset>
            </wp:positionV>
            <wp:extent cx="8255" cy="3467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22860</wp:posOffset>
            </wp:positionV>
            <wp:extent cx="8255" cy="3467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34671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20" w:type="dxa"/>
            <w:vAlign w:val="bottom"/>
          </w:tcPr>
          <w:p>
            <w:pPr>
              <w:spacing w:after="0"/>
              <w:rPr>
                <w:sz w:val="24"/>
                <w:szCs w:val="24"/>
                <w:color w:val="auto"/>
              </w:rPr>
            </w:pPr>
          </w:p>
        </w:tc>
        <w:tc>
          <w:tcPr>
            <w:tcW w:w="4520" w:type="dxa"/>
            <w:vAlign w:val="bottom"/>
            <w:shd w:val="clear" w:color="auto" w:fill="33CCCC"/>
          </w:tcPr>
          <w:p>
            <w:pPr>
              <w:ind w:left="2120"/>
              <w:spacing w:after="0"/>
              <w:rPr>
                <w:sz w:val="20"/>
                <w:szCs w:val="20"/>
                <w:color w:val="auto"/>
              </w:rPr>
            </w:pPr>
            <w:r>
              <w:rPr>
                <w:rFonts w:ascii="Calibri" w:cs="Calibri" w:eastAsia="Calibri" w:hAnsi="Calibri"/>
                <w:sz w:val="15"/>
                <w:szCs w:val="15"/>
                <w:b w:val="1"/>
                <w:bCs w:val="1"/>
                <w:color w:val="FFFFFF"/>
              </w:rPr>
              <w:t>Peru</w:t>
            </w:r>
          </w:p>
        </w:tc>
        <w:tc>
          <w:tcPr>
            <w:tcW w:w="960" w:type="dxa"/>
            <w:vAlign w:val="bottom"/>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8"/>
              </w:rPr>
              <w:t>2019</w:t>
            </w:r>
          </w:p>
        </w:tc>
        <w:tc>
          <w:tcPr>
            <w:tcW w:w="940" w:type="dxa"/>
            <w:vAlign w:val="bottom"/>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8"/>
              </w:rPr>
              <w:t>2020</w:t>
            </w:r>
          </w:p>
        </w:tc>
        <w:tc>
          <w:tcPr>
            <w:tcW w:w="960" w:type="dxa"/>
            <w:vAlign w:val="bottom"/>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8"/>
              </w:rPr>
              <w:t>2021</w:t>
            </w:r>
          </w:p>
        </w:tc>
        <w:tc>
          <w:tcPr>
            <w:tcW w:w="940" w:type="dxa"/>
            <w:vAlign w:val="bottom"/>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8"/>
              </w:rPr>
              <w:t>2022</w:t>
            </w:r>
          </w:p>
        </w:tc>
        <w:tc>
          <w:tcPr>
            <w:tcW w:w="960" w:type="dxa"/>
            <w:vAlign w:val="bottom"/>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8"/>
              </w:rPr>
              <w:t>2023</w:t>
            </w:r>
          </w:p>
        </w:tc>
        <w:tc>
          <w:tcPr>
            <w:tcW w:w="960" w:type="dxa"/>
            <w:vAlign w:val="bottom"/>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8"/>
              </w:rPr>
              <w:t>2024</w:t>
            </w:r>
          </w:p>
        </w:tc>
        <w:tc>
          <w:tcPr>
            <w:tcW w:w="980" w:type="dxa"/>
            <w:vAlign w:val="bottom"/>
            <w:shd w:val="clear" w:color="auto" w:fill="33CCCC"/>
          </w:tcPr>
          <w:p>
            <w:pPr>
              <w:jc w:val="center"/>
              <w:spacing w:after="0"/>
              <w:rPr>
                <w:sz w:val="20"/>
                <w:szCs w:val="20"/>
                <w:color w:val="auto"/>
              </w:rPr>
            </w:pPr>
            <w:r>
              <w:rPr>
                <w:rFonts w:ascii="Calibri" w:cs="Calibri" w:eastAsia="Calibri" w:hAnsi="Calibri"/>
                <w:sz w:val="15"/>
                <w:szCs w:val="15"/>
                <w:b w:val="1"/>
                <w:bCs w:val="1"/>
                <w:color w:val="FFFFFF"/>
              </w:rPr>
              <w:t xml:space="preserve">2025 </w:t>
            </w:r>
            <w:r>
              <w:rPr>
                <w:rFonts w:ascii="Calibri" w:cs="Calibri" w:eastAsia="Calibri" w:hAnsi="Calibri"/>
                <w:sz w:val="12"/>
                <w:szCs w:val="12"/>
                <w:b w:val="1"/>
                <w:bCs w:val="1"/>
                <w:color w:val="FFFFFF"/>
              </w:rPr>
              <w:t>(4)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520" w:type="dxa"/>
            <w:vAlign w:val="bottom"/>
            <w:shd w:val="clear" w:color="auto" w:fill="33CCCC"/>
          </w:tcPr>
          <w:p>
            <w:pPr>
              <w:spacing w:after="0"/>
              <w:rPr>
                <w:sz w:val="18"/>
                <w:szCs w:val="18"/>
                <w:color w:val="auto"/>
              </w:rPr>
            </w:pPr>
          </w:p>
        </w:tc>
        <w:tc>
          <w:tcPr>
            <w:tcW w:w="960" w:type="dxa"/>
            <w:vAlign w:val="bottom"/>
            <w:shd w:val="clear" w:color="auto" w:fill="33CCCC"/>
          </w:tcPr>
          <w:p>
            <w:pPr>
              <w:spacing w:after="0"/>
              <w:rPr>
                <w:sz w:val="18"/>
                <w:szCs w:val="18"/>
                <w:color w:val="auto"/>
              </w:rPr>
            </w:pPr>
          </w:p>
        </w:tc>
        <w:tc>
          <w:tcPr>
            <w:tcW w:w="940" w:type="dxa"/>
            <w:vAlign w:val="bottom"/>
            <w:shd w:val="clear" w:color="auto" w:fill="33CCCC"/>
          </w:tcPr>
          <w:p>
            <w:pPr>
              <w:spacing w:after="0"/>
              <w:rPr>
                <w:sz w:val="18"/>
                <w:szCs w:val="18"/>
                <w:color w:val="auto"/>
              </w:rPr>
            </w:pPr>
          </w:p>
        </w:tc>
        <w:tc>
          <w:tcPr>
            <w:tcW w:w="960" w:type="dxa"/>
            <w:vAlign w:val="bottom"/>
            <w:shd w:val="clear" w:color="auto" w:fill="33CCCC"/>
          </w:tcPr>
          <w:p>
            <w:pPr>
              <w:spacing w:after="0"/>
              <w:rPr>
                <w:sz w:val="18"/>
                <w:szCs w:val="18"/>
                <w:color w:val="auto"/>
              </w:rPr>
            </w:pPr>
          </w:p>
        </w:tc>
        <w:tc>
          <w:tcPr>
            <w:tcW w:w="940" w:type="dxa"/>
            <w:vAlign w:val="bottom"/>
            <w:shd w:val="clear" w:color="auto" w:fill="33CCCC"/>
          </w:tcPr>
          <w:p>
            <w:pPr>
              <w:spacing w:after="0"/>
              <w:rPr>
                <w:sz w:val="18"/>
                <w:szCs w:val="18"/>
                <w:color w:val="auto"/>
              </w:rPr>
            </w:pPr>
          </w:p>
        </w:tc>
        <w:tc>
          <w:tcPr>
            <w:tcW w:w="960" w:type="dxa"/>
            <w:vAlign w:val="bottom"/>
            <w:shd w:val="clear" w:color="auto" w:fill="33CCCC"/>
          </w:tcPr>
          <w:p>
            <w:pPr>
              <w:spacing w:after="0"/>
              <w:rPr>
                <w:sz w:val="18"/>
                <w:szCs w:val="18"/>
                <w:color w:val="auto"/>
              </w:rPr>
            </w:pPr>
          </w:p>
        </w:tc>
        <w:tc>
          <w:tcPr>
            <w:tcW w:w="960" w:type="dxa"/>
            <w:vAlign w:val="bottom"/>
            <w:shd w:val="clear" w:color="auto" w:fill="33CCCC"/>
          </w:tcPr>
          <w:p>
            <w:pPr>
              <w:spacing w:after="0"/>
              <w:rPr>
                <w:sz w:val="18"/>
                <w:szCs w:val="18"/>
                <w:color w:val="auto"/>
              </w:rPr>
            </w:pPr>
          </w:p>
        </w:tc>
        <w:tc>
          <w:tcPr>
            <w:tcW w:w="980" w:type="dxa"/>
            <w:vAlign w:val="bottom"/>
            <w:shd w:val="clear" w:color="auto" w:fill="33CCCC"/>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4520" w:type="dxa"/>
            <w:vAlign w:val="bottom"/>
          </w:tcPr>
          <w:p>
            <w:pPr>
              <w:spacing w:after="0" w:line="161" w:lineRule="exact"/>
              <w:rPr>
                <w:sz w:val="20"/>
                <w:szCs w:val="20"/>
                <w:color w:val="auto"/>
              </w:rPr>
            </w:pPr>
            <w:r>
              <w:rPr>
                <w:rFonts w:ascii="Calibri" w:cs="Calibri" w:eastAsia="Calibri" w:hAnsi="Calibri"/>
                <w:sz w:val="15"/>
                <w:szCs w:val="15"/>
                <w:color w:val="auto"/>
              </w:rPr>
              <w:t>GDP (US$ Millions)</w:t>
            </w:r>
          </w:p>
        </w:tc>
        <w:tc>
          <w:tcPr>
            <w:tcW w:w="960" w:type="dxa"/>
            <w:vAlign w:val="bottom"/>
          </w:tcPr>
          <w:p>
            <w:pPr>
              <w:jc w:val="center"/>
              <w:spacing w:after="0" w:line="161" w:lineRule="exact"/>
              <w:rPr>
                <w:sz w:val="20"/>
                <w:szCs w:val="20"/>
                <w:color w:val="auto"/>
              </w:rPr>
            </w:pPr>
            <w:r>
              <w:rPr>
                <w:rFonts w:ascii="Calibri" w:cs="Calibri" w:eastAsia="Calibri" w:hAnsi="Calibri"/>
                <w:sz w:val="15"/>
                <w:szCs w:val="15"/>
                <w:color w:val="auto"/>
                <w:w w:val="97"/>
              </w:rPr>
              <w:t>236,517</w:t>
            </w:r>
          </w:p>
        </w:tc>
        <w:tc>
          <w:tcPr>
            <w:tcW w:w="940" w:type="dxa"/>
            <w:vAlign w:val="bottom"/>
          </w:tcPr>
          <w:p>
            <w:pPr>
              <w:jc w:val="center"/>
              <w:spacing w:after="0" w:line="161" w:lineRule="exact"/>
              <w:rPr>
                <w:sz w:val="20"/>
                <w:szCs w:val="20"/>
                <w:color w:val="auto"/>
              </w:rPr>
            </w:pPr>
            <w:r>
              <w:rPr>
                <w:rFonts w:ascii="Calibri" w:cs="Calibri" w:eastAsia="Calibri" w:hAnsi="Calibri"/>
                <w:sz w:val="15"/>
                <w:szCs w:val="15"/>
                <w:color w:val="auto"/>
              </w:rPr>
              <w:t>209,723</w:t>
            </w:r>
          </w:p>
        </w:tc>
        <w:tc>
          <w:tcPr>
            <w:tcW w:w="960" w:type="dxa"/>
            <w:vAlign w:val="bottom"/>
          </w:tcPr>
          <w:p>
            <w:pPr>
              <w:jc w:val="center"/>
              <w:spacing w:after="0" w:line="161" w:lineRule="exact"/>
              <w:rPr>
                <w:sz w:val="20"/>
                <w:szCs w:val="20"/>
                <w:color w:val="auto"/>
              </w:rPr>
            </w:pPr>
            <w:r>
              <w:rPr>
                <w:rFonts w:ascii="Calibri" w:cs="Calibri" w:eastAsia="Calibri" w:hAnsi="Calibri"/>
                <w:sz w:val="15"/>
                <w:szCs w:val="15"/>
                <w:color w:val="auto"/>
                <w:w w:val="97"/>
              </w:rPr>
              <w:t>229,791</w:t>
            </w:r>
          </w:p>
        </w:tc>
        <w:tc>
          <w:tcPr>
            <w:tcW w:w="940" w:type="dxa"/>
            <w:vAlign w:val="bottom"/>
          </w:tcPr>
          <w:p>
            <w:pPr>
              <w:jc w:val="center"/>
              <w:spacing w:after="0" w:line="161" w:lineRule="exact"/>
              <w:rPr>
                <w:sz w:val="20"/>
                <w:szCs w:val="20"/>
                <w:color w:val="auto"/>
              </w:rPr>
            </w:pPr>
            <w:r>
              <w:rPr>
                <w:rFonts w:ascii="Calibri" w:cs="Calibri" w:eastAsia="Calibri" w:hAnsi="Calibri"/>
                <w:sz w:val="15"/>
                <w:szCs w:val="15"/>
                <w:color w:val="auto"/>
              </w:rPr>
              <w:t>248,403</w:t>
            </w:r>
          </w:p>
        </w:tc>
        <w:tc>
          <w:tcPr>
            <w:tcW w:w="960" w:type="dxa"/>
            <w:vAlign w:val="bottom"/>
          </w:tcPr>
          <w:p>
            <w:pPr>
              <w:jc w:val="center"/>
              <w:spacing w:after="0" w:line="161" w:lineRule="exact"/>
              <w:rPr>
                <w:sz w:val="20"/>
                <w:szCs w:val="20"/>
                <w:color w:val="auto"/>
              </w:rPr>
            </w:pPr>
            <w:r>
              <w:rPr>
                <w:rFonts w:ascii="Calibri" w:cs="Calibri" w:eastAsia="Calibri" w:hAnsi="Calibri"/>
                <w:sz w:val="15"/>
                <w:szCs w:val="15"/>
                <w:color w:val="auto"/>
                <w:w w:val="97"/>
              </w:rPr>
              <w:t>272,221</w:t>
            </w:r>
          </w:p>
        </w:tc>
        <w:tc>
          <w:tcPr>
            <w:tcW w:w="960" w:type="dxa"/>
            <w:vAlign w:val="bottom"/>
          </w:tcPr>
          <w:p>
            <w:pPr>
              <w:jc w:val="center"/>
              <w:spacing w:after="0" w:line="161" w:lineRule="exact"/>
              <w:rPr>
                <w:sz w:val="20"/>
                <w:szCs w:val="20"/>
                <w:color w:val="auto"/>
              </w:rPr>
            </w:pPr>
            <w:r>
              <w:rPr>
                <w:rFonts w:ascii="Calibri" w:cs="Calibri" w:eastAsia="Calibri" w:hAnsi="Calibri"/>
                <w:sz w:val="15"/>
                <w:szCs w:val="15"/>
                <w:color w:val="auto"/>
                <w:w w:val="97"/>
              </w:rPr>
              <w:t>295,160</w:t>
            </w:r>
          </w:p>
        </w:tc>
        <w:tc>
          <w:tcPr>
            <w:tcW w:w="980" w:type="dxa"/>
            <w:vAlign w:val="bottom"/>
            <w:shd w:val="clear" w:color="auto" w:fill="D4D4D4"/>
          </w:tcPr>
          <w:p>
            <w:pPr>
              <w:jc w:val="center"/>
              <w:spacing w:after="0" w:line="161" w:lineRule="exact"/>
              <w:rPr>
                <w:sz w:val="20"/>
                <w:szCs w:val="20"/>
                <w:color w:val="auto"/>
              </w:rPr>
            </w:pPr>
            <w:r>
              <w:rPr>
                <w:rFonts w:ascii="Calibri" w:cs="Calibri" w:eastAsia="Calibri" w:hAnsi="Calibri"/>
                <w:sz w:val="15"/>
                <w:szCs w:val="15"/>
                <w:color w:val="auto"/>
              </w:rPr>
              <w:t>319,637</w:t>
            </w:r>
          </w:p>
        </w:tc>
        <w:tc>
          <w:tcPr>
            <w:tcW w:w="0" w:type="dxa"/>
            <w:vAlign w:val="bottom"/>
          </w:tcPr>
          <w:p>
            <w:pPr>
              <w:spacing w:after="0"/>
              <w:rPr>
                <w:sz w:val="1"/>
                <w:szCs w:val="1"/>
                <w:color w:val="auto"/>
              </w:rPr>
            </w:pPr>
          </w:p>
        </w:tc>
      </w:tr>
      <w:tr>
        <w:trPr>
          <w:trHeight w:val="175"/>
        </w:trPr>
        <w:tc>
          <w:tcPr>
            <w:tcW w:w="4540" w:type="dxa"/>
            <w:vAlign w:val="bottom"/>
            <w:gridSpan w:val="2"/>
          </w:tcPr>
          <w:p>
            <w:pPr>
              <w:spacing w:after="0" w:line="174" w:lineRule="exact"/>
              <w:rPr>
                <w:sz w:val="20"/>
                <w:szCs w:val="20"/>
                <w:color w:val="auto"/>
              </w:rPr>
            </w:pPr>
            <w:r>
              <w:rPr>
                <w:rFonts w:ascii="Calibri" w:cs="Calibri" w:eastAsia="Calibri" w:hAnsi="Calibri"/>
                <w:sz w:val="15"/>
                <w:szCs w:val="15"/>
                <w:color w:val="auto"/>
              </w:rPr>
              <w:t>Real GDP (% change)</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rPr>
              <w:t>2.2</w:t>
            </w:r>
          </w:p>
        </w:tc>
        <w:tc>
          <w:tcPr>
            <w:tcW w:w="940" w:type="dxa"/>
            <w:vAlign w:val="bottom"/>
          </w:tcPr>
          <w:p>
            <w:pPr>
              <w:jc w:val="center"/>
              <w:spacing w:after="0" w:line="174" w:lineRule="exact"/>
              <w:rPr>
                <w:sz w:val="20"/>
                <w:szCs w:val="20"/>
                <w:color w:val="auto"/>
              </w:rPr>
            </w:pPr>
            <w:r>
              <w:rPr>
                <w:rFonts w:ascii="Calibri" w:cs="Calibri" w:eastAsia="Calibri" w:hAnsi="Calibri"/>
                <w:sz w:val="15"/>
                <w:szCs w:val="15"/>
                <w:color w:val="auto"/>
                <w:w w:val="96"/>
              </w:rPr>
              <w:t>-10.9</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7"/>
              </w:rPr>
              <w:t>13.4</w:t>
            </w:r>
          </w:p>
        </w:tc>
        <w:tc>
          <w:tcPr>
            <w:tcW w:w="940" w:type="dxa"/>
            <w:vAlign w:val="bottom"/>
          </w:tcPr>
          <w:p>
            <w:pPr>
              <w:jc w:val="center"/>
              <w:spacing w:after="0" w:line="174" w:lineRule="exact"/>
              <w:rPr>
                <w:sz w:val="20"/>
                <w:szCs w:val="20"/>
                <w:color w:val="auto"/>
              </w:rPr>
            </w:pPr>
            <w:r>
              <w:rPr>
                <w:rFonts w:ascii="Calibri" w:cs="Calibri" w:eastAsia="Calibri" w:hAnsi="Calibri"/>
                <w:sz w:val="15"/>
                <w:szCs w:val="15"/>
                <w:color w:val="auto"/>
                <w:w w:val="94"/>
              </w:rPr>
              <w:t>2.8</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rPr>
              <w:t>-0.4</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4"/>
              </w:rPr>
              <w:t>3.3</w:t>
            </w:r>
          </w:p>
        </w:tc>
        <w:tc>
          <w:tcPr>
            <w:tcW w:w="980" w:type="dxa"/>
            <w:vAlign w:val="bottom"/>
            <w:shd w:val="clear" w:color="auto" w:fill="D4D4D4"/>
          </w:tcPr>
          <w:p>
            <w:pPr>
              <w:jc w:val="center"/>
              <w:spacing w:after="0" w:line="174" w:lineRule="exact"/>
              <w:rPr>
                <w:sz w:val="20"/>
                <w:szCs w:val="20"/>
                <w:color w:val="auto"/>
              </w:rPr>
            </w:pPr>
            <w:r>
              <w:rPr>
                <w:rFonts w:ascii="Calibri" w:cs="Calibri" w:eastAsia="Calibri" w:hAnsi="Calibri"/>
                <w:sz w:val="15"/>
                <w:szCs w:val="15"/>
                <w:color w:val="auto"/>
                <w:w w:val="94"/>
              </w:rPr>
              <w:t>3.2</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rPr>
                <w:sz w:val="20"/>
                <w:szCs w:val="20"/>
                <w:color w:val="auto"/>
              </w:rPr>
            </w:pPr>
            <w:r>
              <w:rPr>
                <w:rFonts w:ascii="Calibri" w:cs="Calibri" w:eastAsia="Calibri" w:hAnsi="Calibri"/>
                <w:sz w:val="15"/>
                <w:szCs w:val="15"/>
                <w:color w:val="auto"/>
              </w:rPr>
              <w:t>GDP per capita (US$)</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3"/>
              </w:rPr>
              <w:t>7,361</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9"/>
              </w:rPr>
              <w:t>6,428</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3"/>
              </w:rPr>
              <w:t>6,956</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9"/>
              </w:rPr>
              <w:t>7,438</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9"/>
              </w:rPr>
              <w:t>8,072</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9"/>
              </w:rPr>
              <w:t>8,671</w:t>
            </w:r>
          </w:p>
        </w:tc>
        <w:tc>
          <w:tcPr>
            <w:tcW w:w="980" w:type="dxa"/>
            <w:vAlign w:val="bottom"/>
            <w:shd w:val="clear" w:color="auto" w:fill="D4D4D4"/>
          </w:tcPr>
          <w:p>
            <w:pPr>
              <w:jc w:val="center"/>
              <w:spacing w:after="0"/>
              <w:rPr>
                <w:sz w:val="20"/>
                <w:szCs w:val="20"/>
                <w:color w:val="auto"/>
              </w:rPr>
            </w:pPr>
            <w:r>
              <w:rPr>
                <w:rFonts w:ascii="Calibri" w:cs="Calibri" w:eastAsia="Calibri" w:hAnsi="Calibri"/>
                <w:sz w:val="15"/>
                <w:szCs w:val="15"/>
                <w:color w:val="auto"/>
                <w:w w:val="99"/>
              </w:rPr>
              <w:t>9,305</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rPr>
                <w:sz w:val="20"/>
                <w:szCs w:val="20"/>
                <w:color w:val="auto"/>
              </w:rPr>
            </w:pPr>
            <w:r>
              <w:rPr>
                <w:rFonts w:ascii="Calibri" w:cs="Calibri" w:eastAsia="Calibri" w:hAnsi="Calibri"/>
                <w:sz w:val="15"/>
                <w:szCs w:val="15"/>
                <w:color w:val="auto"/>
              </w:rPr>
              <w:t>Domestc demand (% change)</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2.9</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3"/>
              </w:rPr>
              <w:t>-9.3</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7"/>
              </w:rPr>
              <w:t>13.9</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4"/>
              </w:rPr>
              <w:t>2.4</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-1.1</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4"/>
              </w:rPr>
              <w:t>4.0</w:t>
            </w:r>
          </w:p>
        </w:tc>
        <w:tc>
          <w:tcPr>
            <w:tcW w:w="980" w:type="dxa"/>
            <w:vAlign w:val="bottom"/>
            <w:shd w:val="clear" w:color="auto" w:fill="D4D4D4"/>
          </w:tcPr>
          <w:p>
            <w:pPr>
              <w:jc w:val="center"/>
              <w:spacing w:after="0"/>
              <w:rPr>
                <w:sz w:val="20"/>
                <w:szCs w:val="20"/>
                <w:color w:val="auto"/>
              </w:rPr>
            </w:pPr>
            <w:r>
              <w:rPr>
                <w:rFonts w:ascii="Calibri" w:cs="Calibri" w:eastAsia="Calibri" w:hAnsi="Calibri"/>
                <w:sz w:val="15"/>
                <w:szCs w:val="15"/>
                <w:color w:val="auto"/>
                <w:w w:val="94"/>
              </w:rPr>
              <w:t>4.8</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rPr>
                <w:sz w:val="20"/>
                <w:szCs w:val="20"/>
                <w:color w:val="auto"/>
              </w:rPr>
            </w:pPr>
            <w:r>
              <w:rPr>
                <w:rFonts w:ascii="Calibri" w:cs="Calibri" w:eastAsia="Calibri" w:hAnsi="Calibri"/>
                <w:sz w:val="15"/>
                <w:szCs w:val="15"/>
                <w:color w:val="auto"/>
              </w:rPr>
              <w:t>Gross fxed investment (as % GDP)</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22</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1"/>
              </w:rPr>
              <w:t>21</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25</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1"/>
              </w:rPr>
              <w:t>25</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23</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1"/>
              </w:rPr>
              <w:t>23</w:t>
            </w:r>
          </w:p>
        </w:tc>
        <w:tc>
          <w:tcPr>
            <w:tcW w:w="980" w:type="dxa"/>
            <w:vAlign w:val="bottom"/>
            <w:shd w:val="clear" w:color="auto" w:fill="D4D4D4"/>
          </w:tcPr>
          <w:p>
            <w:pPr>
              <w:jc w:val="center"/>
              <w:spacing w:after="0"/>
              <w:rPr>
                <w:sz w:val="20"/>
                <w:szCs w:val="20"/>
                <w:color w:val="auto"/>
              </w:rPr>
            </w:pPr>
            <w:r>
              <w:rPr>
                <w:rFonts w:ascii="Calibri" w:cs="Calibri" w:eastAsia="Calibri" w:hAnsi="Calibri"/>
                <w:sz w:val="15"/>
                <w:szCs w:val="15"/>
                <w:color w:val="auto"/>
                <w:w w:val="91"/>
              </w:rPr>
              <w:t>23</w:t>
            </w: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Calibri" w:cs="Calibri" w:eastAsia="Calibri" w:hAnsi="Calibri"/>
                <w:sz w:val="15"/>
                <w:szCs w:val="15"/>
                <w:color w:val="auto"/>
              </w:rPr>
              <w:t xml:space="preserve">Financial system loan without Reactva (% change) </w:t>
            </w:r>
            <w:r>
              <w:rPr>
                <w:rFonts w:ascii="Calibri" w:cs="Calibri" w:eastAsia="Calibri" w:hAnsi="Calibri"/>
                <w:sz w:val="12"/>
                <w:szCs w:val="12"/>
                <w:color w:val="auto"/>
              </w:rPr>
              <w:t>(1)</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6.4</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3"/>
              </w:rPr>
              <w:t>-4.3</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7"/>
              </w:rPr>
              <w:t>12.6</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4"/>
              </w:rPr>
              <w:t>9.7</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4"/>
              </w:rPr>
              <w:t>2.8</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4"/>
              </w:rPr>
              <w:t>1.3</w:t>
            </w:r>
          </w:p>
        </w:tc>
        <w:tc>
          <w:tcPr>
            <w:tcW w:w="980" w:type="dxa"/>
            <w:vAlign w:val="bottom"/>
            <w:tcBorders>
              <w:bottom w:val="single" w:sz="8" w:color="D4D4D4"/>
            </w:tcBorders>
            <w:shd w:val="clear" w:color="auto" w:fill="D4D4D4"/>
          </w:tcPr>
          <w:p>
            <w:pPr>
              <w:jc w:val="center"/>
              <w:spacing w:after="0"/>
              <w:rPr>
                <w:sz w:val="20"/>
                <w:szCs w:val="20"/>
                <w:color w:val="auto"/>
              </w:rPr>
            </w:pPr>
            <w:r>
              <w:rPr>
                <w:rFonts w:ascii="Calibri" w:cs="Calibri" w:eastAsia="Calibri" w:hAnsi="Calibri"/>
                <w:sz w:val="15"/>
                <w:szCs w:val="15"/>
                <w:color w:val="auto"/>
                <w:w w:val="94"/>
              </w:rPr>
              <w:t>7.0</w:t>
            </w:r>
          </w:p>
        </w:tc>
        <w:tc>
          <w:tcPr>
            <w:tcW w:w="0" w:type="dxa"/>
            <w:vAlign w:val="bottom"/>
          </w:tcPr>
          <w:p>
            <w:pPr>
              <w:spacing w:after="0"/>
              <w:rPr>
                <w:sz w:val="1"/>
                <w:szCs w:val="1"/>
                <w:color w:val="auto"/>
              </w:rPr>
            </w:pPr>
          </w:p>
        </w:tc>
      </w:tr>
      <w:tr>
        <w:trPr>
          <w:trHeight w:val="171"/>
        </w:trPr>
        <w:tc>
          <w:tcPr>
            <w:tcW w:w="4540" w:type="dxa"/>
            <w:vAlign w:val="bottom"/>
            <w:tcBorders>
              <w:top w:val="single" w:sz="8" w:color="33CCCC"/>
              <w:bottom w:val="single" w:sz="8" w:color="33CCCC"/>
            </w:tcBorders>
            <w:gridSpan w:val="2"/>
          </w:tcPr>
          <w:p>
            <w:pPr>
              <w:spacing w:after="0" w:line="171" w:lineRule="exact"/>
              <w:rPr>
                <w:sz w:val="20"/>
                <w:szCs w:val="20"/>
                <w:color w:val="auto"/>
              </w:rPr>
            </w:pPr>
            <w:r>
              <w:rPr>
                <w:rFonts w:ascii="Calibri" w:cs="Calibri" w:eastAsia="Calibri" w:hAnsi="Calibri"/>
                <w:sz w:val="15"/>
                <w:szCs w:val="15"/>
                <w:color w:val="auto"/>
              </w:rPr>
              <w:t xml:space="preserve">Infaton, end of period </w:t>
            </w:r>
            <w:r>
              <w:rPr>
                <w:rFonts w:ascii="Calibri" w:cs="Calibri" w:eastAsia="Calibri" w:hAnsi="Calibri"/>
                <w:sz w:val="12"/>
                <w:szCs w:val="12"/>
                <w:color w:val="auto"/>
              </w:rPr>
              <w:t>(2)</w:t>
            </w:r>
          </w:p>
        </w:tc>
        <w:tc>
          <w:tcPr>
            <w:tcW w:w="960" w:type="dxa"/>
            <w:vAlign w:val="bottom"/>
            <w:tcBorders>
              <w:top w:val="single" w:sz="8" w:color="33CCCC"/>
              <w:bottom w:val="single" w:sz="8" w:color="33CCCC"/>
            </w:tcBorders>
          </w:tcPr>
          <w:p>
            <w:pPr>
              <w:jc w:val="center"/>
              <w:spacing w:after="0" w:line="171" w:lineRule="exact"/>
              <w:rPr>
                <w:sz w:val="20"/>
                <w:szCs w:val="20"/>
                <w:color w:val="auto"/>
              </w:rPr>
            </w:pPr>
            <w:r>
              <w:rPr>
                <w:rFonts w:ascii="Calibri" w:cs="Calibri" w:eastAsia="Calibri" w:hAnsi="Calibri"/>
                <w:sz w:val="15"/>
                <w:szCs w:val="15"/>
                <w:color w:val="auto"/>
              </w:rPr>
              <w:t>1.9</w:t>
            </w:r>
          </w:p>
        </w:tc>
        <w:tc>
          <w:tcPr>
            <w:tcW w:w="940" w:type="dxa"/>
            <w:vAlign w:val="bottom"/>
            <w:tcBorders>
              <w:top w:val="single" w:sz="8" w:color="33CCCC"/>
              <w:bottom w:val="single" w:sz="8" w:color="33CCCC"/>
            </w:tcBorders>
          </w:tcPr>
          <w:p>
            <w:pPr>
              <w:jc w:val="center"/>
              <w:spacing w:after="0" w:line="171" w:lineRule="exact"/>
              <w:rPr>
                <w:sz w:val="20"/>
                <w:szCs w:val="20"/>
                <w:color w:val="auto"/>
              </w:rPr>
            </w:pPr>
            <w:r>
              <w:rPr>
                <w:rFonts w:ascii="Calibri" w:cs="Calibri" w:eastAsia="Calibri" w:hAnsi="Calibri"/>
                <w:sz w:val="15"/>
                <w:szCs w:val="15"/>
                <w:color w:val="auto"/>
                <w:w w:val="94"/>
              </w:rPr>
              <w:t>2.0</w:t>
            </w:r>
          </w:p>
        </w:tc>
        <w:tc>
          <w:tcPr>
            <w:tcW w:w="960" w:type="dxa"/>
            <w:vAlign w:val="bottom"/>
            <w:tcBorders>
              <w:top w:val="single" w:sz="8" w:color="33CCCC"/>
              <w:bottom w:val="single" w:sz="8" w:color="33CCCC"/>
            </w:tcBorders>
          </w:tcPr>
          <w:p>
            <w:pPr>
              <w:jc w:val="center"/>
              <w:spacing w:after="0" w:line="171" w:lineRule="exact"/>
              <w:rPr>
                <w:sz w:val="20"/>
                <w:szCs w:val="20"/>
                <w:color w:val="auto"/>
              </w:rPr>
            </w:pPr>
            <w:r>
              <w:rPr>
                <w:rFonts w:ascii="Calibri" w:cs="Calibri" w:eastAsia="Calibri" w:hAnsi="Calibri"/>
                <w:sz w:val="15"/>
                <w:szCs w:val="15"/>
                <w:color w:val="auto"/>
              </w:rPr>
              <w:t>6.4</w:t>
            </w:r>
          </w:p>
        </w:tc>
        <w:tc>
          <w:tcPr>
            <w:tcW w:w="940" w:type="dxa"/>
            <w:vAlign w:val="bottom"/>
            <w:tcBorders>
              <w:top w:val="single" w:sz="8" w:color="33CCCC"/>
              <w:bottom w:val="single" w:sz="8" w:color="33CCCC"/>
            </w:tcBorders>
          </w:tcPr>
          <w:p>
            <w:pPr>
              <w:jc w:val="center"/>
              <w:spacing w:after="0" w:line="171" w:lineRule="exact"/>
              <w:rPr>
                <w:sz w:val="20"/>
                <w:szCs w:val="20"/>
                <w:color w:val="auto"/>
              </w:rPr>
            </w:pPr>
            <w:r>
              <w:rPr>
                <w:rFonts w:ascii="Calibri" w:cs="Calibri" w:eastAsia="Calibri" w:hAnsi="Calibri"/>
                <w:sz w:val="15"/>
                <w:szCs w:val="15"/>
                <w:color w:val="auto"/>
                <w:w w:val="94"/>
              </w:rPr>
              <w:t>8.5</w:t>
            </w:r>
          </w:p>
        </w:tc>
        <w:tc>
          <w:tcPr>
            <w:tcW w:w="960" w:type="dxa"/>
            <w:vAlign w:val="bottom"/>
            <w:tcBorders>
              <w:top w:val="single" w:sz="8" w:color="33CCCC"/>
              <w:bottom w:val="single" w:sz="8" w:color="33CCCC"/>
            </w:tcBorders>
          </w:tcPr>
          <w:p>
            <w:pPr>
              <w:jc w:val="center"/>
              <w:spacing w:after="0" w:line="171" w:lineRule="exact"/>
              <w:rPr>
                <w:sz w:val="20"/>
                <w:szCs w:val="20"/>
                <w:color w:val="auto"/>
              </w:rPr>
            </w:pPr>
            <w:r>
              <w:rPr>
                <w:rFonts w:ascii="Calibri" w:cs="Calibri" w:eastAsia="Calibri" w:hAnsi="Calibri"/>
                <w:sz w:val="15"/>
                <w:szCs w:val="15"/>
                <w:color w:val="auto"/>
                <w:w w:val="94"/>
              </w:rPr>
              <w:t>3.2</w:t>
            </w:r>
          </w:p>
        </w:tc>
        <w:tc>
          <w:tcPr>
            <w:tcW w:w="960" w:type="dxa"/>
            <w:vAlign w:val="bottom"/>
            <w:tcBorders>
              <w:top w:val="single" w:sz="8" w:color="33CCCC"/>
              <w:bottom w:val="single" w:sz="8" w:color="33CCCC"/>
            </w:tcBorders>
          </w:tcPr>
          <w:p>
            <w:pPr>
              <w:jc w:val="center"/>
              <w:spacing w:after="0" w:line="171" w:lineRule="exact"/>
              <w:rPr>
                <w:sz w:val="20"/>
                <w:szCs w:val="20"/>
                <w:color w:val="auto"/>
              </w:rPr>
            </w:pPr>
            <w:r>
              <w:rPr>
                <w:rFonts w:ascii="Calibri" w:cs="Calibri" w:eastAsia="Calibri" w:hAnsi="Calibri"/>
                <w:sz w:val="15"/>
                <w:szCs w:val="15"/>
                <w:color w:val="auto"/>
                <w:w w:val="94"/>
              </w:rPr>
              <w:t>2.0</w:t>
            </w:r>
          </w:p>
        </w:tc>
        <w:tc>
          <w:tcPr>
            <w:tcW w:w="980" w:type="dxa"/>
            <w:vAlign w:val="bottom"/>
            <w:tcBorders>
              <w:top w:val="single" w:sz="8" w:color="33CCCC"/>
              <w:bottom w:val="single" w:sz="8" w:color="33CCCC"/>
            </w:tcBorders>
            <w:shd w:val="clear" w:color="auto" w:fill="D4D4D4"/>
          </w:tcPr>
          <w:p>
            <w:pPr>
              <w:jc w:val="center"/>
              <w:spacing w:after="0" w:line="171" w:lineRule="exact"/>
              <w:rPr>
                <w:sz w:val="20"/>
                <w:szCs w:val="20"/>
                <w:color w:val="auto"/>
              </w:rPr>
            </w:pPr>
            <w:r>
              <w:rPr>
                <w:rFonts w:ascii="Calibri" w:cs="Calibri" w:eastAsia="Calibri" w:hAnsi="Calibri"/>
                <w:sz w:val="15"/>
                <w:szCs w:val="15"/>
                <w:color w:val="auto"/>
                <w:w w:val="94"/>
              </w:rPr>
              <w:t>2.0</w:t>
            </w:r>
          </w:p>
        </w:tc>
        <w:tc>
          <w:tcPr>
            <w:tcW w:w="0" w:type="dxa"/>
            <w:vAlign w:val="bottom"/>
          </w:tcPr>
          <w:p>
            <w:pPr>
              <w:spacing w:after="0"/>
              <w:rPr>
                <w:sz w:val="1"/>
                <w:szCs w:val="1"/>
                <w:color w:val="auto"/>
              </w:rPr>
            </w:pPr>
          </w:p>
        </w:tc>
      </w:tr>
      <w:tr>
        <w:trPr>
          <w:trHeight w:val="175"/>
        </w:trPr>
        <w:tc>
          <w:tcPr>
            <w:tcW w:w="4540" w:type="dxa"/>
            <w:vAlign w:val="bottom"/>
            <w:tcBorders>
              <w:bottom w:val="single" w:sz="8" w:color="33CCCC"/>
            </w:tcBorders>
            <w:gridSpan w:val="2"/>
          </w:tcPr>
          <w:p>
            <w:pPr>
              <w:spacing w:after="0" w:line="174" w:lineRule="exact"/>
              <w:rPr>
                <w:sz w:val="20"/>
                <w:szCs w:val="20"/>
                <w:color w:val="auto"/>
              </w:rPr>
            </w:pPr>
            <w:r>
              <w:rPr>
                <w:rFonts w:ascii="Calibri" w:cs="Calibri" w:eastAsia="Calibri" w:hAnsi="Calibri"/>
                <w:sz w:val="15"/>
                <w:szCs w:val="15"/>
                <w:color w:val="auto"/>
              </w:rPr>
              <w:t>Reference Rate, end of period</w:t>
            </w:r>
          </w:p>
        </w:tc>
        <w:tc>
          <w:tcPr>
            <w:tcW w:w="960" w:type="dxa"/>
            <w:vAlign w:val="bottom"/>
            <w:tcBorders>
              <w:bottom w:val="single" w:sz="8" w:color="33CCCC"/>
            </w:tcBorders>
          </w:tcPr>
          <w:p>
            <w:pPr>
              <w:jc w:val="center"/>
              <w:spacing w:after="0" w:line="174" w:lineRule="exact"/>
              <w:rPr>
                <w:sz w:val="20"/>
                <w:szCs w:val="20"/>
                <w:color w:val="auto"/>
              </w:rPr>
            </w:pPr>
            <w:r>
              <w:rPr>
                <w:rFonts w:ascii="Calibri" w:cs="Calibri" w:eastAsia="Calibri" w:hAnsi="Calibri"/>
                <w:sz w:val="15"/>
                <w:szCs w:val="15"/>
                <w:color w:val="auto"/>
                <w:w w:val="97"/>
              </w:rPr>
              <w:t>2.25</w:t>
            </w:r>
          </w:p>
        </w:tc>
        <w:tc>
          <w:tcPr>
            <w:tcW w:w="940" w:type="dxa"/>
            <w:vAlign w:val="bottom"/>
            <w:tcBorders>
              <w:bottom w:val="single" w:sz="8" w:color="33CCCC"/>
            </w:tcBorders>
          </w:tcPr>
          <w:p>
            <w:pPr>
              <w:jc w:val="center"/>
              <w:spacing w:after="0" w:line="174" w:lineRule="exact"/>
              <w:rPr>
                <w:sz w:val="20"/>
                <w:szCs w:val="20"/>
                <w:color w:val="auto"/>
              </w:rPr>
            </w:pPr>
            <w:r>
              <w:rPr>
                <w:rFonts w:ascii="Calibri" w:cs="Calibri" w:eastAsia="Calibri" w:hAnsi="Calibri"/>
                <w:sz w:val="15"/>
                <w:szCs w:val="15"/>
                <w:color w:val="auto"/>
                <w:w w:val="97"/>
              </w:rPr>
              <w:t>0.25</w:t>
            </w:r>
          </w:p>
        </w:tc>
        <w:tc>
          <w:tcPr>
            <w:tcW w:w="960" w:type="dxa"/>
            <w:vAlign w:val="bottom"/>
            <w:tcBorders>
              <w:bottom w:val="single" w:sz="8" w:color="33CCCC"/>
            </w:tcBorders>
          </w:tcPr>
          <w:p>
            <w:pPr>
              <w:jc w:val="center"/>
              <w:spacing w:after="0" w:line="174" w:lineRule="exact"/>
              <w:rPr>
                <w:sz w:val="20"/>
                <w:szCs w:val="20"/>
                <w:color w:val="auto"/>
              </w:rPr>
            </w:pPr>
            <w:r>
              <w:rPr>
                <w:rFonts w:ascii="Calibri" w:cs="Calibri" w:eastAsia="Calibri" w:hAnsi="Calibri"/>
                <w:sz w:val="15"/>
                <w:szCs w:val="15"/>
                <w:color w:val="auto"/>
                <w:w w:val="97"/>
              </w:rPr>
              <w:t>2.50</w:t>
            </w:r>
          </w:p>
        </w:tc>
        <w:tc>
          <w:tcPr>
            <w:tcW w:w="940" w:type="dxa"/>
            <w:vAlign w:val="bottom"/>
            <w:tcBorders>
              <w:bottom w:val="single" w:sz="8" w:color="33CCCC"/>
            </w:tcBorders>
          </w:tcPr>
          <w:p>
            <w:pPr>
              <w:jc w:val="center"/>
              <w:spacing w:after="0" w:line="174" w:lineRule="exact"/>
              <w:rPr>
                <w:sz w:val="20"/>
                <w:szCs w:val="20"/>
                <w:color w:val="auto"/>
              </w:rPr>
            </w:pPr>
            <w:r>
              <w:rPr>
                <w:rFonts w:ascii="Calibri" w:cs="Calibri" w:eastAsia="Calibri" w:hAnsi="Calibri"/>
                <w:sz w:val="15"/>
                <w:szCs w:val="15"/>
                <w:color w:val="auto"/>
                <w:w w:val="97"/>
              </w:rPr>
              <w:t>7.50</w:t>
            </w:r>
          </w:p>
        </w:tc>
        <w:tc>
          <w:tcPr>
            <w:tcW w:w="960" w:type="dxa"/>
            <w:vAlign w:val="bottom"/>
            <w:tcBorders>
              <w:bottom w:val="single" w:sz="8" w:color="33CCCC"/>
            </w:tcBorders>
          </w:tcPr>
          <w:p>
            <w:pPr>
              <w:jc w:val="center"/>
              <w:spacing w:after="0" w:line="174" w:lineRule="exact"/>
              <w:rPr>
                <w:sz w:val="20"/>
                <w:szCs w:val="20"/>
                <w:color w:val="auto"/>
              </w:rPr>
            </w:pPr>
            <w:r>
              <w:rPr>
                <w:rFonts w:ascii="Calibri" w:cs="Calibri" w:eastAsia="Calibri" w:hAnsi="Calibri"/>
                <w:sz w:val="15"/>
                <w:szCs w:val="15"/>
                <w:color w:val="auto"/>
                <w:w w:val="97"/>
              </w:rPr>
              <w:t>6.75</w:t>
            </w:r>
          </w:p>
        </w:tc>
        <w:tc>
          <w:tcPr>
            <w:tcW w:w="960" w:type="dxa"/>
            <w:vAlign w:val="bottom"/>
            <w:tcBorders>
              <w:bottom w:val="single" w:sz="8" w:color="33CCCC"/>
            </w:tcBorders>
          </w:tcPr>
          <w:p>
            <w:pPr>
              <w:jc w:val="center"/>
              <w:spacing w:after="0" w:line="174" w:lineRule="exact"/>
              <w:rPr>
                <w:sz w:val="20"/>
                <w:szCs w:val="20"/>
                <w:color w:val="auto"/>
              </w:rPr>
            </w:pPr>
            <w:r>
              <w:rPr>
                <w:rFonts w:ascii="Calibri" w:cs="Calibri" w:eastAsia="Calibri" w:hAnsi="Calibri"/>
                <w:sz w:val="15"/>
                <w:szCs w:val="15"/>
                <w:color w:val="auto"/>
                <w:w w:val="97"/>
              </w:rPr>
              <w:t>5.00</w:t>
            </w:r>
          </w:p>
        </w:tc>
        <w:tc>
          <w:tcPr>
            <w:tcW w:w="980" w:type="dxa"/>
            <w:vAlign w:val="bottom"/>
            <w:tcBorders>
              <w:bottom w:val="single" w:sz="8" w:color="33CCCC"/>
            </w:tcBorders>
            <w:shd w:val="clear" w:color="auto" w:fill="D4D4D4"/>
          </w:tcPr>
          <w:p>
            <w:pPr>
              <w:jc w:val="center"/>
              <w:spacing w:after="0" w:line="174" w:lineRule="exact"/>
              <w:rPr>
                <w:sz w:val="20"/>
                <w:szCs w:val="20"/>
                <w:color w:val="auto"/>
              </w:rPr>
            </w:pPr>
            <w:r>
              <w:rPr>
                <w:rFonts w:ascii="Calibri" w:cs="Calibri" w:eastAsia="Calibri" w:hAnsi="Calibri"/>
                <w:sz w:val="15"/>
                <w:szCs w:val="15"/>
                <w:color w:val="auto"/>
                <w:w w:val="97"/>
              </w:rPr>
              <w:t>4.25</w:t>
            </w:r>
          </w:p>
        </w:tc>
        <w:tc>
          <w:tcPr>
            <w:tcW w:w="0" w:type="dxa"/>
            <w:vAlign w:val="bottom"/>
          </w:tcPr>
          <w:p>
            <w:pPr>
              <w:spacing w:after="0"/>
              <w:rPr>
                <w:sz w:val="1"/>
                <w:szCs w:val="1"/>
                <w:color w:val="auto"/>
              </w:rPr>
            </w:pPr>
          </w:p>
        </w:tc>
      </w:tr>
      <w:tr>
        <w:trPr>
          <w:trHeight w:val="157"/>
        </w:trPr>
        <w:tc>
          <w:tcPr>
            <w:tcW w:w="4540" w:type="dxa"/>
            <w:vAlign w:val="bottom"/>
            <w:gridSpan w:val="2"/>
          </w:tcPr>
          <w:p>
            <w:pPr>
              <w:spacing w:after="0" w:line="158" w:lineRule="exact"/>
              <w:rPr>
                <w:sz w:val="20"/>
                <w:szCs w:val="20"/>
                <w:color w:val="auto"/>
              </w:rPr>
            </w:pPr>
            <w:r>
              <w:rPr>
                <w:rFonts w:ascii="Calibri" w:cs="Calibri" w:eastAsia="Calibri" w:hAnsi="Calibri"/>
                <w:sz w:val="15"/>
                <w:szCs w:val="15"/>
                <w:color w:val="auto"/>
              </w:rPr>
              <w:t>Exchange rate, end of period</w:t>
            </w:r>
          </w:p>
        </w:tc>
        <w:tc>
          <w:tcPr>
            <w:tcW w:w="960" w:type="dxa"/>
            <w:vAlign w:val="bottom"/>
          </w:tcPr>
          <w:p>
            <w:pPr>
              <w:jc w:val="center"/>
              <w:spacing w:after="0" w:line="158" w:lineRule="exact"/>
              <w:rPr>
                <w:sz w:val="20"/>
                <w:szCs w:val="20"/>
                <w:color w:val="auto"/>
              </w:rPr>
            </w:pPr>
            <w:r>
              <w:rPr>
                <w:rFonts w:ascii="Calibri" w:cs="Calibri" w:eastAsia="Calibri" w:hAnsi="Calibri"/>
                <w:sz w:val="15"/>
                <w:szCs w:val="15"/>
                <w:color w:val="auto"/>
                <w:w w:val="97"/>
              </w:rPr>
              <w:t>3.31</w:t>
            </w:r>
          </w:p>
        </w:tc>
        <w:tc>
          <w:tcPr>
            <w:tcW w:w="940" w:type="dxa"/>
            <w:vAlign w:val="bottom"/>
          </w:tcPr>
          <w:p>
            <w:pPr>
              <w:jc w:val="center"/>
              <w:spacing w:after="0" w:line="158" w:lineRule="exact"/>
              <w:rPr>
                <w:sz w:val="20"/>
                <w:szCs w:val="20"/>
                <w:color w:val="auto"/>
              </w:rPr>
            </w:pPr>
            <w:r>
              <w:rPr>
                <w:rFonts w:ascii="Calibri" w:cs="Calibri" w:eastAsia="Calibri" w:hAnsi="Calibri"/>
                <w:sz w:val="15"/>
                <w:szCs w:val="15"/>
                <w:color w:val="auto"/>
                <w:w w:val="97"/>
              </w:rPr>
              <w:t>3.62</w:t>
            </w:r>
          </w:p>
        </w:tc>
        <w:tc>
          <w:tcPr>
            <w:tcW w:w="960" w:type="dxa"/>
            <w:vAlign w:val="bottom"/>
          </w:tcPr>
          <w:p>
            <w:pPr>
              <w:jc w:val="center"/>
              <w:spacing w:after="0" w:line="158" w:lineRule="exact"/>
              <w:rPr>
                <w:sz w:val="20"/>
                <w:szCs w:val="20"/>
                <w:color w:val="auto"/>
              </w:rPr>
            </w:pPr>
            <w:r>
              <w:rPr>
                <w:rFonts w:ascii="Calibri" w:cs="Calibri" w:eastAsia="Calibri" w:hAnsi="Calibri"/>
                <w:sz w:val="15"/>
                <w:szCs w:val="15"/>
                <w:color w:val="auto"/>
                <w:w w:val="97"/>
              </w:rPr>
              <w:t>3.99</w:t>
            </w:r>
          </w:p>
        </w:tc>
        <w:tc>
          <w:tcPr>
            <w:tcW w:w="940" w:type="dxa"/>
            <w:vAlign w:val="bottom"/>
          </w:tcPr>
          <w:p>
            <w:pPr>
              <w:jc w:val="center"/>
              <w:spacing w:after="0" w:line="158" w:lineRule="exact"/>
              <w:rPr>
                <w:sz w:val="20"/>
                <w:szCs w:val="20"/>
                <w:color w:val="auto"/>
              </w:rPr>
            </w:pPr>
            <w:r>
              <w:rPr>
                <w:rFonts w:ascii="Calibri" w:cs="Calibri" w:eastAsia="Calibri" w:hAnsi="Calibri"/>
                <w:sz w:val="15"/>
                <w:szCs w:val="15"/>
                <w:color w:val="auto"/>
                <w:w w:val="97"/>
              </w:rPr>
              <w:t>3.81</w:t>
            </w:r>
          </w:p>
        </w:tc>
        <w:tc>
          <w:tcPr>
            <w:tcW w:w="960" w:type="dxa"/>
            <w:vAlign w:val="bottom"/>
          </w:tcPr>
          <w:p>
            <w:pPr>
              <w:jc w:val="center"/>
              <w:spacing w:after="0" w:line="158" w:lineRule="exact"/>
              <w:rPr>
                <w:sz w:val="20"/>
                <w:szCs w:val="20"/>
                <w:color w:val="auto"/>
              </w:rPr>
            </w:pPr>
            <w:r>
              <w:rPr>
                <w:rFonts w:ascii="Calibri" w:cs="Calibri" w:eastAsia="Calibri" w:hAnsi="Calibri"/>
                <w:sz w:val="15"/>
                <w:szCs w:val="15"/>
                <w:color w:val="auto"/>
                <w:w w:val="97"/>
              </w:rPr>
              <w:t>3.71</w:t>
            </w:r>
          </w:p>
        </w:tc>
        <w:tc>
          <w:tcPr>
            <w:tcW w:w="960" w:type="dxa"/>
            <w:vAlign w:val="bottom"/>
          </w:tcPr>
          <w:p>
            <w:pPr>
              <w:jc w:val="center"/>
              <w:spacing w:after="0" w:line="158" w:lineRule="exact"/>
              <w:rPr>
                <w:sz w:val="20"/>
                <w:szCs w:val="20"/>
                <w:color w:val="auto"/>
              </w:rPr>
            </w:pPr>
            <w:r>
              <w:rPr>
                <w:rFonts w:ascii="Calibri" w:cs="Calibri" w:eastAsia="Calibri" w:hAnsi="Calibri"/>
                <w:sz w:val="15"/>
                <w:szCs w:val="15"/>
                <w:color w:val="auto"/>
                <w:w w:val="97"/>
              </w:rPr>
              <w:t>3.76</w:t>
            </w:r>
          </w:p>
        </w:tc>
        <w:tc>
          <w:tcPr>
            <w:tcW w:w="980" w:type="dxa"/>
            <w:vAlign w:val="bottom"/>
            <w:shd w:val="clear" w:color="auto" w:fill="D4D4D4"/>
          </w:tcPr>
          <w:p>
            <w:pPr>
              <w:jc w:val="center"/>
              <w:spacing w:after="0" w:line="158" w:lineRule="exact"/>
              <w:rPr>
                <w:sz w:val="20"/>
                <w:szCs w:val="20"/>
                <w:color w:val="auto"/>
              </w:rPr>
            </w:pPr>
            <w:r>
              <w:rPr>
                <w:rFonts w:ascii="Calibri" w:cs="Calibri" w:eastAsia="Calibri" w:hAnsi="Calibri"/>
                <w:sz w:val="15"/>
                <w:szCs w:val="15"/>
                <w:color w:val="auto"/>
                <w:w w:val="97"/>
              </w:rPr>
              <w:t>3.65</w:t>
            </w:r>
          </w:p>
        </w:tc>
        <w:tc>
          <w:tcPr>
            <w:tcW w:w="0" w:type="dxa"/>
            <w:vAlign w:val="bottom"/>
          </w:tcPr>
          <w:p>
            <w:pPr>
              <w:spacing w:after="0"/>
              <w:rPr>
                <w:sz w:val="1"/>
                <w:szCs w:val="1"/>
                <w:color w:val="auto"/>
              </w:rPr>
            </w:pPr>
          </w:p>
        </w:tc>
      </w:tr>
      <w:tr>
        <w:trPr>
          <w:trHeight w:val="204"/>
        </w:trPr>
        <w:tc>
          <w:tcPr>
            <w:tcW w:w="4540" w:type="dxa"/>
            <w:vAlign w:val="bottom"/>
            <w:gridSpan w:val="2"/>
          </w:tcPr>
          <w:p>
            <w:pPr>
              <w:spacing w:after="0" w:line="174" w:lineRule="exact"/>
              <w:rPr>
                <w:sz w:val="20"/>
                <w:szCs w:val="20"/>
                <w:color w:val="auto"/>
              </w:rPr>
            </w:pPr>
            <w:r>
              <w:rPr>
                <w:rFonts w:ascii="Calibri" w:cs="Calibri" w:eastAsia="Calibri" w:hAnsi="Calibri"/>
                <w:sz w:val="15"/>
                <w:szCs w:val="15"/>
                <w:color w:val="auto"/>
              </w:rPr>
              <w:t xml:space="preserve">Exchange rate, (% change) </w:t>
            </w:r>
            <w:r>
              <w:rPr>
                <w:rFonts w:ascii="Calibri" w:cs="Calibri" w:eastAsia="Calibri" w:hAnsi="Calibri"/>
                <w:sz w:val="12"/>
                <w:szCs w:val="12"/>
                <w:color w:val="auto"/>
              </w:rPr>
              <w:t>(3)</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4"/>
              </w:rPr>
              <w:t>1.8%</w:t>
            </w:r>
          </w:p>
        </w:tc>
        <w:tc>
          <w:tcPr>
            <w:tcW w:w="940" w:type="dxa"/>
            <w:vAlign w:val="bottom"/>
          </w:tcPr>
          <w:p>
            <w:pPr>
              <w:jc w:val="center"/>
              <w:spacing w:after="0" w:line="174" w:lineRule="exact"/>
              <w:rPr>
                <w:sz w:val="20"/>
                <w:szCs w:val="20"/>
                <w:color w:val="auto"/>
              </w:rPr>
            </w:pPr>
            <w:r>
              <w:rPr>
                <w:rFonts w:ascii="Calibri" w:cs="Calibri" w:eastAsia="Calibri" w:hAnsi="Calibri"/>
                <w:sz w:val="15"/>
                <w:szCs w:val="15"/>
                <w:color w:val="auto"/>
                <w:w w:val="98"/>
              </w:rPr>
              <w:t>-9.3%</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5"/>
              </w:rPr>
              <w:t>-10.3%</w:t>
            </w:r>
          </w:p>
        </w:tc>
        <w:tc>
          <w:tcPr>
            <w:tcW w:w="940" w:type="dxa"/>
            <w:vAlign w:val="bottom"/>
          </w:tcPr>
          <w:p>
            <w:pPr>
              <w:jc w:val="center"/>
              <w:spacing w:after="0" w:line="174" w:lineRule="exact"/>
              <w:rPr>
                <w:sz w:val="20"/>
                <w:szCs w:val="20"/>
                <w:color w:val="auto"/>
              </w:rPr>
            </w:pPr>
            <w:r>
              <w:rPr>
                <w:rFonts w:ascii="Calibri" w:cs="Calibri" w:eastAsia="Calibri" w:hAnsi="Calibri"/>
                <w:sz w:val="15"/>
                <w:szCs w:val="15"/>
                <w:color w:val="auto"/>
              </w:rPr>
              <w:t>4.5%</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rPr>
              <w:t>2.7%</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8"/>
              </w:rPr>
              <w:t>-1.3%</w:t>
            </w:r>
          </w:p>
        </w:tc>
        <w:tc>
          <w:tcPr>
            <w:tcW w:w="980" w:type="dxa"/>
            <w:vAlign w:val="bottom"/>
            <w:tcBorders>
              <w:bottom w:val="single" w:sz="8" w:color="D4D4D4"/>
            </w:tcBorders>
            <w:shd w:val="clear" w:color="auto" w:fill="D4D4D4"/>
          </w:tcPr>
          <w:p>
            <w:pPr>
              <w:jc w:val="center"/>
              <w:spacing w:after="0" w:line="174" w:lineRule="exact"/>
              <w:rPr>
                <w:sz w:val="20"/>
                <w:szCs w:val="20"/>
                <w:color w:val="auto"/>
              </w:rPr>
            </w:pPr>
            <w:r>
              <w:rPr>
                <w:rFonts w:ascii="Calibri" w:cs="Calibri" w:eastAsia="Calibri" w:hAnsi="Calibri"/>
                <w:sz w:val="15"/>
                <w:szCs w:val="15"/>
                <w:color w:val="auto"/>
              </w:rPr>
              <w:t>2.8%</w:t>
            </w:r>
          </w:p>
        </w:tc>
        <w:tc>
          <w:tcPr>
            <w:tcW w:w="0" w:type="dxa"/>
            <w:vAlign w:val="bottom"/>
          </w:tcPr>
          <w:p>
            <w:pPr>
              <w:spacing w:after="0"/>
              <w:rPr>
                <w:sz w:val="1"/>
                <w:szCs w:val="1"/>
                <w:color w:val="auto"/>
              </w:rPr>
            </w:pPr>
          </w:p>
        </w:tc>
      </w:tr>
      <w:tr>
        <w:trPr>
          <w:trHeight w:val="154"/>
        </w:trPr>
        <w:tc>
          <w:tcPr>
            <w:tcW w:w="4540" w:type="dxa"/>
            <w:vAlign w:val="bottom"/>
            <w:tcBorders>
              <w:top w:val="single" w:sz="8" w:color="33CCCC"/>
            </w:tcBorders>
            <w:gridSpan w:val="2"/>
          </w:tcPr>
          <w:p>
            <w:pPr>
              <w:spacing w:after="0" w:line="154" w:lineRule="exact"/>
              <w:rPr>
                <w:sz w:val="20"/>
                <w:szCs w:val="20"/>
                <w:color w:val="auto"/>
              </w:rPr>
            </w:pPr>
            <w:r>
              <w:rPr>
                <w:rFonts w:ascii="Calibri" w:cs="Calibri" w:eastAsia="Calibri" w:hAnsi="Calibri"/>
                <w:sz w:val="15"/>
                <w:szCs w:val="15"/>
                <w:color w:val="auto"/>
              </w:rPr>
              <w:t>Fiscal balance (% GDP)</w:t>
            </w:r>
          </w:p>
        </w:tc>
        <w:tc>
          <w:tcPr>
            <w:tcW w:w="96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rPr>
              <w:t>-1.6</w:t>
            </w:r>
          </w:p>
        </w:tc>
        <w:tc>
          <w:tcPr>
            <w:tcW w:w="94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w w:val="93"/>
              </w:rPr>
              <w:t>-8.7</w:t>
            </w:r>
          </w:p>
        </w:tc>
        <w:tc>
          <w:tcPr>
            <w:tcW w:w="96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rPr>
              <w:t>-2.5</w:t>
            </w:r>
          </w:p>
        </w:tc>
        <w:tc>
          <w:tcPr>
            <w:tcW w:w="94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w w:val="93"/>
              </w:rPr>
              <w:t>-1.7</w:t>
            </w:r>
          </w:p>
        </w:tc>
        <w:tc>
          <w:tcPr>
            <w:tcW w:w="96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rPr>
              <w:t>-2.7</w:t>
            </w:r>
          </w:p>
        </w:tc>
        <w:tc>
          <w:tcPr>
            <w:tcW w:w="96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w w:val="93"/>
              </w:rPr>
              <w:t>-3.5</w:t>
            </w:r>
          </w:p>
        </w:tc>
        <w:tc>
          <w:tcPr>
            <w:tcW w:w="980" w:type="dxa"/>
            <w:vAlign w:val="bottom"/>
            <w:tcBorders>
              <w:top w:val="single" w:sz="8" w:color="33CCCC"/>
            </w:tcBorders>
            <w:shd w:val="clear" w:color="auto" w:fill="D4D4D4"/>
          </w:tcPr>
          <w:p>
            <w:pPr>
              <w:jc w:val="center"/>
              <w:spacing w:after="0" w:line="154" w:lineRule="exact"/>
              <w:rPr>
                <w:sz w:val="20"/>
                <w:szCs w:val="20"/>
                <w:color w:val="auto"/>
              </w:rPr>
            </w:pPr>
            <w:r>
              <w:rPr>
                <w:rFonts w:ascii="Calibri" w:cs="Calibri" w:eastAsia="Calibri" w:hAnsi="Calibri"/>
                <w:sz w:val="15"/>
                <w:szCs w:val="15"/>
                <w:color w:val="auto"/>
                <w:w w:val="93"/>
              </w:rPr>
              <w:t>-2.8</w:t>
            </w:r>
          </w:p>
        </w:tc>
        <w:tc>
          <w:tcPr>
            <w:tcW w:w="0" w:type="dxa"/>
            <w:vAlign w:val="bottom"/>
          </w:tcPr>
          <w:p>
            <w:pPr>
              <w:spacing w:after="0"/>
              <w:rPr>
                <w:sz w:val="1"/>
                <w:szCs w:val="1"/>
                <w:color w:val="auto"/>
              </w:rPr>
            </w:pPr>
          </w:p>
        </w:tc>
      </w:tr>
      <w:tr>
        <w:trPr>
          <w:trHeight w:val="204"/>
        </w:trPr>
        <w:tc>
          <w:tcPr>
            <w:tcW w:w="4540" w:type="dxa"/>
            <w:vAlign w:val="bottom"/>
            <w:gridSpan w:val="2"/>
          </w:tcPr>
          <w:p>
            <w:pPr>
              <w:spacing w:after="0" w:line="174" w:lineRule="exact"/>
              <w:rPr>
                <w:sz w:val="20"/>
                <w:szCs w:val="20"/>
                <w:color w:val="auto"/>
              </w:rPr>
            </w:pPr>
            <w:r>
              <w:rPr>
                <w:rFonts w:ascii="Calibri" w:cs="Calibri" w:eastAsia="Calibri" w:hAnsi="Calibri"/>
                <w:sz w:val="15"/>
                <w:szCs w:val="15"/>
                <w:color w:val="auto"/>
              </w:rPr>
              <w:t>Public Debt (as % GDP)</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rPr>
              <w:t>26</w:t>
            </w:r>
          </w:p>
        </w:tc>
        <w:tc>
          <w:tcPr>
            <w:tcW w:w="940" w:type="dxa"/>
            <w:vAlign w:val="bottom"/>
          </w:tcPr>
          <w:p>
            <w:pPr>
              <w:jc w:val="center"/>
              <w:spacing w:after="0" w:line="174" w:lineRule="exact"/>
              <w:rPr>
                <w:sz w:val="20"/>
                <w:szCs w:val="20"/>
                <w:color w:val="auto"/>
              </w:rPr>
            </w:pPr>
            <w:r>
              <w:rPr>
                <w:rFonts w:ascii="Calibri" w:cs="Calibri" w:eastAsia="Calibri" w:hAnsi="Calibri"/>
                <w:sz w:val="15"/>
                <w:szCs w:val="15"/>
                <w:color w:val="auto"/>
                <w:w w:val="91"/>
              </w:rPr>
              <w:t>34</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rPr>
              <w:t>35</w:t>
            </w:r>
          </w:p>
        </w:tc>
        <w:tc>
          <w:tcPr>
            <w:tcW w:w="940" w:type="dxa"/>
            <w:vAlign w:val="bottom"/>
          </w:tcPr>
          <w:p>
            <w:pPr>
              <w:jc w:val="center"/>
              <w:spacing w:after="0" w:line="174" w:lineRule="exact"/>
              <w:rPr>
                <w:sz w:val="20"/>
                <w:szCs w:val="20"/>
                <w:color w:val="auto"/>
              </w:rPr>
            </w:pPr>
            <w:r>
              <w:rPr>
                <w:rFonts w:ascii="Calibri" w:cs="Calibri" w:eastAsia="Calibri" w:hAnsi="Calibri"/>
                <w:sz w:val="15"/>
                <w:szCs w:val="15"/>
                <w:color w:val="auto"/>
                <w:w w:val="91"/>
              </w:rPr>
              <w:t>33</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rPr>
              <w:t>32</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1"/>
              </w:rPr>
              <w:t>32</w:t>
            </w:r>
          </w:p>
        </w:tc>
        <w:tc>
          <w:tcPr>
            <w:tcW w:w="980" w:type="dxa"/>
            <w:vAlign w:val="bottom"/>
            <w:tcBorders>
              <w:bottom w:val="single" w:sz="8" w:color="D4D4D4"/>
            </w:tcBorders>
            <w:shd w:val="clear" w:color="auto" w:fill="D4D4D4"/>
          </w:tcPr>
          <w:p>
            <w:pPr>
              <w:jc w:val="center"/>
              <w:spacing w:after="0" w:line="174" w:lineRule="exact"/>
              <w:rPr>
                <w:sz w:val="20"/>
                <w:szCs w:val="20"/>
                <w:color w:val="auto"/>
              </w:rPr>
            </w:pPr>
            <w:r>
              <w:rPr>
                <w:rFonts w:ascii="Calibri" w:cs="Calibri" w:eastAsia="Calibri" w:hAnsi="Calibri"/>
                <w:sz w:val="15"/>
                <w:szCs w:val="15"/>
                <w:color w:val="auto"/>
                <w:w w:val="91"/>
              </w:rPr>
              <w:t>32</w:t>
            </w:r>
          </w:p>
        </w:tc>
        <w:tc>
          <w:tcPr>
            <w:tcW w:w="0" w:type="dxa"/>
            <w:vAlign w:val="bottom"/>
          </w:tcPr>
          <w:p>
            <w:pPr>
              <w:spacing w:after="0"/>
              <w:rPr>
                <w:sz w:val="1"/>
                <w:szCs w:val="1"/>
                <w:color w:val="auto"/>
              </w:rPr>
            </w:pPr>
          </w:p>
        </w:tc>
      </w:tr>
      <w:tr>
        <w:trPr>
          <w:trHeight w:val="154"/>
        </w:trPr>
        <w:tc>
          <w:tcPr>
            <w:tcW w:w="4540" w:type="dxa"/>
            <w:vAlign w:val="bottom"/>
            <w:tcBorders>
              <w:top w:val="single" w:sz="8" w:color="33CCCC"/>
            </w:tcBorders>
            <w:gridSpan w:val="2"/>
          </w:tcPr>
          <w:p>
            <w:pPr>
              <w:spacing w:after="0" w:line="154" w:lineRule="exact"/>
              <w:rPr>
                <w:sz w:val="20"/>
                <w:szCs w:val="20"/>
                <w:color w:val="auto"/>
              </w:rPr>
            </w:pPr>
            <w:r>
              <w:rPr>
                <w:rFonts w:ascii="Calibri" w:cs="Calibri" w:eastAsia="Calibri" w:hAnsi="Calibri"/>
                <w:sz w:val="15"/>
                <w:szCs w:val="15"/>
                <w:color w:val="auto"/>
              </w:rPr>
              <w:t>Trade balance (US$ Millions)</w:t>
            </w:r>
          </w:p>
        </w:tc>
        <w:tc>
          <w:tcPr>
            <w:tcW w:w="96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w w:val="93"/>
              </w:rPr>
              <w:t>6,893</w:t>
            </w:r>
          </w:p>
        </w:tc>
        <w:tc>
          <w:tcPr>
            <w:tcW w:w="94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w w:val="99"/>
              </w:rPr>
              <w:t>8,098</w:t>
            </w:r>
          </w:p>
        </w:tc>
        <w:tc>
          <w:tcPr>
            <w:tcW w:w="96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w w:val="95"/>
              </w:rPr>
              <w:t>15,115</w:t>
            </w:r>
          </w:p>
        </w:tc>
        <w:tc>
          <w:tcPr>
            <w:tcW w:w="94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rPr>
              <w:t>10,331</w:t>
            </w:r>
          </w:p>
        </w:tc>
        <w:tc>
          <w:tcPr>
            <w:tcW w:w="96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w w:val="95"/>
              </w:rPr>
              <w:t>17,150</w:t>
            </w:r>
          </w:p>
        </w:tc>
        <w:tc>
          <w:tcPr>
            <w:tcW w:w="960" w:type="dxa"/>
            <w:vAlign w:val="bottom"/>
            <w:tcBorders>
              <w:top w:val="single" w:sz="8" w:color="33CCCC"/>
            </w:tcBorders>
          </w:tcPr>
          <w:p>
            <w:pPr>
              <w:jc w:val="center"/>
              <w:spacing w:after="0" w:line="154" w:lineRule="exact"/>
              <w:rPr>
                <w:sz w:val="20"/>
                <w:szCs w:val="20"/>
                <w:color w:val="auto"/>
              </w:rPr>
            </w:pPr>
            <w:r>
              <w:rPr>
                <w:rFonts w:ascii="Calibri" w:cs="Calibri" w:eastAsia="Calibri" w:hAnsi="Calibri"/>
                <w:sz w:val="15"/>
                <w:szCs w:val="15"/>
                <w:color w:val="auto"/>
              </w:rPr>
              <w:t>24,081</w:t>
            </w:r>
          </w:p>
        </w:tc>
        <w:tc>
          <w:tcPr>
            <w:tcW w:w="980" w:type="dxa"/>
            <w:vAlign w:val="bottom"/>
            <w:tcBorders>
              <w:top w:val="single" w:sz="8" w:color="33CCCC"/>
            </w:tcBorders>
            <w:shd w:val="clear" w:color="auto" w:fill="D4D4D4"/>
          </w:tcPr>
          <w:p>
            <w:pPr>
              <w:jc w:val="center"/>
              <w:spacing w:after="0" w:line="154" w:lineRule="exact"/>
              <w:rPr>
                <w:sz w:val="20"/>
                <w:szCs w:val="20"/>
                <w:color w:val="auto"/>
              </w:rPr>
            </w:pPr>
            <w:r>
              <w:rPr>
                <w:rFonts w:ascii="Calibri" w:cs="Calibri" w:eastAsia="Calibri" w:hAnsi="Calibri"/>
                <w:sz w:val="15"/>
                <w:szCs w:val="15"/>
                <w:color w:val="auto"/>
              </w:rPr>
              <w:t>28,500</w:t>
            </w:r>
          </w:p>
        </w:tc>
        <w:tc>
          <w:tcPr>
            <w:tcW w:w="0" w:type="dxa"/>
            <w:vAlign w:val="bottom"/>
          </w:tcPr>
          <w:p>
            <w:pPr>
              <w:spacing w:after="0"/>
              <w:rPr>
                <w:sz w:val="1"/>
                <w:szCs w:val="1"/>
                <w:color w:val="auto"/>
              </w:rPr>
            </w:pPr>
          </w:p>
        </w:tc>
      </w:tr>
      <w:tr>
        <w:trPr>
          <w:trHeight w:val="175"/>
        </w:trPr>
        <w:tc>
          <w:tcPr>
            <w:tcW w:w="4540" w:type="dxa"/>
            <w:vAlign w:val="bottom"/>
            <w:gridSpan w:val="2"/>
          </w:tcPr>
          <w:p>
            <w:pPr>
              <w:spacing w:after="0" w:line="174" w:lineRule="exact"/>
              <w:rPr>
                <w:sz w:val="20"/>
                <w:szCs w:val="20"/>
                <w:color w:val="auto"/>
              </w:rPr>
            </w:pPr>
            <w:r>
              <w:rPr>
                <w:rFonts w:ascii="Calibri" w:cs="Calibri" w:eastAsia="Calibri" w:hAnsi="Calibri"/>
                <w:sz w:val="15"/>
                <w:szCs w:val="15"/>
                <w:color w:val="auto"/>
              </w:rPr>
              <w:t>(As % GDP)</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4"/>
              </w:rPr>
              <w:t>2.9%</w:t>
            </w:r>
          </w:p>
        </w:tc>
        <w:tc>
          <w:tcPr>
            <w:tcW w:w="940" w:type="dxa"/>
            <w:vAlign w:val="bottom"/>
          </w:tcPr>
          <w:p>
            <w:pPr>
              <w:jc w:val="center"/>
              <w:spacing w:after="0" w:line="174" w:lineRule="exact"/>
              <w:rPr>
                <w:sz w:val="20"/>
                <w:szCs w:val="20"/>
                <w:color w:val="auto"/>
              </w:rPr>
            </w:pPr>
            <w:r>
              <w:rPr>
                <w:rFonts w:ascii="Calibri" w:cs="Calibri" w:eastAsia="Calibri" w:hAnsi="Calibri"/>
                <w:sz w:val="15"/>
                <w:szCs w:val="15"/>
                <w:color w:val="auto"/>
              </w:rPr>
              <w:t>3.9%</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4"/>
              </w:rPr>
              <w:t>6.6%</w:t>
            </w:r>
          </w:p>
        </w:tc>
        <w:tc>
          <w:tcPr>
            <w:tcW w:w="940" w:type="dxa"/>
            <w:vAlign w:val="bottom"/>
          </w:tcPr>
          <w:p>
            <w:pPr>
              <w:jc w:val="center"/>
              <w:spacing w:after="0" w:line="174" w:lineRule="exact"/>
              <w:rPr>
                <w:sz w:val="20"/>
                <w:szCs w:val="20"/>
                <w:color w:val="auto"/>
              </w:rPr>
            </w:pPr>
            <w:r>
              <w:rPr>
                <w:rFonts w:ascii="Calibri" w:cs="Calibri" w:eastAsia="Calibri" w:hAnsi="Calibri"/>
                <w:sz w:val="15"/>
                <w:szCs w:val="15"/>
                <w:color w:val="auto"/>
              </w:rPr>
              <w:t>4.2%</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rPr>
              <w:t>6.3%</w:t>
            </w: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rPr>
              <w:t>8.2%</w:t>
            </w:r>
          </w:p>
        </w:tc>
        <w:tc>
          <w:tcPr>
            <w:tcW w:w="980" w:type="dxa"/>
            <w:vAlign w:val="bottom"/>
            <w:shd w:val="clear" w:color="auto" w:fill="D4D4D4"/>
          </w:tcPr>
          <w:p>
            <w:pPr>
              <w:jc w:val="center"/>
              <w:spacing w:after="0" w:line="174" w:lineRule="exact"/>
              <w:rPr>
                <w:sz w:val="20"/>
                <w:szCs w:val="20"/>
                <w:color w:val="auto"/>
              </w:rPr>
            </w:pPr>
            <w:r>
              <w:rPr>
                <w:rFonts w:ascii="Calibri" w:cs="Calibri" w:eastAsia="Calibri" w:hAnsi="Calibri"/>
                <w:sz w:val="15"/>
                <w:szCs w:val="15"/>
                <w:color w:val="auto"/>
              </w:rPr>
              <w:t>8.9%</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rPr>
                <w:sz w:val="20"/>
                <w:szCs w:val="20"/>
                <w:color w:val="auto"/>
              </w:rPr>
            </w:pPr>
            <w:r>
              <w:rPr>
                <w:rFonts w:ascii="Calibri" w:cs="Calibri" w:eastAsia="Calibri" w:hAnsi="Calibri"/>
                <w:sz w:val="15"/>
                <w:szCs w:val="15"/>
                <w:color w:val="auto"/>
              </w:rPr>
              <w:t>Exports</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47,995</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42,822</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63,114</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66,339</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67,108</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76,172</w:t>
            </w:r>
          </w:p>
        </w:tc>
        <w:tc>
          <w:tcPr>
            <w:tcW w:w="980" w:type="dxa"/>
            <w:vAlign w:val="bottom"/>
            <w:shd w:val="clear" w:color="auto" w:fill="D4D4D4"/>
          </w:tcPr>
          <w:p>
            <w:pPr>
              <w:jc w:val="center"/>
              <w:spacing w:after="0"/>
              <w:rPr>
                <w:sz w:val="20"/>
                <w:szCs w:val="20"/>
                <w:color w:val="auto"/>
              </w:rPr>
            </w:pPr>
            <w:r>
              <w:rPr>
                <w:rFonts w:ascii="Calibri" w:cs="Calibri" w:eastAsia="Calibri" w:hAnsi="Calibri"/>
                <w:sz w:val="15"/>
                <w:szCs w:val="15"/>
                <w:color w:val="auto"/>
              </w:rPr>
              <w:t>86,000</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rPr>
                <w:sz w:val="20"/>
                <w:szCs w:val="20"/>
                <w:color w:val="auto"/>
              </w:rPr>
            </w:pPr>
            <w:r>
              <w:rPr>
                <w:rFonts w:ascii="Calibri" w:cs="Calibri" w:eastAsia="Calibri" w:hAnsi="Calibri"/>
                <w:sz w:val="15"/>
                <w:szCs w:val="15"/>
                <w:color w:val="auto"/>
              </w:rPr>
              <w:t>Imports</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41,102</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34,724</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47,999</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56,009</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49,958</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52,091</w:t>
            </w:r>
          </w:p>
        </w:tc>
        <w:tc>
          <w:tcPr>
            <w:tcW w:w="980" w:type="dxa"/>
            <w:vAlign w:val="bottom"/>
            <w:shd w:val="clear" w:color="auto" w:fill="D4D4D4"/>
          </w:tcPr>
          <w:p>
            <w:pPr>
              <w:jc w:val="center"/>
              <w:spacing w:after="0"/>
              <w:rPr>
                <w:sz w:val="20"/>
                <w:szCs w:val="20"/>
                <w:color w:val="auto"/>
              </w:rPr>
            </w:pPr>
            <w:r>
              <w:rPr>
                <w:rFonts w:ascii="Calibri" w:cs="Calibri" w:eastAsia="Calibri" w:hAnsi="Calibri"/>
                <w:sz w:val="15"/>
                <w:szCs w:val="15"/>
                <w:color w:val="auto"/>
              </w:rPr>
              <w:t>57,500</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rPr>
                <w:sz w:val="20"/>
                <w:szCs w:val="20"/>
                <w:color w:val="auto"/>
              </w:rPr>
            </w:pPr>
            <w:r>
              <w:rPr>
                <w:rFonts w:ascii="Calibri" w:cs="Calibri" w:eastAsia="Calibri" w:hAnsi="Calibri"/>
                <w:sz w:val="15"/>
                <w:szCs w:val="15"/>
                <w:color w:val="auto"/>
              </w:rPr>
              <w:t>Current account balance (As % GDP)</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3"/>
              </w:rPr>
              <w:t>-0.7%</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0.8%</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8"/>
              </w:rPr>
              <w:t>-2.2%</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8"/>
              </w:rPr>
              <w:t>-4.0%</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0.3%</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2.2%</w:t>
            </w:r>
          </w:p>
        </w:tc>
        <w:tc>
          <w:tcPr>
            <w:tcW w:w="980" w:type="dxa"/>
            <w:vAlign w:val="bottom"/>
            <w:shd w:val="clear" w:color="auto" w:fill="D4D4D4"/>
          </w:tcPr>
          <w:p>
            <w:pPr>
              <w:jc w:val="center"/>
              <w:spacing w:after="0"/>
              <w:rPr>
                <w:sz w:val="20"/>
                <w:szCs w:val="20"/>
                <w:color w:val="auto"/>
              </w:rPr>
            </w:pPr>
            <w:r>
              <w:rPr>
                <w:rFonts w:ascii="Calibri" w:cs="Calibri" w:eastAsia="Calibri" w:hAnsi="Calibri"/>
                <w:sz w:val="15"/>
                <w:szCs w:val="15"/>
                <w:color w:val="auto"/>
              </w:rPr>
              <w:t>1.8%</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rPr>
                <w:sz w:val="20"/>
                <w:szCs w:val="20"/>
                <w:color w:val="auto"/>
              </w:rPr>
            </w:pPr>
            <w:r>
              <w:rPr>
                <w:rFonts w:ascii="Calibri" w:cs="Calibri" w:eastAsia="Calibri" w:hAnsi="Calibri"/>
                <w:sz w:val="15"/>
                <w:szCs w:val="15"/>
                <w:color w:val="auto"/>
              </w:rPr>
              <w:t>Net internatonal reserves (US$ Millions)</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68,316</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74,707</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78,495</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71,883</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5"/>
              </w:rPr>
              <w:t>71,033</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78,987</w:t>
            </w:r>
          </w:p>
        </w:tc>
        <w:tc>
          <w:tcPr>
            <w:tcW w:w="980" w:type="dxa"/>
            <w:vAlign w:val="bottom"/>
            <w:shd w:val="clear" w:color="auto" w:fill="D4D4D4"/>
          </w:tcPr>
          <w:p>
            <w:pPr>
              <w:jc w:val="center"/>
              <w:spacing w:after="0"/>
              <w:rPr>
                <w:sz w:val="20"/>
                <w:szCs w:val="20"/>
                <w:color w:val="auto"/>
              </w:rPr>
            </w:pPr>
            <w:r>
              <w:rPr>
                <w:rFonts w:ascii="Calibri" w:cs="Calibri" w:eastAsia="Calibri" w:hAnsi="Calibri"/>
                <w:sz w:val="15"/>
                <w:szCs w:val="15"/>
                <w:color w:val="auto"/>
              </w:rPr>
              <w:t>86,000</w:t>
            </w:r>
          </w:p>
        </w:tc>
        <w:tc>
          <w:tcPr>
            <w:tcW w:w="0" w:type="dxa"/>
            <w:vAlign w:val="bottom"/>
          </w:tcPr>
          <w:p>
            <w:pPr>
              <w:spacing w:after="0"/>
              <w:rPr>
                <w:sz w:val="1"/>
                <w:szCs w:val="1"/>
                <w:color w:val="auto"/>
              </w:rPr>
            </w:pPr>
          </w:p>
        </w:tc>
      </w:tr>
      <w:tr>
        <w:trPr>
          <w:trHeight w:val="182"/>
        </w:trPr>
        <w:tc>
          <w:tcPr>
            <w:tcW w:w="4540" w:type="dxa"/>
            <w:vAlign w:val="bottom"/>
            <w:gridSpan w:val="2"/>
          </w:tcPr>
          <w:p>
            <w:pPr>
              <w:spacing w:after="0"/>
              <w:rPr>
                <w:sz w:val="20"/>
                <w:szCs w:val="20"/>
                <w:color w:val="auto"/>
              </w:rPr>
            </w:pPr>
            <w:r>
              <w:rPr>
                <w:rFonts w:ascii="Calibri" w:cs="Calibri" w:eastAsia="Calibri" w:hAnsi="Calibri"/>
                <w:sz w:val="15"/>
                <w:szCs w:val="15"/>
                <w:color w:val="auto"/>
              </w:rPr>
              <w:t>(As % GDP)</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6"/>
              </w:rPr>
              <w:t>28.9%</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35.6%</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6"/>
              </w:rPr>
              <w:t>34.2%</w:t>
            </w:r>
          </w:p>
        </w:tc>
        <w:tc>
          <w:tcPr>
            <w:tcW w:w="940" w:type="dxa"/>
            <w:vAlign w:val="bottom"/>
          </w:tcPr>
          <w:p>
            <w:pPr>
              <w:jc w:val="center"/>
              <w:spacing w:after="0"/>
              <w:rPr>
                <w:sz w:val="20"/>
                <w:szCs w:val="20"/>
                <w:color w:val="auto"/>
              </w:rPr>
            </w:pPr>
            <w:r>
              <w:rPr>
                <w:rFonts w:ascii="Calibri" w:cs="Calibri" w:eastAsia="Calibri" w:hAnsi="Calibri"/>
                <w:sz w:val="15"/>
                <w:szCs w:val="15"/>
                <w:color w:val="auto"/>
              </w:rPr>
              <w:t>28.9%</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6"/>
              </w:rPr>
              <w:t>26.1%</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26.8%</w:t>
            </w:r>
          </w:p>
        </w:tc>
        <w:tc>
          <w:tcPr>
            <w:tcW w:w="980" w:type="dxa"/>
            <w:vAlign w:val="bottom"/>
            <w:shd w:val="clear" w:color="auto" w:fill="D4D4D4"/>
          </w:tcPr>
          <w:p>
            <w:pPr>
              <w:jc w:val="center"/>
              <w:spacing w:after="0"/>
              <w:rPr>
                <w:sz w:val="20"/>
                <w:szCs w:val="20"/>
                <w:color w:val="auto"/>
              </w:rPr>
            </w:pPr>
            <w:r>
              <w:rPr>
                <w:rFonts w:ascii="Calibri" w:cs="Calibri" w:eastAsia="Calibri" w:hAnsi="Calibri"/>
                <w:sz w:val="15"/>
                <w:szCs w:val="15"/>
                <w:color w:val="auto"/>
              </w:rPr>
              <w:t>26.9%</w:t>
            </w:r>
          </w:p>
        </w:tc>
        <w:tc>
          <w:tcPr>
            <w:tcW w:w="0" w:type="dxa"/>
            <w:vAlign w:val="bottom"/>
          </w:tcPr>
          <w:p>
            <w:pPr>
              <w:spacing w:after="0"/>
              <w:rPr>
                <w:sz w:val="1"/>
                <w:szCs w:val="1"/>
                <w:color w:val="auto"/>
              </w:rPr>
            </w:pPr>
          </w:p>
        </w:tc>
      </w:tr>
      <w:tr>
        <w:trPr>
          <w:trHeight w:val="191"/>
        </w:trPr>
        <w:tc>
          <w:tcPr>
            <w:tcW w:w="4540" w:type="dxa"/>
            <w:vAlign w:val="bottom"/>
            <w:gridSpan w:val="2"/>
          </w:tcPr>
          <w:p>
            <w:pPr>
              <w:spacing w:after="0"/>
              <w:rPr>
                <w:sz w:val="20"/>
                <w:szCs w:val="20"/>
                <w:color w:val="auto"/>
              </w:rPr>
            </w:pPr>
            <w:r>
              <w:rPr>
                <w:rFonts w:ascii="Calibri" w:cs="Calibri" w:eastAsia="Calibri" w:hAnsi="Calibri"/>
                <w:sz w:val="15"/>
                <w:szCs w:val="15"/>
                <w:color w:val="auto"/>
              </w:rPr>
              <w:t>(As months of imports)</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20</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1"/>
              </w:rPr>
              <w:t>26</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20</w:t>
            </w:r>
          </w:p>
        </w:tc>
        <w:tc>
          <w:tcPr>
            <w:tcW w:w="940" w:type="dxa"/>
            <w:vAlign w:val="bottom"/>
          </w:tcPr>
          <w:p>
            <w:pPr>
              <w:jc w:val="center"/>
              <w:spacing w:after="0"/>
              <w:rPr>
                <w:sz w:val="20"/>
                <w:szCs w:val="20"/>
                <w:color w:val="auto"/>
              </w:rPr>
            </w:pPr>
            <w:r>
              <w:rPr>
                <w:rFonts w:ascii="Calibri" w:cs="Calibri" w:eastAsia="Calibri" w:hAnsi="Calibri"/>
                <w:sz w:val="15"/>
                <w:szCs w:val="15"/>
                <w:color w:val="auto"/>
                <w:w w:val="91"/>
              </w:rPr>
              <w:t>15</w:t>
            </w:r>
          </w:p>
        </w:tc>
        <w:tc>
          <w:tcPr>
            <w:tcW w:w="960" w:type="dxa"/>
            <w:vAlign w:val="bottom"/>
          </w:tcPr>
          <w:p>
            <w:pPr>
              <w:jc w:val="center"/>
              <w:spacing w:after="0"/>
              <w:rPr>
                <w:sz w:val="20"/>
                <w:szCs w:val="20"/>
                <w:color w:val="auto"/>
              </w:rPr>
            </w:pPr>
            <w:r>
              <w:rPr>
                <w:rFonts w:ascii="Calibri" w:cs="Calibri" w:eastAsia="Calibri" w:hAnsi="Calibri"/>
                <w:sz w:val="15"/>
                <w:szCs w:val="15"/>
                <w:color w:val="auto"/>
              </w:rPr>
              <w:t>17</w:t>
            </w:r>
          </w:p>
        </w:tc>
        <w:tc>
          <w:tcPr>
            <w:tcW w:w="960" w:type="dxa"/>
            <w:vAlign w:val="bottom"/>
          </w:tcPr>
          <w:p>
            <w:pPr>
              <w:jc w:val="center"/>
              <w:spacing w:after="0"/>
              <w:rPr>
                <w:sz w:val="20"/>
                <w:szCs w:val="20"/>
                <w:color w:val="auto"/>
              </w:rPr>
            </w:pPr>
            <w:r>
              <w:rPr>
                <w:rFonts w:ascii="Calibri" w:cs="Calibri" w:eastAsia="Calibri" w:hAnsi="Calibri"/>
                <w:sz w:val="15"/>
                <w:szCs w:val="15"/>
                <w:color w:val="auto"/>
                <w:w w:val="91"/>
              </w:rPr>
              <w:t>18</w:t>
            </w:r>
          </w:p>
        </w:tc>
        <w:tc>
          <w:tcPr>
            <w:tcW w:w="980" w:type="dxa"/>
            <w:vAlign w:val="bottom"/>
            <w:tcBorders>
              <w:bottom w:val="single" w:sz="8" w:color="D4D4D4"/>
            </w:tcBorders>
            <w:shd w:val="clear" w:color="auto" w:fill="D4D4D4"/>
          </w:tcPr>
          <w:p>
            <w:pPr>
              <w:jc w:val="center"/>
              <w:spacing w:after="0"/>
              <w:rPr>
                <w:sz w:val="20"/>
                <w:szCs w:val="20"/>
                <w:color w:val="auto"/>
              </w:rPr>
            </w:pPr>
            <w:r>
              <w:rPr>
                <w:rFonts w:ascii="Calibri" w:cs="Calibri" w:eastAsia="Calibri" w:hAnsi="Calibri"/>
                <w:sz w:val="15"/>
                <w:szCs w:val="15"/>
                <w:color w:val="auto"/>
                <w:w w:val="91"/>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33CCCC"/>
          </w:tcPr>
          <w:p>
            <w:pPr>
              <w:spacing w:after="0" w:line="20" w:lineRule="exact"/>
              <w:rPr>
                <w:sz w:val="1"/>
                <w:szCs w:val="1"/>
                <w:color w:val="auto"/>
              </w:rPr>
            </w:pPr>
          </w:p>
        </w:tc>
        <w:tc>
          <w:tcPr>
            <w:tcW w:w="960" w:type="dxa"/>
            <w:vAlign w:val="bottom"/>
            <w:shd w:val="clear" w:color="auto" w:fill="33CCCC"/>
          </w:tcPr>
          <w:p>
            <w:pPr>
              <w:spacing w:after="0" w:line="20" w:lineRule="exact"/>
              <w:rPr>
                <w:sz w:val="1"/>
                <w:szCs w:val="1"/>
                <w:color w:val="auto"/>
              </w:rPr>
            </w:pPr>
          </w:p>
        </w:tc>
        <w:tc>
          <w:tcPr>
            <w:tcW w:w="940" w:type="dxa"/>
            <w:vAlign w:val="bottom"/>
            <w:shd w:val="clear" w:color="auto" w:fill="33CCCC"/>
          </w:tcPr>
          <w:p>
            <w:pPr>
              <w:spacing w:after="0" w:line="20" w:lineRule="exact"/>
              <w:rPr>
                <w:sz w:val="1"/>
                <w:szCs w:val="1"/>
                <w:color w:val="auto"/>
              </w:rPr>
            </w:pPr>
          </w:p>
        </w:tc>
        <w:tc>
          <w:tcPr>
            <w:tcW w:w="960" w:type="dxa"/>
            <w:vAlign w:val="bottom"/>
            <w:shd w:val="clear" w:color="auto" w:fill="33CCCC"/>
          </w:tcPr>
          <w:p>
            <w:pPr>
              <w:spacing w:after="0" w:line="20" w:lineRule="exact"/>
              <w:rPr>
                <w:sz w:val="1"/>
                <w:szCs w:val="1"/>
                <w:color w:val="auto"/>
              </w:rPr>
            </w:pPr>
          </w:p>
        </w:tc>
        <w:tc>
          <w:tcPr>
            <w:tcW w:w="940" w:type="dxa"/>
            <w:vAlign w:val="bottom"/>
            <w:shd w:val="clear" w:color="auto" w:fill="33CCCC"/>
          </w:tcPr>
          <w:p>
            <w:pPr>
              <w:spacing w:after="0" w:line="20" w:lineRule="exact"/>
              <w:rPr>
                <w:sz w:val="1"/>
                <w:szCs w:val="1"/>
                <w:color w:val="auto"/>
              </w:rPr>
            </w:pPr>
          </w:p>
        </w:tc>
        <w:tc>
          <w:tcPr>
            <w:tcW w:w="960" w:type="dxa"/>
            <w:vAlign w:val="bottom"/>
            <w:shd w:val="clear" w:color="auto" w:fill="33CCCC"/>
          </w:tcPr>
          <w:p>
            <w:pPr>
              <w:spacing w:after="0" w:line="20" w:lineRule="exact"/>
              <w:rPr>
                <w:sz w:val="1"/>
                <w:szCs w:val="1"/>
                <w:color w:val="auto"/>
              </w:rPr>
            </w:pPr>
          </w:p>
        </w:tc>
        <w:tc>
          <w:tcPr>
            <w:tcW w:w="960" w:type="dxa"/>
            <w:vAlign w:val="bottom"/>
            <w:shd w:val="clear" w:color="auto" w:fill="33CCCC"/>
          </w:tcPr>
          <w:p>
            <w:pPr>
              <w:spacing w:after="0" w:line="20" w:lineRule="exact"/>
              <w:rPr>
                <w:sz w:val="1"/>
                <w:szCs w:val="1"/>
                <w:color w:val="auto"/>
              </w:rPr>
            </w:pPr>
          </w:p>
        </w:tc>
        <w:tc>
          <w:tcPr>
            <w:tcW w:w="980" w:type="dxa"/>
            <w:vAlign w:val="bottom"/>
            <w:shd w:val="clear" w:color="auto" w:fill="33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Calibri" w:cs="Calibri" w:eastAsia="Calibri" w:hAnsi="Calibri"/>
          <w:sz w:val="13"/>
          <w:szCs w:val="13"/>
          <w:color w:val="auto"/>
        </w:rPr>
        <w:t>Sources: INEI, BCRP y SBS.</w:t>
      </w:r>
    </w:p>
    <w:p>
      <w:pPr>
        <w:spacing w:after="0" w:line="10" w:lineRule="exact"/>
        <w:rPr>
          <w:sz w:val="20"/>
          <w:szCs w:val="20"/>
          <w:color w:val="auto"/>
        </w:rPr>
      </w:pPr>
    </w:p>
    <w:p>
      <w:pPr>
        <w:ind w:left="240" w:hanging="236"/>
        <w:spacing w:after="0"/>
        <w:tabs>
          <w:tab w:leader="none" w:pos="240" w:val="left"/>
        </w:tabs>
        <w:numPr>
          <w:ilvl w:val="0"/>
          <w:numId w:val="52"/>
        </w:numPr>
        <w:rPr>
          <w:rFonts w:ascii="Calibri" w:cs="Calibri" w:eastAsia="Calibri" w:hAnsi="Calibri"/>
          <w:sz w:val="13"/>
          <w:szCs w:val="13"/>
          <w:color w:val="auto"/>
        </w:rPr>
      </w:pPr>
      <w:r>
        <w:rPr>
          <w:rFonts w:ascii="Calibri" w:cs="Calibri" w:eastAsia="Calibri" w:hAnsi="Calibri"/>
          <w:sz w:val="13"/>
          <w:szCs w:val="13"/>
          <w:color w:val="auto"/>
        </w:rPr>
        <w:t>Financial System, Current Exchange Rate, End of Period</w:t>
      </w:r>
    </w:p>
    <w:p>
      <w:pPr>
        <w:spacing w:after="0" w:line="10" w:lineRule="exact"/>
        <w:rPr>
          <w:rFonts w:ascii="Calibri" w:cs="Calibri" w:eastAsia="Calibri" w:hAnsi="Calibri"/>
          <w:sz w:val="13"/>
          <w:szCs w:val="13"/>
          <w:color w:val="auto"/>
        </w:rPr>
      </w:pPr>
    </w:p>
    <w:p>
      <w:pPr>
        <w:ind w:left="240" w:hanging="236"/>
        <w:spacing w:after="0"/>
        <w:tabs>
          <w:tab w:leader="none" w:pos="240" w:val="left"/>
        </w:tabs>
        <w:numPr>
          <w:ilvl w:val="0"/>
          <w:numId w:val="52"/>
        </w:numPr>
        <w:rPr>
          <w:rFonts w:ascii="Calibri" w:cs="Calibri" w:eastAsia="Calibri" w:hAnsi="Calibri"/>
          <w:sz w:val="13"/>
          <w:szCs w:val="13"/>
          <w:color w:val="auto"/>
        </w:rPr>
      </w:pPr>
      <w:r>
        <w:rPr>
          <w:rFonts w:ascii="Calibri" w:cs="Calibri" w:eastAsia="Calibri" w:hAnsi="Calibri"/>
          <w:sz w:val="13"/>
          <w:szCs w:val="13"/>
          <w:color w:val="auto"/>
        </w:rPr>
        <w:t>Infaton target: 1% - 3%</w:t>
      </w:r>
    </w:p>
    <w:p>
      <w:pPr>
        <w:spacing w:after="0" w:line="10" w:lineRule="exact"/>
        <w:rPr>
          <w:rFonts w:ascii="Calibri" w:cs="Calibri" w:eastAsia="Calibri" w:hAnsi="Calibri"/>
          <w:sz w:val="13"/>
          <w:szCs w:val="13"/>
          <w:color w:val="auto"/>
        </w:rPr>
      </w:pPr>
    </w:p>
    <w:p>
      <w:pPr>
        <w:ind w:left="240" w:hanging="236"/>
        <w:spacing w:after="0"/>
        <w:tabs>
          <w:tab w:leader="none" w:pos="240" w:val="left"/>
        </w:tabs>
        <w:numPr>
          <w:ilvl w:val="0"/>
          <w:numId w:val="52"/>
        </w:numPr>
        <w:rPr>
          <w:rFonts w:ascii="Calibri" w:cs="Calibri" w:eastAsia="Calibri" w:hAnsi="Calibri"/>
          <w:sz w:val="13"/>
          <w:szCs w:val="13"/>
          <w:color w:val="auto"/>
        </w:rPr>
      </w:pPr>
      <w:r>
        <w:rPr>
          <w:rFonts w:ascii="Calibri" w:cs="Calibri" w:eastAsia="Calibri" w:hAnsi="Calibri"/>
          <w:sz w:val="13"/>
          <w:szCs w:val="13"/>
          <w:color w:val="auto"/>
        </w:rPr>
        <w:t>Negatve % change indicates depreciaton.</w:t>
      </w:r>
    </w:p>
    <w:p>
      <w:pPr>
        <w:spacing w:after="0" w:line="10" w:lineRule="exact"/>
        <w:rPr>
          <w:rFonts w:ascii="Calibri" w:cs="Calibri" w:eastAsia="Calibri" w:hAnsi="Calibri"/>
          <w:sz w:val="13"/>
          <w:szCs w:val="13"/>
          <w:color w:val="auto"/>
        </w:rPr>
      </w:pPr>
    </w:p>
    <w:p>
      <w:pPr>
        <w:ind w:left="240" w:hanging="236"/>
        <w:spacing w:after="0"/>
        <w:tabs>
          <w:tab w:leader="none" w:pos="240" w:val="left"/>
        </w:tabs>
        <w:numPr>
          <w:ilvl w:val="0"/>
          <w:numId w:val="52"/>
        </w:numPr>
        <w:rPr>
          <w:rFonts w:ascii="Calibri" w:cs="Calibri" w:eastAsia="Calibri" w:hAnsi="Calibri"/>
          <w:sz w:val="13"/>
          <w:szCs w:val="13"/>
          <w:color w:val="auto"/>
        </w:rPr>
      </w:pPr>
      <w:r>
        <w:rPr>
          <w:rFonts w:ascii="Calibri" w:cs="Calibri" w:eastAsia="Calibri" w:hAnsi="Calibri"/>
          <w:sz w:val="13"/>
          <w:szCs w:val="13"/>
          <w:color w:val="auto"/>
        </w:rPr>
        <w:t>Grey area indicate estmates by BCP Economic Research as of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814070</wp:posOffset>
            </wp:positionV>
            <wp:extent cx="713740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98360" cy="5949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8360" cy="59499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5" w:name="page46"/>
    <w:bookmarkEnd w:id="45"/>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11. Economic Outlook</w:t>
      </w:r>
    </w:p>
    <w:p>
      <w:pPr>
        <w:spacing w:after="0" w:line="22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Main Macroeconomic Variables</w:t>
      </w:r>
    </w:p>
    <w:p>
      <w:pPr>
        <w:spacing w:after="0" w:line="170" w:lineRule="exact"/>
        <w:rPr>
          <w:sz w:val="20"/>
          <w:szCs w:val="20"/>
          <w:color w:val="auto"/>
        </w:rPr>
      </w:pPr>
    </w:p>
    <w:p>
      <w:pPr>
        <w:jc w:val="center"/>
        <w:ind w:right="5840"/>
        <w:spacing w:after="0"/>
        <w:rPr>
          <w:sz w:val="20"/>
          <w:szCs w:val="20"/>
          <w:color w:val="auto"/>
        </w:rPr>
      </w:pPr>
      <w:r>
        <w:rPr>
          <w:rFonts w:ascii="Calibri" w:cs="Calibri" w:eastAsia="Calibri" w:hAnsi="Calibri"/>
          <w:sz w:val="17"/>
          <w:szCs w:val="17"/>
          <w:b w:val="1"/>
          <w:bCs w:val="1"/>
          <w:color w:val="auto"/>
        </w:rPr>
        <w:t>Gross Domestc Product</w:t>
      </w:r>
    </w:p>
    <w:p>
      <w:pPr>
        <w:spacing w:after="0" w:line="1" w:lineRule="exact"/>
        <w:rPr>
          <w:sz w:val="20"/>
          <w:szCs w:val="20"/>
          <w:color w:val="auto"/>
        </w:rPr>
      </w:pPr>
    </w:p>
    <w:p>
      <w:pPr>
        <w:jc w:val="center"/>
        <w:ind w:right="5840"/>
        <w:spacing w:after="0"/>
        <w:rPr>
          <w:sz w:val="20"/>
          <w:szCs w:val="20"/>
          <w:color w:val="auto"/>
        </w:rPr>
      </w:pPr>
      <w:r>
        <w:rPr>
          <w:rFonts w:ascii="Calibri" w:cs="Calibri" w:eastAsia="Calibri" w:hAnsi="Calibri"/>
          <w:sz w:val="17"/>
          <w:szCs w:val="17"/>
          <w:color w:val="auto"/>
        </w:rPr>
        <w:t>(Annual Real Variatons, % YoY)</w:t>
      </w:r>
    </w:p>
    <w:p>
      <w:pPr>
        <w:spacing w:after="0" w:line="2" w:lineRule="exact"/>
        <w:rPr>
          <w:sz w:val="20"/>
          <w:szCs w:val="20"/>
          <w:color w:val="auto"/>
        </w:rPr>
      </w:pPr>
    </w:p>
    <w:p>
      <w:pPr>
        <w:jc w:val="both"/>
        <w:ind w:left="5840"/>
        <w:spacing w:after="0"/>
        <w:rPr>
          <w:sz w:val="20"/>
          <w:szCs w:val="20"/>
          <w:color w:val="auto"/>
        </w:rPr>
      </w:pPr>
      <w:r>
        <w:rPr>
          <w:rFonts w:ascii="Calibri" w:cs="Calibri" w:eastAsia="Calibri" w:hAnsi="Calibri"/>
          <w:sz w:val="17"/>
          <w:szCs w:val="17"/>
          <w:color w:val="auto"/>
        </w:rPr>
        <w:t>In 2Q25, GDP grew by around 3% year-on-year. Non- primary sectors and domestc demand showed even greater dynamism, supported by high terms of trade, a contnued recovery in formal employment, and infaton comfortably within the target range of the Central Bank (BCRP). Thus, the slowdown compared to 1Q25 was mainly due to weaker performance in primary sectors (mining, fshing, and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-652780</wp:posOffset>
            </wp:positionV>
            <wp:extent cx="3403600" cy="14624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03600" cy="1462405"/>
                    </a:xfrm>
                    <a:prstGeom prst="rect">
                      <a:avLst/>
                    </a:prstGeom>
                    <a:noFill/>
                  </pic:spPr>
                </pic:pic>
              </a:graphicData>
            </a:graphic>
          </wp:anchor>
        </w:drawing>
      </w:r>
    </w:p>
    <w:p>
      <w:pPr>
        <w:spacing w:after="0" w:line="179" w:lineRule="exact"/>
        <w:rPr>
          <w:sz w:val="20"/>
          <w:szCs w:val="20"/>
          <w:color w:val="auto"/>
        </w:rPr>
      </w:pPr>
    </w:p>
    <w:p>
      <w:pPr>
        <w:jc w:val="both"/>
        <w:ind w:left="5840"/>
        <w:spacing w:after="0"/>
        <w:rPr>
          <w:sz w:val="20"/>
          <w:szCs w:val="20"/>
          <w:color w:val="auto"/>
        </w:rPr>
      </w:pPr>
      <w:r>
        <w:rPr>
          <w:rFonts w:ascii="Calibri" w:cs="Calibri" w:eastAsia="Calibri" w:hAnsi="Calibri"/>
          <w:sz w:val="17"/>
          <w:szCs w:val="17"/>
          <w:color w:val="auto"/>
        </w:rPr>
        <w:t>It is important to highlight the double-digit growth in key indicators for private investment, such as heavy vehicle sales, capital goods imports, and terms of trade (at a 75-year high). Meanwhile, business investment expectatons at 3 and 12 months reached their highest level in 12 years (or since 2013, when data frst became available), according to the BCRP survey.</w:t>
      </w:r>
    </w:p>
    <w:p>
      <w:pPr>
        <w:spacing w:after="0" w:line="210" w:lineRule="exact"/>
        <w:rPr>
          <w:sz w:val="20"/>
          <w:szCs w:val="20"/>
          <w:color w:val="auto"/>
        </w:rPr>
      </w:pPr>
    </w:p>
    <w:p>
      <w:pPr>
        <w:jc w:val="center"/>
        <w:ind w:right="5840"/>
        <w:spacing w:after="0"/>
        <w:rPr>
          <w:sz w:val="20"/>
          <w:szCs w:val="20"/>
          <w:color w:val="auto"/>
        </w:rPr>
      </w:pPr>
      <w:r>
        <w:rPr>
          <w:rFonts w:ascii="Calibri" w:cs="Calibri" w:eastAsia="Calibri" w:hAnsi="Calibri"/>
          <w:sz w:val="17"/>
          <w:szCs w:val="17"/>
          <w:b w:val="1"/>
          <w:bCs w:val="1"/>
          <w:color w:val="auto"/>
        </w:rPr>
        <w:t>Annual Infaton and Central Bank Reference Rate</w:t>
      </w:r>
    </w:p>
    <w:p>
      <w:pPr>
        <w:spacing w:after="0" w:line="1" w:lineRule="exact"/>
        <w:rPr>
          <w:sz w:val="20"/>
          <w:szCs w:val="20"/>
          <w:color w:val="auto"/>
        </w:rPr>
      </w:pPr>
    </w:p>
    <w:p>
      <w:pPr>
        <w:jc w:val="center"/>
        <w:ind w:right="5840"/>
        <w:spacing w:after="0"/>
        <w:rPr>
          <w:sz w:val="20"/>
          <w:szCs w:val="20"/>
          <w:color w:val="auto"/>
        </w:rPr>
      </w:pPr>
      <w:r>
        <w:rPr>
          <w:rFonts w:ascii="Calibri" w:cs="Calibri" w:eastAsia="Calibri" w:hAnsi="Calibri"/>
          <w:sz w:val="17"/>
          <w:szCs w:val="17"/>
          <w:color w:val="auto"/>
        </w:rPr>
        <w:t>(%)</w:t>
      </w:r>
    </w:p>
    <w:p>
      <w:pPr>
        <w:spacing w:after="0" w:line="2" w:lineRule="exact"/>
        <w:rPr>
          <w:sz w:val="20"/>
          <w:szCs w:val="20"/>
          <w:color w:val="auto"/>
        </w:rPr>
      </w:pPr>
    </w:p>
    <w:p>
      <w:pPr>
        <w:jc w:val="both"/>
        <w:ind w:left="5840"/>
        <w:spacing w:after="0"/>
        <w:rPr>
          <w:sz w:val="20"/>
          <w:szCs w:val="20"/>
          <w:color w:val="auto"/>
        </w:rPr>
      </w:pPr>
      <w:r>
        <w:rPr>
          <w:rFonts w:ascii="Calibri" w:cs="Calibri" w:eastAsia="Calibri" w:hAnsi="Calibri"/>
          <w:sz w:val="17"/>
          <w:szCs w:val="17"/>
          <w:color w:val="auto"/>
        </w:rPr>
        <w:t>Infaton, measured using the Consumer Price Index of Metropolitan Lima, slightly accelerated from 1.3% at the end of 1Q25 to 1.7% at the end of 2Q25, remaining below 2.0% (the midpoint of the BCRP’s target range of 1% – 3%) for the seventh consecutve month. This represents one of the lowest infaton rates among emerging and developed economies. Meanwhile, core infaton (excluding food and energy) eased from 1.9% to 1.7% over the same period, reaching its lowest level since February 2021 and marking its fourth consecutve month below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-908050</wp:posOffset>
            </wp:positionV>
            <wp:extent cx="3312795" cy="14954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12795" cy="149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39" w:lineRule="auto"/>
        <w:rPr>
          <w:sz w:val="20"/>
          <w:szCs w:val="20"/>
          <w:color w:val="auto"/>
        </w:rPr>
      </w:pPr>
      <w:r>
        <w:rPr>
          <w:rFonts w:ascii="Calibri" w:cs="Calibri" w:eastAsia="Calibri" w:hAnsi="Calibri"/>
          <w:sz w:val="17"/>
          <w:szCs w:val="17"/>
          <w:color w:val="auto"/>
        </w:rPr>
        <w:t>At its July 2025 monetary policy meetng, the BCRP decided to keep its reference rate at 4.50%. The previous cut occurred in April 2025, when the rate was lowered by 25 basis points. Since September 2023, when the rate-cutng cycle began, the reference rate has been reduced by a total of 325 basis points.</w:t>
      </w:r>
    </w:p>
    <w:p>
      <w:pPr>
        <w:spacing w:after="0" w:line="166" w:lineRule="exact"/>
        <w:rPr>
          <w:sz w:val="20"/>
          <w:szCs w:val="20"/>
          <w:color w:val="auto"/>
        </w:rPr>
      </w:pPr>
    </w:p>
    <w:p>
      <w:pPr>
        <w:jc w:val="center"/>
        <w:ind w:right="5840"/>
        <w:spacing w:after="0"/>
        <w:rPr>
          <w:sz w:val="20"/>
          <w:szCs w:val="20"/>
          <w:color w:val="auto"/>
        </w:rPr>
      </w:pPr>
      <w:r>
        <w:rPr>
          <w:rFonts w:ascii="Calibri" w:cs="Calibri" w:eastAsia="Calibri" w:hAnsi="Calibri"/>
          <w:sz w:val="16"/>
          <w:szCs w:val="16"/>
          <w:b w:val="1"/>
          <w:bCs w:val="1"/>
          <w:color w:val="auto"/>
        </w:rPr>
        <w:t>Fiscal Balance and Current Account Balance</w:t>
      </w:r>
    </w:p>
    <w:p>
      <w:pPr>
        <w:spacing w:after="0" w:line="5" w:lineRule="exact"/>
        <w:rPr>
          <w:sz w:val="20"/>
          <w:szCs w:val="20"/>
          <w:color w:val="auto"/>
        </w:rPr>
      </w:pPr>
    </w:p>
    <w:p>
      <w:pPr>
        <w:ind w:left="2040"/>
        <w:spacing w:after="0"/>
        <w:rPr>
          <w:sz w:val="20"/>
          <w:szCs w:val="20"/>
          <w:color w:val="auto"/>
        </w:rPr>
      </w:pPr>
      <w:r>
        <w:rPr>
          <w:rFonts w:ascii="Calibri" w:cs="Calibri" w:eastAsia="Calibri" w:hAnsi="Calibri"/>
          <w:sz w:val="17"/>
          <w:szCs w:val="17"/>
          <w:color w:val="auto"/>
        </w:rPr>
        <w:t>(% of GDP, Quarter)</w:t>
      </w:r>
    </w:p>
    <w:p>
      <w:pPr>
        <w:spacing w:after="0" w:line="223" w:lineRule="exact"/>
        <w:rPr>
          <w:sz w:val="20"/>
          <w:szCs w:val="20"/>
          <w:color w:val="auto"/>
        </w:rPr>
      </w:pPr>
    </w:p>
    <w:p>
      <w:pPr>
        <w:jc w:val="both"/>
        <w:ind w:left="5840"/>
        <w:spacing w:after="0"/>
        <w:rPr>
          <w:sz w:val="20"/>
          <w:szCs w:val="20"/>
          <w:color w:val="auto"/>
        </w:rPr>
      </w:pPr>
      <w:r>
        <w:rPr>
          <w:rFonts w:ascii="Calibri" w:cs="Calibri" w:eastAsia="Calibri" w:hAnsi="Calibri"/>
          <w:sz w:val="17"/>
          <w:szCs w:val="17"/>
          <w:color w:val="auto"/>
        </w:rPr>
        <w:t>The annualized fscal defcit as of June 2025 stood at 2.6% of GDP, below the March 2025 level of 3.3% of GDP. In 2Q25, fscal revenues increased 16.1% YoY, driven by higher income tax collectons—mainly from regularizaton—and general sales tax, in a context of cyclical economic recovery and historically high terms of trade. Meanwhile, non-fnancial public spending grew 6.2% YoY, due to a 6.0% YoY increase in current expenditures (wages: +8.2% YoY) and a 6.5% YoY rise in public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1519555</wp:posOffset>
            </wp:positionV>
            <wp:extent cx="713740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-916940</wp:posOffset>
            </wp:positionV>
            <wp:extent cx="3255010" cy="13881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55010" cy="13881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701675</wp:posOffset>
            </wp:positionV>
            <wp:extent cx="7198360" cy="6115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8360" cy="61150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6" w:name="page47"/>
    <w:bookmarkEnd w:id="46"/>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121920</wp:posOffset>
            </wp:positionV>
            <wp:extent cx="7137400" cy="628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11. Economic Outlook</w:t>
      </w:r>
    </w:p>
    <w:p>
      <w:pPr>
        <w:spacing w:after="0" w:line="8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In 2Q25, there were no changes from credit ratng agencies. The three main ratng agencies assign diferent assessments to Peru’s sovereign debt. Moody’s rates it at Baa1 (three notches above investment grade), Fitch at BBB (two notches above investment grade), and S&amp;P at BBB- (the lowest investment grade level). All three maintain a stable outlook for the country’s credit ratng.</w:t>
      </w:r>
    </w:p>
    <w:p>
      <w:pPr>
        <w:spacing w:after="0" w:line="174"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Regarding external accounts, the current account surplus closed 1Q25 at 2.3% of GDP (accumulated over the last four quarters), a slight increase from the 2.2% of GDP surplus at the end of 2024. This marks six consecutve quarters of surplus and represents the best result since Q2 2007.</w:t>
      </w:r>
    </w:p>
    <w:p>
      <w:pPr>
        <w:spacing w:after="0" w:line="211"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The 12-month accumulated trade balance surplus as of May 2025 stood at US$ 26.2 billion, similar to the value recorded in March 2025. Imports grew 8.5% YoY to US$ 54.8 billion, driven by a 12.6% increase in capital goods and a 12.0% rise in consumer goods. Exports grew 18.2% YoY to US$ 81.0 billion, reaching a historic high. Export growth was led by gold exports (+41% YoY) amid favorable prices, and to a lesser extent by non-traditonal agricultural exports (+29% YoY).</w:t>
      </w:r>
    </w:p>
    <w:p>
      <w:pPr>
        <w:spacing w:after="0" w:line="174"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In May 2025, terms of trade rose 17.3% YoY, reaching a new historic high, driven by a 10.2% YoY increase in export prices (mainly due to higher gold and copper prices). Import prices, on the other hand, fell 6.1% YoY due to lower prices for oil and industrial inputs.</w:t>
      </w:r>
    </w:p>
    <w:p>
      <w:pPr>
        <w:spacing w:after="0" w:line="223" w:lineRule="exact"/>
        <w:rPr>
          <w:sz w:val="20"/>
          <w:szCs w:val="20"/>
          <w:color w:val="auto"/>
        </w:rPr>
      </w:pPr>
    </w:p>
    <w:p>
      <w:pPr>
        <w:ind w:left="2200"/>
        <w:spacing w:after="0"/>
        <w:rPr>
          <w:sz w:val="20"/>
          <w:szCs w:val="20"/>
          <w:color w:val="auto"/>
        </w:rPr>
      </w:pPr>
      <w:r>
        <w:rPr>
          <w:rFonts w:ascii="Calibri" w:cs="Calibri" w:eastAsia="Calibri" w:hAnsi="Calibri"/>
          <w:sz w:val="17"/>
          <w:szCs w:val="17"/>
          <w:b w:val="1"/>
          <w:bCs w:val="1"/>
          <w:color w:val="auto"/>
        </w:rPr>
        <w:t>Exchange Rate</w:t>
      </w:r>
    </w:p>
    <w:p>
      <w:pPr>
        <w:ind w:left="2140"/>
        <w:spacing w:after="0" w:line="198" w:lineRule="auto"/>
        <w:rPr>
          <w:sz w:val="20"/>
          <w:szCs w:val="20"/>
          <w:color w:val="auto"/>
        </w:rPr>
      </w:pPr>
      <w:r>
        <w:rPr>
          <w:rFonts w:ascii="Calibri" w:cs="Calibri" w:eastAsia="Calibri" w:hAnsi="Calibri"/>
          <w:sz w:val="19"/>
          <w:szCs w:val="19"/>
          <w:color w:val="auto"/>
        </w:rPr>
        <w:t>(PEN per USD)</w:t>
      </w:r>
    </w:p>
    <w:p>
      <w:pPr>
        <w:ind w:left="5840"/>
        <w:spacing w:after="0" w:line="199" w:lineRule="auto"/>
        <w:rPr>
          <w:sz w:val="20"/>
          <w:szCs w:val="20"/>
          <w:color w:val="auto"/>
        </w:rPr>
      </w:pPr>
      <w:r>
        <w:rPr>
          <w:rFonts w:ascii="Calibri" w:cs="Calibri" w:eastAsia="Calibri" w:hAnsi="Calibri"/>
          <w:sz w:val="17"/>
          <w:szCs w:val="17"/>
          <w:color w:val="auto"/>
        </w:rPr>
        <w:t>According to the BCRP, the exchange rate closed 2Q25 at USDPEN 3.54. Thus,</w:t>
      </w:r>
    </w:p>
    <w:p>
      <w:pPr>
        <w:spacing w:after="0" w:line="1"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the Peruvian sol appreciated 3.5% compared to the end of 1Q25 and by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-50800</wp:posOffset>
            </wp:positionV>
            <wp:extent cx="3263265" cy="2048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63265" cy="2048510"/>
                    </a:xfrm>
                    <a:prstGeom prst="rect">
                      <a:avLst/>
                    </a:prstGeom>
                    <a:noFill/>
                  </pic:spPr>
                </pic:pic>
              </a:graphicData>
            </a:graphic>
          </wp:anchor>
        </w:drawing>
      </w:r>
    </w:p>
    <w:p>
      <w:pPr>
        <w:ind w:left="5840"/>
        <w:spacing w:after="0"/>
        <w:rPr>
          <w:sz w:val="20"/>
          <w:szCs w:val="20"/>
          <w:color w:val="auto"/>
        </w:rPr>
      </w:pPr>
      <w:r>
        <w:rPr>
          <w:rFonts w:ascii="Calibri" w:cs="Calibri" w:eastAsia="Calibri" w:hAnsi="Calibri"/>
          <w:sz w:val="17"/>
          <w:szCs w:val="17"/>
          <w:color w:val="auto"/>
        </w:rPr>
        <w:t>compared to the end of 4Q24 (USDPEN 3.77). The global dollar index</w:t>
      </w:r>
    </w:p>
    <w:p>
      <w:pPr>
        <w:spacing w:after="0" w:line="1"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depreciated around 7% in 2Q25 compared to the previous quarter and 11%</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6"/>
          <w:szCs w:val="16"/>
          <w:color w:val="auto"/>
        </w:rPr>
        <w:t>compared to 4Q24, amid ongoing uncertainty caused by Trump’s policies. As a</w:t>
      </w:r>
    </w:p>
    <w:p>
      <w:pPr>
        <w:spacing w:after="0" w:line="11"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result, regional currencies appreciated (Mexican peso 8.4%, Brazilian real</w:t>
      </w:r>
    </w:p>
    <w:p>
      <w:pPr>
        <w:spacing w:after="0" w:line="1"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4.8%, Chilean peso 2.0%, and</w:t>
      </w:r>
    </w:p>
    <w:p>
      <w:pPr>
        <w:spacing w:after="0" w:line="1"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Colombian peso 2.3%).</w:t>
      </w:r>
    </w:p>
    <w:p>
      <w:pPr>
        <w:spacing w:after="0" w:line="171" w:lineRule="exact"/>
        <w:rPr>
          <w:sz w:val="20"/>
          <w:szCs w:val="20"/>
          <w:color w:val="auto"/>
        </w:rPr>
      </w:pPr>
    </w:p>
    <w:p>
      <w:pPr>
        <w:jc w:val="both"/>
        <w:ind w:left="5840"/>
        <w:spacing w:after="0" w:line="239" w:lineRule="auto"/>
        <w:rPr>
          <w:sz w:val="20"/>
          <w:szCs w:val="20"/>
          <w:color w:val="auto"/>
        </w:rPr>
      </w:pPr>
      <w:r>
        <w:rPr>
          <w:rFonts w:ascii="Calibri" w:cs="Calibri" w:eastAsia="Calibri" w:hAnsi="Calibri"/>
          <w:sz w:val="17"/>
          <w:szCs w:val="17"/>
          <w:color w:val="auto"/>
        </w:rPr>
        <w:t>During 2Q25, the BCRP intervened in the spot foreign exchange market only once, selling US$ 1 million on May 13 at an exchange rate of USDPEN 3.689. This was the only spot sale so far this year.</w:t>
      </w:r>
    </w:p>
    <w:p>
      <w:pPr>
        <w:spacing w:after="0" w:line="213" w:lineRule="exact"/>
        <w:rPr>
          <w:sz w:val="20"/>
          <w:szCs w:val="20"/>
          <w:color w:val="auto"/>
        </w:rPr>
      </w:pPr>
    </w:p>
    <w:p>
      <w:pPr>
        <w:jc w:val="both"/>
        <w:ind w:left="5840"/>
        <w:spacing w:after="0"/>
        <w:rPr>
          <w:sz w:val="20"/>
          <w:szCs w:val="20"/>
          <w:color w:val="auto"/>
        </w:rPr>
      </w:pPr>
      <w:r>
        <w:rPr>
          <w:rFonts w:ascii="Calibri" w:cs="Calibri" w:eastAsia="Calibri" w:hAnsi="Calibri"/>
          <w:sz w:val="17"/>
          <w:szCs w:val="17"/>
          <w:color w:val="auto"/>
        </w:rPr>
        <w:t>Net Internatonal Reserves (NIR) closed 2Q25 at US$ 85.2 billion, above the US$ 81.0 billion at the end of 1Q25 and the US$ 79.0 billion at the end of 4Q24. Meanwhile, the BCRP’s foreign exchange positon closed 2Q25 at US$ 56.0 billion, an increase of US$ 991 million compared to the end of 1Q25 and US$ 2.4 billion compared to the end of 4Q24.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1097280</wp:posOffset>
            </wp:positionV>
            <wp:extent cx="713740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246380</wp:posOffset>
            </wp:positionV>
            <wp:extent cx="7195185" cy="6445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5185" cy="64452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7" w:name="page48"/>
    <w:bookmarkEnd w:id="47"/>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2311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Safe Harbor for Forward-Looking Statements</w:t>
      </w:r>
    </w:p>
    <w:p>
      <w:pPr>
        <w:spacing w:after="0" w:line="226"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This material includes “forward-looking statements” within the meaning of Secton 27A of the U.S. Securites Act of 1933 and Secton 21E of the U.S. Securites Exchange Act of 1934. All statements other than statements of historical fact are forward-looking and may contain informaton about fnancial results, economic conditons, trends and known uncertaintes. Forward-looking statements are not assurances of future performance. Instead, they are based only on our management’s current views, beliefs, expectatons and assumptons regarding the future of our business, future plans and strategies, projectons, antcipated events and trends, the economy and other future conditons.</w:t>
      </w:r>
    </w:p>
    <w:p>
      <w:pPr>
        <w:spacing w:after="0" w:line="172"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Many forward-looking statements can be identfed by words such as: “antcipate”, “intend”, “plan”, “goal”, “seek”, “believe”, “project”, “estmate”, “expect”, “strategy”, “future”, “likely”, “would”, “may”, “should”, “will”, “see” and similar references to future periods. Examples of forward-looking statements include, among others, statements or estmates we make regarding guidance relatng to losses in our credit portolio, efciency rato, provisions and non-performing loans, current or future market risk and future market conditons, expected macroeconomic events and conditons, our belief that we have sufcient capital and liquidity to fund our business operatons, expectatons of the efect on our fnancial conditon of claims, legal actons, environmental costs, contngent liabilites and governmental and regulatory investgatons and proceedings, strategy for customer retenton, growth, governmental programs and regulatory initatves, credit administraton, product development, market positon, fnancial results and reserves and strategy for risk management.</w:t>
      </w:r>
    </w:p>
    <w:p>
      <w:pPr>
        <w:spacing w:after="0" w:line="213"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We cauton readers that forward-looking statements involve known and unknown risks and uncertaintes that could cause actual results, performance, or events to difer materially from those that we expect or that are expressed or implied in the forward-looking statements, depending on the outcome of certain factors, including, without limitaton, adverse changes in:</w:t>
      </w:r>
    </w:p>
    <w:p>
      <w:pPr>
        <w:spacing w:after="0" w:line="172" w:lineRule="exact"/>
        <w:rPr>
          <w:sz w:val="20"/>
          <w:szCs w:val="20"/>
          <w:color w:val="auto"/>
        </w:rPr>
      </w:pP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The occurrence of natural disasters or politcal or social instability in Peru;</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The adequacy of the dividends that our subsidiaries are able to pay to us, which may afect our ability to pay dividends to shareholders and corporate expenses;</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Performance of, and volatlity in, fnancial markets, including Latn-American and other markets;</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The frequency, severity and types of insured loss events;</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Fluctuatons in interest rate levels;</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Foreign currency exchange rates, including the Sol/US Dollar exchange rate;</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Deterioraton in the quality of our loan portolio;</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Increasing levels of competton in Peru and other markets in which we operate;</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Developments and changes in laws and regulatons afectng the fnancial sector and adopton of new internatonal guidelines;</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Changes in the policies of central banks and/or foreign governments;</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Efectveness of our risk management policies and of our operatonal and security systems;</w:t>
      </w: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Losses associated with counterparty exposures;</w:t>
      </w:r>
    </w:p>
    <w:p>
      <w:pPr>
        <w:spacing w:after="0" w:line="2" w:lineRule="exact"/>
        <w:rPr>
          <w:rFonts w:ascii="Calibri" w:cs="Calibri" w:eastAsia="Calibri" w:hAnsi="Calibri"/>
          <w:sz w:val="17"/>
          <w:szCs w:val="17"/>
          <w:color w:val="auto"/>
        </w:rPr>
      </w:pPr>
    </w:p>
    <w:p>
      <w:pPr>
        <w:ind w:left="120" w:right="360" w:hanging="116"/>
        <w:spacing w:after="0" w:line="239" w:lineRule="auto"/>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The scope of the coronavirus (“COVID-19”) outbreak, actons taken to contain the COVID-19 and related economic efects from such actons and our ability to maintain adequate stafng; and</w:t>
      </w:r>
    </w:p>
    <w:p>
      <w:pPr>
        <w:spacing w:after="0" w:line="1" w:lineRule="exact"/>
        <w:rPr>
          <w:rFonts w:ascii="Calibri" w:cs="Calibri" w:eastAsia="Calibri" w:hAnsi="Calibri"/>
          <w:sz w:val="17"/>
          <w:szCs w:val="17"/>
          <w:color w:val="auto"/>
        </w:rPr>
      </w:pPr>
    </w:p>
    <w:p>
      <w:pPr>
        <w:ind w:left="120" w:hanging="116"/>
        <w:spacing w:after="0"/>
        <w:tabs>
          <w:tab w:leader="none" w:pos="12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Changes in Bermuda laws and regulatons applicable to so-called non-resident enttes.</w:t>
      </w:r>
    </w:p>
    <w:p>
      <w:pPr>
        <w:spacing w:after="0" w:line="210"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See “Item 3. Key Informaton—3. D Risk Factors” and “Item 5. Operatng and Financial Review and Prospects” in our most recent Annual Report on Form 20-F fled with the U.S. Securites and Exchange Commission for additonal informaton and other such factors. You are cautoned not to place undue reliance on these forward-looking statements, which speak only as of the date hereof and are based only on informaton currently available to us. Therefore, you should not rely on any of these forward-looking statements. We undertake no obligaton to publicly update or revise these or any other forward-looking statements that may be made to refect events or circumstances afer the date hereof, whether as a result of changes in our business strategy or new informaton, to refect the occurrence of unantcipated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850265</wp:posOffset>
            </wp:positionV>
            <wp:extent cx="713740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123190</wp:posOffset>
            </wp:positionV>
            <wp:extent cx="7195185" cy="628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5185" cy="62801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8" w:name="page49"/>
    <w:bookmarkEnd w:id="48"/>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628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7400" cy="62801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E93BAC"/>
        </w:rPr>
        <w:t xml:space="preserve">12 </w:t>
      </w:r>
      <w:r>
        <w:rPr>
          <w:rFonts w:ascii="Calibri" w:cs="Calibri" w:eastAsia="Calibri" w:hAnsi="Calibri"/>
          <w:sz w:val="31"/>
          <w:szCs w:val="31"/>
          <w:color w:val="E93BAC"/>
        </w:rPr>
        <w:t>Appendix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12.1.</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Evoluton of Loans in Average Daily Balances</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46</w:t>
            </w:r>
          </w:p>
        </w:tc>
      </w:tr>
      <w:tr>
        <w:trPr>
          <w:trHeight w:val="338"/>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12.2.</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Loan Portolio Quality</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46</w:t>
            </w:r>
          </w:p>
        </w:tc>
      </w:tr>
      <w:tr>
        <w:trPr>
          <w:trHeight w:val="338"/>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12.3.</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Net Interest Income (NII)</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51</w:t>
            </w:r>
          </w:p>
        </w:tc>
      </w:tr>
      <w:tr>
        <w:trPr>
          <w:trHeight w:val="338"/>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12.4.</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Net Interest Margin (NIM) and Risk Adjusted NIM</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50</w:t>
            </w:r>
          </w:p>
        </w:tc>
      </w:tr>
      <w:tr>
        <w:trPr>
          <w:trHeight w:val="390"/>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12.5.</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Physical Point of Contact</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46</w:t>
            </w:r>
          </w:p>
        </w:tc>
      </w:tr>
      <w:tr>
        <w:trPr>
          <w:trHeight w:val="338"/>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12.6.</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Regulatory Capital</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51</w:t>
            </w:r>
          </w:p>
        </w:tc>
      </w:tr>
      <w:tr>
        <w:trPr>
          <w:trHeight w:val="338"/>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12.7.</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Financial Statements and Ratos by Business</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55</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12.7.1. Credicorp Consolidated</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55</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12.7.2. Credicorp Stand-alone</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57</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12.7.3. BCP Consolidated</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58</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12.7.4. BCP Stand-alone</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60</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12.7.5. BCP Bolivia</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62</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12.7.6. Mibanco</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63</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12.7.7. Prima AFP</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64</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12.7.8. Grupo Pacifco</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65</w:t>
            </w:r>
          </w:p>
        </w:tc>
      </w:tr>
      <w:tr>
        <w:trPr>
          <w:trHeight w:val="338"/>
        </w:trPr>
        <w:tc>
          <w:tcPr>
            <w:tcW w:w="7860" w:type="dxa"/>
            <w:vAlign w:val="bottom"/>
            <w:gridSpan w:val="2"/>
          </w:tcPr>
          <w:p>
            <w:pPr>
              <w:ind w:left="580"/>
              <w:spacing w:after="0"/>
              <w:rPr>
                <w:sz w:val="20"/>
                <w:szCs w:val="20"/>
                <w:color w:val="auto"/>
              </w:rPr>
            </w:pPr>
            <w:r>
              <w:rPr>
                <w:rFonts w:ascii="Calibri" w:cs="Calibri" w:eastAsia="Calibri" w:hAnsi="Calibri"/>
                <w:sz w:val="19"/>
                <w:szCs w:val="19"/>
                <w:b w:val="1"/>
                <w:bCs w:val="1"/>
                <w:color w:val="auto"/>
              </w:rPr>
              <w:t>12.7.9. Investment Management and Advisory</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67</w:t>
            </w:r>
          </w:p>
        </w:tc>
      </w:tr>
      <w:tr>
        <w:trPr>
          <w:trHeight w:val="338"/>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12.8.</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Table of Calculatons</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68</w:t>
            </w:r>
          </w:p>
        </w:tc>
      </w:tr>
      <w:tr>
        <w:trPr>
          <w:trHeight w:val="338"/>
        </w:trPr>
        <w:tc>
          <w:tcPr>
            <w:tcW w:w="660" w:type="dxa"/>
            <w:vAlign w:val="bottom"/>
          </w:tcPr>
          <w:p>
            <w:pPr>
              <w:jc w:val="right"/>
              <w:spacing w:after="0"/>
              <w:rPr>
                <w:sz w:val="20"/>
                <w:szCs w:val="20"/>
                <w:color w:val="auto"/>
              </w:rPr>
            </w:pPr>
            <w:r>
              <w:rPr>
                <w:rFonts w:ascii="Calibri" w:cs="Calibri" w:eastAsia="Calibri" w:hAnsi="Calibri"/>
                <w:sz w:val="19"/>
                <w:szCs w:val="19"/>
                <w:b w:val="1"/>
                <w:bCs w:val="1"/>
                <w:color w:val="auto"/>
              </w:rPr>
              <w:t>12.9.</w:t>
            </w:r>
          </w:p>
        </w:tc>
        <w:tc>
          <w:tcPr>
            <w:tcW w:w="7200" w:type="dxa"/>
            <w:vAlign w:val="bottom"/>
          </w:tcPr>
          <w:p>
            <w:pPr>
              <w:ind w:left="20"/>
              <w:spacing w:after="0"/>
              <w:rPr>
                <w:sz w:val="20"/>
                <w:szCs w:val="20"/>
                <w:color w:val="auto"/>
              </w:rPr>
            </w:pPr>
            <w:r>
              <w:rPr>
                <w:rFonts w:ascii="Calibri" w:cs="Calibri" w:eastAsia="Calibri" w:hAnsi="Calibri"/>
                <w:sz w:val="19"/>
                <w:szCs w:val="19"/>
                <w:b w:val="1"/>
                <w:bCs w:val="1"/>
                <w:color w:val="auto"/>
              </w:rPr>
              <w:t>Glossary of terms</w:t>
            </w:r>
          </w:p>
        </w:tc>
        <w:tc>
          <w:tcPr>
            <w:tcW w:w="3380" w:type="dxa"/>
            <w:vAlign w:val="bottom"/>
          </w:tcPr>
          <w:p>
            <w:pPr>
              <w:jc w:val="right"/>
              <w:spacing w:after="0"/>
              <w:rPr>
                <w:sz w:val="20"/>
                <w:szCs w:val="20"/>
                <w:color w:val="auto"/>
              </w:rPr>
            </w:pPr>
            <w:r>
              <w:rPr>
                <w:rFonts w:ascii="Calibri" w:cs="Calibri" w:eastAsia="Calibri" w:hAnsi="Calibri"/>
                <w:sz w:val="19"/>
                <w:szCs w:val="19"/>
                <w:color w:val="auto"/>
              </w:rPr>
              <w:t>69</w:t>
            </w:r>
          </w:p>
        </w:tc>
      </w:tr>
      <w:tr>
        <w:trPr>
          <w:trHeight w:val="1287"/>
        </w:trPr>
        <w:tc>
          <w:tcPr>
            <w:tcW w:w="6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-701675</wp:posOffset>
            </wp:positionV>
            <wp:extent cx="7178675" cy="586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675" cy="586740"/>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9" w:name="page50"/>
    <w:bookmarkEnd w:id="49"/>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37400" cy="2311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12. Appendix</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12.1. Evoluton of Loans in Average Daily Balances</w:t>
      </w:r>
    </w:p>
    <w:p>
      <w:pPr>
        <w:spacing w:after="0" w:line="201"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 xml:space="preserve">Total Loans (in Average Daily Balances) </w:t>
      </w:r>
      <w:r>
        <w:rPr>
          <w:rFonts w:ascii="Calibri" w:cs="Calibri" w:eastAsia="Calibri" w:hAnsi="Calibri"/>
          <w:sz w:val="28"/>
          <w:szCs w:val="28"/>
          <w:b w:val="1"/>
          <w:bCs w:val="1"/>
          <w:color w:val="auto"/>
          <w:vertAlign w:val="superscript"/>
        </w:rPr>
        <w:t>(1)(2)</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72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6"/>
                <w:szCs w:val="16"/>
                <w:b w:val="1"/>
                <w:bCs w:val="1"/>
                <w:color w:val="FFFFFF"/>
              </w:rPr>
              <w:t>Total Loans</w:t>
            </w:r>
          </w:p>
        </w:tc>
        <w:tc>
          <w:tcPr>
            <w:tcW w:w="940" w:type="dxa"/>
            <w:vAlign w:val="bottom"/>
            <w:tcBorders>
              <w:top w:val="single" w:sz="8" w:color="auto"/>
            </w:tcBorders>
            <w:shd w:val="clear" w:color="auto" w:fill="33CCCC"/>
          </w:tcPr>
          <w:p>
            <w:pPr>
              <w:spacing w:after="0"/>
              <w:rPr>
                <w:sz w:val="17"/>
                <w:szCs w:val="17"/>
                <w:color w:val="auto"/>
              </w:rPr>
            </w:pPr>
          </w:p>
        </w:tc>
        <w:tc>
          <w:tcPr>
            <w:tcW w:w="9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w w:val="95"/>
              </w:rPr>
              <w:t>As of</w:t>
            </w:r>
          </w:p>
        </w:tc>
        <w:tc>
          <w:tcPr>
            <w:tcW w:w="920" w:type="dxa"/>
            <w:vAlign w:val="bottom"/>
            <w:tcBorders>
              <w:top w:val="single" w:sz="8" w:color="auto"/>
              <w:right w:val="single" w:sz="8" w:color="auto"/>
            </w:tcBorders>
            <w:shd w:val="clear" w:color="auto" w:fill="33CCCC"/>
          </w:tcPr>
          <w:p>
            <w:pPr>
              <w:spacing w:after="0"/>
              <w:rPr>
                <w:sz w:val="17"/>
                <w:szCs w:val="17"/>
                <w:color w:val="auto"/>
              </w:rPr>
            </w:pPr>
          </w:p>
        </w:tc>
        <w:tc>
          <w:tcPr>
            <w:tcW w:w="1860" w:type="dxa"/>
            <w:vAlign w:val="bottom"/>
            <w:tcBorders>
              <w:top w:val="single" w:sz="8" w:color="auto"/>
              <w:right w:val="single" w:sz="8" w:color="auto"/>
            </w:tcBorders>
            <w:gridSpan w:val="2"/>
            <w:shd w:val="clear" w:color="auto" w:fill="33CCCC"/>
          </w:tcPr>
          <w:p>
            <w:pPr>
              <w:ind w:left="420"/>
              <w:spacing w:after="0"/>
              <w:rPr>
                <w:sz w:val="20"/>
                <w:szCs w:val="20"/>
                <w:color w:val="auto"/>
              </w:rPr>
            </w:pPr>
            <w:r>
              <w:rPr>
                <w:rFonts w:ascii="Calibri" w:cs="Calibri" w:eastAsia="Calibri" w:hAnsi="Calibri"/>
                <w:sz w:val="16"/>
                <w:szCs w:val="16"/>
                <w:b w:val="1"/>
                <w:bCs w:val="1"/>
                <w:color w:val="FFFFFF"/>
              </w:rPr>
              <w:t>Volume change</w:t>
            </w:r>
          </w:p>
        </w:tc>
        <w:tc>
          <w:tcPr>
            <w:tcW w:w="680" w:type="dxa"/>
            <w:vAlign w:val="bottom"/>
            <w:tcBorders>
              <w:top w:val="single" w:sz="8" w:color="auto"/>
            </w:tcBorders>
            <w:shd w:val="clear" w:color="auto" w:fill="33CCCC"/>
          </w:tcPr>
          <w:p>
            <w:pPr>
              <w:spacing w:after="0"/>
              <w:rPr>
                <w:sz w:val="17"/>
                <w:szCs w:val="17"/>
                <w:color w:val="auto"/>
              </w:rPr>
            </w:pPr>
          </w:p>
        </w:tc>
        <w:tc>
          <w:tcPr>
            <w:tcW w:w="1320" w:type="dxa"/>
            <w:vAlign w:val="bottom"/>
            <w:tcBorders>
              <w:top w:val="single" w:sz="8" w:color="auto"/>
              <w:right w:val="single" w:sz="8" w:color="auto"/>
            </w:tcBorders>
            <w:shd w:val="clear" w:color="auto" w:fill="33CCCC"/>
          </w:tcPr>
          <w:p>
            <w:pPr>
              <w:spacing w:after="0"/>
              <w:rPr>
                <w:sz w:val="20"/>
                <w:szCs w:val="20"/>
                <w:color w:val="auto"/>
              </w:rPr>
            </w:pPr>
            <w:r>
              <w:rPr>
                <w:rFonts w:ascii="Calibri" w:cs="Calibri" w:eastAsia="Calibri" w:hAnsi="Calibri"/>
                <w:sz w:val="16"/>
                <w:szCs w:val="16"/>
                <w:b w:val="1"/>
                <w:bCs w:val="1"/>
                <w:color w:val="FFFFFF"/>
              </w:rPr>
              <w:t>% change</w:t>
            </w:r>
          </w:p>
        </w:tc>
        <w:tc>
          <w:tcPr>
            <w:tcW w:w="700" w:type="dxa"/>
            <w:vAlign w:val="bottom"/>
            <w:tcBorders>
              <w:top w:val="single" w:sz="8" w:color="auto"/>
            </w:tcBorders>
            <w:shd w:val="clear" w:color="auto" w:fill="33CCCC"/>
          </w:tcPr>
          <w:p>
            <w:pPr>
              <w:spacing w:after="0"/>
              <w:rPr>
                <w:sz w:val="17"/>
                <w:szCs w:val="17"/>
                <w:color w:val="auto"/>
              </w:rPr>
            </w:pPr>
          </w:p>
        </w:tc>
        <w:tc>
          <w:tcPr>
            <w:tcW w:w="2140" w:type="dxa"/>
            <w:vAlign w:val="bottom"/>
            <w:tcBorders>
              <w:top w:val="single" w:sz="8" w:color="auto"/>
              <w:right w:val="single" w:sz="8" w:color="auto"/>
            </w:tcBorders>
            <w:gridSpan w:val="2"/>
            <w:shd w:val="clear" w:color="auto" w:fill="33CCCC"/>
          </w:tcPr>
          <w:p>
            <w:pPr>
              <w:ind w:left="20"/>
              <w:spacing w:after="0"/>
              <w:rPr>
                <w:sz w:val="20"/>
                <w:szCs w:val="20"/>
                <w:color w:val="auto"/>
              </w:rPr>
            </w:pPr>
            <w:r>
              <w:rPr>
                <w:rFonts w:ascii="Calibri" w:cs="Calibri" w:eastAsia="Calibri" w:hAnsi="Calibri"/>
                <w:sz w:val="16"/>
                <w:szCs w:val="16"/>
                <w:b w:val="1"/>
                <w:bCs w:val="1"/>
                <w:color w:val="FFFFFF"/>
              </w:rPr>
              <w:t>% Part. in total loans</w:t>
            </w: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vMerge w:val="continue"/>
            <w:shd w:val="clear" w:color="auto" w:fill="33CCCC"/>
          </w:tcPr>
          <w:p>
            <w:pPr>
              <w:spacing w:after="0"/>
              <w:rPr>
                <w:sz w:val="6"/>
                <w:szCs w:val="6"/>
                <w:color w:val="auto"/>
              </w:rPr>
            </w:pPr>
          </w:p>
        </w:tc>
        <w:tc>
          <w:tcPr>
            <w:tcW w:w="940" w:type="dxa"/>
            <w:vAlign w:val="bottom"/>
            <w:shd w:val="clear" w:color="auto" w:fill="33CCCC"/>
          </w:tcPr>
          <w:p>
            <w:pPr>
              <w:spacing w:after="0"/>
              <w:rPr>
                <w:sz w:val="6"/>
                <w:szCs w:val="6"/>
                <w:color w:val="auto"/>
              </w:rPr>
            </w:pPr>
          </w:p>
        </w:tc>
        <w:tc>
          <w:tcPr>
            <w:tcW w:w="980" w:type="dxa"/>
            <w:vAlign w:val="bottom"/>
            <w:shd w:val="clear" w:color="auto" w:fill="33CCCC"/>
          </w:tcPr>
          <w:p>
            <w:pPr>
              <w:spacing w:after="0"/>
              <w:rPr>
                <w:sz w:val="6"/>
                <w:szCs w:val="6"/>
                <w:color w:val="auto"/>
              </w:rPr>
            </w:pPr>
          </w:p>
        </w:tc>
        <w:tc>
          <w:tcPr>
            <w:tcW w:w="920" w:type="dxa"/>
            <w:vAlign w:val="bottom"/>
            <w:tcBorders>
              <w:right w:val="single" w:sz="8" w:color="auto"/>
            </w:tcBorders>
            <w:shd w:val="clear" w:color="auto" w:fill="33CCCC"/>
          </w:tcPr>
          <w:p>
            <w:pPr>
              <w:spacing w:after="0"/>
              <w:rPr>
                <w:sz w:val="6"/>
                <w:szCs w:val="6"/>
                <w:color w:val="auto"/>
              </w:rPr>
            </w:pPr>
          </w:p>
        </w:tc>
        <w:tc>
          <w:tcPr>
            <w:tcW w:w="900" w:type="dxa"/>
            <w:vAlign w:val="bottom"/>
            <w:shd w:val="clear" w:color="auto" w:fill="33CCCC"/>
          </w:tcPr>
          <w:p>
            <w:pPr>
              <w:spacing w:after="0"/>
              <w:rPr>
                <w:sz w:val="6"/>
                <w:szCs w:val="6"/>
                <w:color w:val="auto"/>
              </w:rPr>
            </w:pPr>
          </w:p>
        </w:tc>
        <w:tc>
          <w:tcPr>
            <w:tcW w:w="960" w:type="dxa"/>
            <w:vAlign w:val="bottom"/>
            <w:tcBorders>
              <w:right w:val="single" w:sz="8" w:color="auto"/>
            </w:tcBorders>
            <w:shd w:val="clear" w:color="auto" w:fill="33CCCC"/>
          </w:tcPr>
          <w:p>
            <w:pPr>
              <w:spacing w:after="0"/>
              <w:rPr>
                <w:sz w:val="6"/>
                <w:szCs w:val="6"/>
                <w:color w:val="auto"/>
              </w:rPr>
            </w:pPr>
          </w:p>
        </w:tc>
        <w:tc>
          <w:tcPr>
            <w:tcW w:w="680" w:type="dxa"/>
            <w:vAlign w:val="bottom"/>
            <w:shd w:val="clear" w:color="auto" w:fill="33CCCC"/>
          </w:tcPr>
          <w:p>
            <w:pPr>
              <w:spacing w:after="0"/>
              <w:rPr>
                <w:sz w:val="6"/>
                <w:szCs w:val="6"/>
                <w:color w:val="auto"/>
              </w:rPr>
            </w:pPr>
          </w:p>
        </w:tc>
        <w:tc>
          <w:tcPr>
            <w:tcW w:w="1320" w:type="dxa"/>
            <w:vAlign w:val="bottom"/>
            <w:tcBorders>
              <w:right w:val="single" w:sz="8" w:color="auto"/>
            </w:tcBorders>
            <w:shd w:val="clear" w:color="auto" w:fill="33CCCC"/>
          </w:tcPr>
          <w:p>
            <w:pPr>
              <w:spacing w:after="0"/>
              <w:rPr>
                <w:sz w:val="6"/>
                <w:szCs w:val="6"/>
                <w:color w:val="auto"/>
              </w:rPr>
            </w:pPr>
          </w:p>
        </w:tc>
        <w:tc>
          <w:tcPr>
            <w:tcW w:w="700" w:type="dxa"/>
            <w:vAlign w:val="bottom"/>
            <w:shd w:val="clear" w:color="auto" w:fill="33CCCC"/>
          </w:tcPr>
          <w:p>
            <w:pPr>
              <w:spacing w:after="0"/>
              <w:rPr>
                <w:sz w:val="6"/>
                <w:szCs w:val="6"/>
                <w:color w:val="auto"/>
              </w:rPr>
            </w:pPr>
          </w:p>
        </w:tc>
        <w:tc>
          <w:tcPr>
            <w:tcW w:w="1140" w:type="dxa"/>
            <w:vAlign w:val="bottom"/>
            <w:shd w:val="clear" w:color="auto" w:fill="33CCCC"/>
          </w:tcPr>
          <w:p>
            <w:pPr>
              <w:spacing w:after="0"/>
              <w:rPr>
                <w:sz w:val="6"/>
                <w:szCs w:val="6"/>
                <w:color w:val="auto"/>
              </w:rPr>
            </w:pPr>
          </w:p>
        </w:tc>
        <w:tc>
          <w:tcPr>
            <w:tcW w:w="1000" w:type="dxa"/>
            <w:vAlign w:val="bottom"/>
            <w:tcBorders>
              <w:right w:val="single" w:sz="8" w:color="auto"/>
            </w:tcBorders>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6"/>
                <w:szCs w:val="16"/>
                <w:color w:val="FFFFFF"/>
              </w:rPr>
              <w:t>(S/ millions)</w:t>
            </w:r>
          </w:p>
        </w:tc>
        <w:tc>
          <w:tcPr>
            <w:tcW w:w="940" w:type="dxa"/>
            <w:vAlign w:val="bottom"/>
            <w:vMerge w:val="restart"/>
            <w:shd w:val="clear" w:color="auto" w:fill="33CCCC"/>
          </w:tcPr>
          <w:p>
            <w:pPr>
              <w:ind w:left="260"/>
              <w:spacing w:after="0"/>
              <w:rPr>
                <w:sz w:val="20"/>
                <w:szCs w:val="20"/>
                <w:color w:val="auto"/>
              </w:rPr>
            </w:pPr>
            <w:r>
              <w:rPr>
                <w:rFonts w:ascii="Calibri" w:cs="Calibri" w:eastAsia="Calibri" w:hAnsi="Calibri"/>
                <w:sz w:val="16"/>
                <w:szCs w:val="16"/>
                <w:b w:val="1"/>
                <w:bCs w:val="1"/>
                <w:color w:val="FFFFFF"/>
              </w:rPr>
              <w:t>Jun 24</w:t>
            </w:r>
          </w:p>
        </w:tc>
        <w:tc>
          <w:tcPr>
            <w:tcW w:w="980" w:type="dxa"/>
            <w:vAlign w:val="bottom"/>
            <w:vMerge w:val="restart"/>
            <w:shd w:val="clear" w:color="auto" w:fill="33CCCC"/>
          </w:tcPr>
          <w:p>
            <w:pPr>
              <w:jc w:val="center"/>
              <w:spacing w:after="0"/>
              <w:rPr>
                <w:sz w:val="20"/>
                <w:szCs w:val="20"/>
                <w:color w:val="auto"/>
              </w:rPr>
            </w:pPr>
            <w:r>
              <w:rPr>
                <w:rFonts w:ascii="Calibri" w:cs="Calibri" w:eastAsia="Calibri" w:hAnsi="Calibri"/>
                <w:sz w:val="16"/>
                <w:szCs w:val="16"/>
                <w:b w:val="1"/>
                <w:bCs w:val="1"/>
                <w:color w:val="FFFFFF"/>
                <w:w w:val="96"/>
              </w:rPr>
              <w:t>Mar 25</w:t>
            </w:r>
          </w:p>
        </w:tc>
        <w:tc>
          <w:tcPr>
            <w:tcW w:w="920" w:type="dxa"/>
            <w:vAlign w:val="bottom"/>
            <w:tcBorders>
              <w:right w:val="single" w:sz="8" w:color="auto"/>
            </w:tcBorders>
            <w:vMerge w:val="restart"/>
            <w:shd w:val="clear" w:color="auto" w:fill="33CCCC"/>
          </w:tcPr>
          <w:p>
            <w:pPr>
              <w:ind w:left="240"/>
              <w:spacing w:after="0"/>
              <w:rPr>
                <w:sz w:val="20"/>
                <w:szCs w:val="20"/>
                <w:color w:val="auto"/>
              </w:rPr>
            </w:pPr>
            <w:r>
              <w:rPr>
                <w:rFonts w:ascii="Calibri" w:cs="Calibri" w:eastAsia="Calibri" w:hAnsi="Calibri"/>
                <w:sz w:val="16"/>
                <w:szCs w:val="16"/>
                <w:b w:val="1"/>
                <w:bCs w:val="1"/>
                <w:color w:val="FFFFFF"/>
              </w:rPr>
              <w:t>Jun 25</w:t>
            </w:r>
          </w:p>
        </w:tc>
        <w:tc>
          <w:tcPr>
            <w:tcW w:w="900" w:type="dxa"/>
            <w:vAlign w:val="bottom"/>
            <w:vMerge w:val="restart"/>
            <w:shd w:val="clear" w:color="auto" w:fill="33CCCC"/>
          </w:tcPr>
          <w:p>
            <w:pPr>
              <w:ind w:left="300"/>
              <w:spacing w:after="0"/>
              <w:rPr>
                <w:sz w:val="20"/>
                <w:szCs w:val="20"/>
                <w:color w:val="auto"/>
              </w:rPr>
            </w:pPr>
            <w:r>
              <w:rPr>
                <w:rFonts w:ascii="Calibri" w:cs="Calibri" w:eastAsia="Calibri" w:hAnsi="Calibri"/>
                <w:sz w:val="16"/>
                <w:szCs w:val="16"/>
                <w:b w:val="1"/>
                <w:bCs w:val="1"/>
                <w:color w:val="FFFFFF"/>
              </w:rPr>
              <w:t>QoQ</w:t>
            </w:r>
          </w:p>
        </w:tc>
        <w:tc>
          <w:tcPr>
            <w:tcW w:w="960" w:type="dxa"/>
            <w:vAlign w:val="bottom"/>
            <w:tcBorders>
              <w:right w:val="single" w:sz="8" w:color="auto"/>
            </w:tcBorders>
            <w:vMerge w:val="restart"/>
            <w:shd w:val="clear" w:color="auto" w:fill="33CCCC"/>
          </w:tcPr>
          <w:p>
            <w:pPr>
              <w:ind w:left="360"/>
              <w:spacing w:after="0"/>
              <w:rPr>
                <w:sz w:val="20"/>
                <w:szCs w:val="20"/>
                <w:color w:val="auto"/>
              </w:rPr>
            </w:pPr>
            <w:r>
              <w:rPr>
                <w:rFonts w:ascii="Calibri" w:cs="Calibri" w:eastAsia="Calibri" w:hAnsi="Calibri"/>
                <w:sz w:val="16"/>
                <w:szCs w:val="16"/>
                <w:b w:val="1"/>
                <w:bCs w:val="1"/>
                <w:color w:val="FFFFFF"/>
              </w:rPr>
              <w:t>YoY</w:t>
            </w:r>
          </w:p>
        </w:tc>
        <w:tc>
          <w:tcPr>
            <w:tcW w:w="680" w:type="dxa"/>
            <w:vAlign w:val="bottom"/>
            <w:vMerge w:val="restart"/>
            <w:shd w:val="clear" w:color="auto" w:fill="33CCCC"/>
          </w:tcPr>
          <w:p>
            <w:pPr>
              <w:ind w:left="340"/>
              <w:spacing w:after="0"/>
              <w:rPr>
                <w:sz w:val="20"/>
                <w:szCs w:val="20"/>
                <w:color w:val="auto"/>
              </w:rPr>
            </w:pPr>
            <w:r>
              <w:rPr>
                <w:rFonts w:ascii="Calibri" w:cs="Calibri" w:eastAsia="Calibri" w:hAnsi="Calibri"/>
                <w:sz w:val="16"/>
                <w:szCs w:val="16"/>
                <w:b w:val="1"/>
                <w:bCs w:val="1"/>
                <w:color w:val="FFFFFF"/>
              </w:rPr>
              <w:t>QoQ</w:t>
            </w:r>
          </w:p>
        </w:tc>
        <w:tc>
          <w:tcPr>
            <w:tcW w:w="1320" w:type="dxa"/>
            <w:vAlign w:val="bottom"/>
            <w:tcBorders>
              <w:right w:val="single" w:sz="8" w:color="auto"/>
            </w:tcBorders>
            <w:vMerge w:val="restart"/>
            <w:shd w:val="clear" w:color="auto" w:fill="33CCCC"/>
          </w:tcPr>
          <w:p>
            <w:pPr>
              <w:ind w:left="700"/>
              <w:spacing w:after="0"/>
              <w:rPr>
                <w:sz w:val="20"/>
                <w:szCs w:val="20"/>
                <w:color w:val="auto"/>
              </w:rPr>
            </w:pPr>
            <w:r>
              <w:rPr>
                <w:rFonts w:ascii="Calibri" w:cs="Calibri" w:eastAsia="Calibri" w:hAnsi="Calibri"/>
                <w:sz w:val="16"/>
                <w:szCs w:val="16"/>
                <w:b w:val="1"/>
                <w:bCs w:val="1"/>
                <w:color w:val="FFFFFF"/>
              </w:rPr>
              <w:t>YoY</w:t>
            </w:r>
          </w:p>
        </w:tc>
        <w:tc>
          <w:tcPr>
            <w:tcW w:w="700" w:type="dxa"/>
            <w:vAlign w:val="bottom"/>
            <w:vMerge w:val="restart"/>
            <w:shd w:val="clear" w:color="auto" w:fill="33CCCC"/>
          </w:tcPr>
          <w:p>
            <w:pPr>
              <w:ind w:left="240"/>
              <w:spacing w:after="0"/>
              <w:rPr>
                <w:sz w:val="20"/>
                <w:szCs w:val="20"/>
                <w:color w:val="auto"/>
              </w:rPr>
            </w:pPr>
            <w:r>
              <w:rPr>
                <w:rFonts w:ascii="Calibri" w:cs="Calibri" w:eastAsia="Calibri" w:hAnsi="Calibri"/>
                <w:sz w:val="16"/>
                <w:szCs w:val="16"/>
                <w:b w:val="1"/>
                <w:bCs w:val="1"/>
                <w:color w:val="FFFFFF"/>
              </w:rPr>
              <w:t>Jun 24</w:t>
            </w:r>
          </w:p>
        </w:tc>
        <w:tc>
          <w:tcPr>
            <w:tcW w:w="1140" w:type="dxa"/>
            <w:vAlign w:val="bottom"/>
            <w:vMerge w:val="restart"/>
            <w:shd w:val="clear" w:color="auto" w:fill="33CCCC"/>
          </w:tcPr>
          <w:p>
            <w:pPr>
              <w:ind w:left="420"/>
              <w:spacing w:after="0"/>
              <w:rPr>
                <w:sz w:val="20"/>
                <w:szCs w:val="20"/>
                <w:color w:val="auto"/>
              </w:rPr>
            </w:pPr>
            <w:r>
              <w:rPr>
                <w:rFonts w:ascii="Calibri" w:cs="Calibri" w:eastAsia="Calibri" w:hAnsi="Calibri"/>
                <w:sz w:val="16"/>
                <w:szCs w:val="16"/>
                <w:b w:val="1"/>
                <w:bCs w:val="1"/>
                <w:color w:val="FFFFFF"/>
              </w:rPr>
              <w:t>Mar 25</w:t>
            </w:r>
          </w:p>
        </w:tc>
        <w:tc>
          <w:tcPr>
            <w:tcW w:w="1000" w:type="dxa"/>
            <w:vAlign w:val="bottom"/>
            <w:tcBorders>
              <w:right w:val="single" w:sz="8" w:color="auto"/>
            </w:tcBorders>
            <w:vMerge w:val="restart"/>
            <w:shd w:val="clear" w:color="auto" w:fill="33CCCC"/>
          </w:tcPr>
          <w:p>
            <w:pPr>
              <w:ind w:left="280"/>
              <w:spacing w:after="0"/>
              <w:rPr>
                <w:sz w:val="20"/>
                <w:szCs w:val="20"/>
                <w:color w:val="auto"/>
              </w:rPr>
            </w:pPr>
            <w:r>
              <w:rPr>
                <w:rFonts w:ascii="Calibri" w:cs="Calibri" w:eastAsia="Calibri" w:hAnsi="Calibri"/>
                <w:sz w:val="16"/>
                <w:szCs w:val="16"/>
                <w:b w:val="1"/>
                <w:bCs w:val="1"/>
                <w:color w:val="FFFFFF"/>
              </w:rPr>
              <w:t>Jun 25</w:t>
            </w:r>
          </w:p>
        </w:tc>
        <w:tc>
          <w:tcPr>
            <w:tcW w:w="0" w:type="dxa"/>
            <w:vAlign w:val="bottom"/>
          </w:tcPr>
          <w:p>
            <w:pPr>
              <w:spacing w:after="0"/>
              <w:rPr>
                <w:sz w:val="1"/>
                <w:szCs w:val="1"/>
                <w:color w:val="auto"/>
              </w:rPr>
            </w:pPr>
          </w:p>
        </w:tc>
      </w:tr>
      <w:tr>
        <w:trPr>
          <w:trHeight w:val="131"/>
        </w:trPr>
        <w:tc>
          <w:tcPr>
            <w:tcW w:w="1720" w:type="dxa"/>
            <w:vAlign w:val="bottom"/>
            <w:tcBorders>
              <w:left w:val="single" w:sz="8" w:color="auto"/>
              <w:bottom w:val="single" w:sz="8" w:color="33CCCC"/>
              <w:right w:val="single" w:sz="8" w:color="auto"/>
            </w:tcBorders>
            <w:shd w:val="clear" w:color="auto" w:fill="33CCCC"/>
          </w:tcPr>
          <w:p>
            <w:pPr>
              <w:spacing w:after="0"/>
              <w:rPr>
                <w:sz w:val="11"/>
                <w:szCs w:val="11"/>
                <w:color w:val="auto"/>
              </w:rPr>
            </w:pPr>
          </w:p>
        </w:tc>
        <w:tc>
          <w:tcPr>
            <w:tcW w:w="940" w:type="dxa"/>
            <w:vAlign w:val="bottom"/>
            <w:tcBorders>
              <w:bottom w:val="single" w:sz="8" w:color="33CCCC"/>
            </w:tcBorders>
            <w:vMerge w:val="continue"/>
            <w:shd w:val="clear" w:color="auto" w:fill="33CCCC"/>
          </w:tcPr>
          <w:p>
            <w:pPr>
              <w:spacing w:after="0"/>
              <w:rPr>
                <w:sz w:val="11"/>
                <w:szCs w:val="11"/>
                <w:color w:val="auto"/>
              </w:rPr>
            </w:pPr>
          </w:p>
        </w:tc>
        <w:tc>
          <w:tcPr>
            <w:tcW w:w="980" w:type="dxa"/>
            <w:vAlign w:val="bottom"/>
            <w:tcBorders>
              <w:bottom w:val="single" w:sz="8" w:color="33CCCC"/>
            </w:tcBorders>
            <w:vMerge w:val="continue"/>
            <w:shd w:val="clear" w:color="auto" w:fill="33CCCC"/>
          </w:tcPr>
          <w:p>
            <w:pPr>
              <w:spacing w:after="0"/>
              <w:rPr>
                <w:sz w:val="11"/>
                <w:szCs w:val="11"/>
                <w:color w:val="auto"/>
              </w:rPr>
            </w:pPr>
          </w:p>
        </w:tc>
        <w:tc>
          <w:tcPr>
            <w:tcW w:w="920" w:type="dxa"/>
            <w:vAlign w:val="bottom"/>
            <w:tcBorders>
              <w:bottom w:val="single" w:sz="8" w:color="33CCCC"/>
              <w:right w:val="single" w:sz="8" w:color="auto"/>
            </w:tcBorders>
            <w:vMerge w:val="continue"/>
            <w:shd w:val="clear" w:color="auto" w:fill="33CCCC"/>
          </w:tcPr>
          <w:p>
            <w:pPr>
              <w:spacing w:after="0"/>
              <w:rPr>
                <w:sz w:val="11"/>
                <w:szCs w:val="11"/>
                <w:color w:val="auto"/>
              </w:rPr>
            </w:pPr>
          </w:p>
        </w:tc>
        <w:tc>
          <w:tcPr>
            <w:tcW w:w="900" w:type="dxa"/>
            <w:vAlign w:val="bottom"/>
            <w:tcBorders>
              <w:bottom w:val="single" w:sz="8" w:color="33CCCC"/>
            </w:tcBorders>
            <w:vMerge w:val="continue"/>
            <w:shd w:val="clear" w:color="auto" w:fill="33CCCC"/>
          </w:tcPr>
          <w:p>
            <w:pPr>
              <w:spacing w:after="0"/>
              <w:rPr>
                <w:sz w:val="11"/>
                <w:szCs w:val="11"/>
                <w:color w:val="auto"/>
              </w:rPr>
            </w:pPr>
          </w:p>
        </w:tc>
        <w:tc>
          <w:tcPr>
            <w:tcW w:w="960" w:type="dxa"/>
            <w:vAlign w:val="bottom"/>
            <w:tcBorders>
              <w:bottom w:val="single" w:sz="8" w:color="33CCCC"/>
              <w:right w:val="single" w:sz="8" w:color="auto"/>
            </w:tcBorders>
            <w:vMerge w:val="continue"/>
            <w:shd w:val="clear" w:color="auto" w:fill="33CCCC"/>
          </w:tcPr>
          <w:p>
            <w:pPr>
              <w:spacing w:after="0"/>
              <w:rPr>
                <w:sz w:val="11"/>
                <w:szCs w:val="11"/>
                <w:color w:val="auto"/>
              </w:rPr>
            </w:pPr>
          </w:p>
        </w:tc>
        <w:tc>
          <w:tcPr>
            <w:tcW w:w="680" w:type="dxa"/>
            <w:vAlign w:val="bottom"/>
            <w:tcBorders>
              <w:bottom w:val="single" w:sz="8" w:color="33CCCC"/>
            </w:tcBorders>
            <w:vMerge w:val="continue"/>
            <w:shd w:val="clear" w:color="auto" w:fill="33CCCC"/>
          </w:tcPr>
          <w:p>
            <w:pPr>
              <w:spacing w:after="0"/>
              <w:rPr>
                <w:sz w:val="11"/>
                <w:szCs w:val="11"/>
                <w:color w:val="auto"/>
              </w:rPr>
            </w:pPr>
          </w:p>
        </w:tc>
        <w:tc>
          <w:tcPr>
            <w:tcW w:w="1320" w:type="dxa"/>
            <w:vAlign w:val="bottom"/>
            <w:tcBorders>
              <w:bottom w:val="single" w:sz="8" w:color="33CCCC"/>
              <w:right w:val="single" w:sz="8" w:color="auto"/>
            </w:tcBorders>
            <w:vMerge w:val="continue"/>
            <w:shd w:val="clear" w:color="auto" w:fill="33CCCC"/>
          </w:tcPr>
          <w:p>
            <w:pPr>
              <w:spacing w:after="0"/>
              <w:rPr>
                <w:sz w:val="11"/>
                <w:szCs w:val="11"/>
                <w:color w:val="auto"/>
              </w:rPr>
            </w:pPr>
          </w:p>
        </w:tc>
        <w:tc>
          <w:tcPr>
            <w:tcW w:w="700" w:type="dxa"/>
            <w:vAlign w:val="bottom"/>
            <w:tcBorders>
              <w:bottom w:val="single" w:sz="8" w:color="33CCCC"/>
            </w:tcBorders>
            <w:vMerge w:val="continue"/>
            <w:shd w:val="clear" w:color="auto" w:fill="33CCCC"/>
          </w:tcPr>
          <w:p>
            <w:pPr>
              <w:spacing w:after="0"/>
              <w:rPr>
                <w:sz w:val="11"/>
                <w:szCs w:val="11"/>
                <w:color w:val="auto"/>
              </w:rPr>
            </w:pPr>
          </w:p>
        </w:tc>
        <w:tc>
          <w:tcPr>
            <w:tcW w:w="1140" w:type="dxa"/>
            <w:vAlign w:val="bottom"/>
            <w:tcBorders>
              <w:bottom w:val="single" w:sz="8" w:color="33CCCC"/>
            </w:tcBorders>
            <w:vMerge w:val="continue"/>
            <w:shd w:val="clear" w:color="auto" w:fill="33CCCC"/>
          </w:tcPr>
          <w:p>
            <w:pPr>
              <w:spacing w:after="0"/>
              <w:rPr>
                <w:sz w:val="11"/>
                <w:szCs w:val="11"/>
                <w:color w:val="auto"/>
              </w:rPr>
            </w:pPr>
          </w:p>
        </w:tc>
        <w:tc>
          <w:tcPr>
            <w:tcW w:w="1000" w:type="dxa"/>
            <w:vAlign w:val="bottom"/>
            <w:tcBorders>
              <w:bottom w:val="single" w:sz="8" w:color="33CCCC"/>
              <w:right w:val="single" w:sz="8" w:color="auto"/>
            </w:tcBorders>
            <w:vMerge w:val="continue"/>
            <w:shd w:val="clear" w:color="auto" w:fill="33CCC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Borders>
              <w:top w:val="single" w:sz="8" w:color="auto"/>
              <w:left w:val="single" w:sz="8" w:color="auto"/>
              <w:right w:val="single" w:sz="8" w:color="auto"/>
            </w:tcBorders>
          </w:tcPr>
          <w:p>
            <w:pPr>
              <w:ind w:left="20"/>
              <w:spacing w:after="0" w:line="171" w:lineRule="exact"/>
              <w:rPr>
                <w:sz w:val="20"/>
                <w:szCs w:val="20"/>
                <w:color w:val="auto"/>
              </w:rPr>
            </w:pPr>
            <w:r>
              <w:rPr>
                <w:rFonts w:ascii="Calibri" w:cs="Calibri" w:eastAsia="Calibri" w:hAnsi="Calibri"/>
                <w:sz w:val="16"/>
                <w:szCs w:val="16"/>
                <w:b w:val="1"/>
                <w:bCs w:val="1"/>
                <w:color w:val="auto"/>
              </w:rPr>
              <w:t>BCP Stand-alone</w:t>
            </w:r>
          </w:p>
        </w:tc>
        <w:tc>
          <w:tcPr>
            <w:tcW w:w="94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b w:val="1"/>
                <w:bCs w:val="1"/>
                <w:color w:val="auto"/>
                <w:w w:val="98"/>
              </w:rPr>
              <w:t>117,591</w:t>
            </w:r>
          </w:p>
        </w:tc>
        <w:tc>
          <w:tcPr>
            <w:tcW w:w="98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b w:val="1"/>
                <w:bCs w:val="1"/>
                <w:color w:val="auto"/>
                <w:w w:val="98"/>
              </w:rPr>
              <w:t>118,771</w:t>
            </w:r>
          </w:p>
        </w:tc>
        <w:tc>
          <w:tcPr>
            <w:tcW w:w="92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b w:val="1"/>
                <w:bCs w:val="1"/>
                <w:color w:val="auto"/>
                <w:w w:val="94"/>
              </w:rPr>
              <w:t>119,142</w:t>
            </w:r>
          </w:p>
        </w:tc>
        <w:tc>
          <w:tcPr>
            <w:tcW w:w="900" w:type="dxa"/>
            <w:vAlign w:val="bottom"/>
            <w:tcBorders>
              <w:top w:val="single" w:sz="8" w:color="auto"/>
            </w:tcBorders>
          </w:tcPr>
          <w:p>
            <w:pPr>
              <w:jc w:val="center"/>
              <w:spacing w:after="0" w:line="171" w:lineRule="exact"/>
              <w:rPr>
                <w:sz w:val="20"/>
                <w:szCs w:val="20"/>
                <w:color w:val="auto"/>
              </w:rPr>
            </w:pPr>
            <w:r>
              <w:rPr>
                <w:rFonts w:ascii="Calibri" w:cs="Calibri" w:eastAsia="Calibri" w:hAnsi="Calibri"/>
                <w:sz w:val="16"/>
                <w:szCs w:val="16"/>
                <w:b w:val="1"/>
                <w:bCs w:val="1"/>
                <w:color w:val="auto"/>
                <w:w w:val="98"/>
              </w:rPr>
              <w:t>371</w:t>
            </w:r>
          </w:p>
        </w:tc>
        <w:tc>
          <w:tcPr>
            <w:tcW w:w="96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b w:val="1"/>
                <w:bCs w:val="1"/>
                <w:color w:val="auto"/>
                <w:w w:val="92"/>
              </w:rPr>
              <w:t>1,551</w:t>
            </w:r>
          </w:p>
        </w:tc>
        <w:tc>
          <w:tcPr>
            <w:tcW w:w="680" w:type="dxa"/>
            <w:vAlign w:val="bottom"/>
            <w:tcBorders>
              <w:top w:val="single" w:sz="8" w:color="auto"/>
            </w:tcBorders>
          </w:tcPr>
          <w:p>
            <w:pPr>
              <w:jc w:val="center"/>
              <w:ind w:left="222"/>
              <w:spacing w:after="0" w:line="171" w:lineRule="exact"/>
              <w:rPr>
                <w:sz w:val="20"/>
                <w:szCs w:val="20"/>
                <w:color w:val="auto"/>
              </w:rPr>
            </w:pPr>
            <w:r>
              <w:rPr>
                <w:rFonts w:ascii="Calibri" w:cs="Calibri" w:eastAsia="Calibri" w:hAnsi="Calibri"/>
                <w:sz w:val="16"/>
                <w:szCs w:val="16"/>
                <w:b w:val="1"/>
                <w:bCs w:val="1"/>
                <w:color w:val="auto"/>
                <w:w w:val="93"/>
              </w:rPr>
              <w:t>0.3%</w:t>
            </w:r>
          </w:p>
        </w:tc>
        <w:tc>
          <w:tcPr>
            <w:tcW w:w="1320" w:type="dxa"/>
            <w:vAlign w:val="bottom"/>
            <w:tcBorders>
              <w:top w:val="single" w:sz="8" w:color="auto"/>
              <w:right w:val="single" w:sz="8" w:color="auto"/>
            </w:tcBorders>
          </w:tcPr>
          <w:p>
            <w:pPr>
              <w:jc w:val="center"/>
              <w:ind w:left="222"/>
              <w:spacing w:after="0" w:line="171" w:lineRule="exact"/>
              <w:rPr>
                <w:sz w:val="20"/>
                <w:szCs w:val="20"/>
                <w:color w:val="auto"/>
              </w:rPr>
            </w:pPr>
            <w:r>
              <w:rPr>
                <w:rFonts w:ascii="Calibri" w:cs="Calibri" w:eastAsia="Calibri" w:hAnsi="Calibri"/>
                <w:sz w:val="16"/>
                <w:szCs w:val="16"/>
                <w:b w:val="1"/>
                <w:bCs w:val="1"/>
                <w:color w:val="auto"/>
                <w:w w:val="93"/>
              </w:rPr>
              <w:t>1.3%</w:t>
            </w:r>
          </w:p>
        </w:tc>
        <w:tc>
          <w:tcPr>
            <w:tcW w:w="700" w:type="dxa"/>
            <w:vAlign w:val="bottom"/>
            <w:tcBorders>
              <w:top w:val="single" w:sz="8" w:color="auto"/>
            </w:tcBorders>
          </w:tcPr>
          <w:p>
            <w:pPr>
              <w:jc w:val="center"/>
              <w:ind w:left="102"/>
              <w:spacing w:after="0" w:line="171" w:lineRule="exact"/>
              <w:rPr>
                <w:sz w:val="20"/>
                <w:szCs w:val="20"/>
                <w:color w:val="auto"/>
              </w:rPr>
            </w:pPr>
            <w:r>
              <w:rPr>
                <w:rFonts w:ascii="Calibri" w:cs="Calibri" w:eastAsia="Calibri" w:hAnsi="Calibri"/>
                <w:sz w:val="16"/>
                <w:szCs w:val="16"/>
                <w:b w:val="1"/>
                <w:bCs w:val="1"/>
                <w:color w:val="auto"/>
                <w:w w:val="99"/>
              </w:rPr>
              <w:t>81.8%</w:t>
            </w:r>
          </w:p>
        </w:tc>
        <w:tc>
          <w:tcPr>
            <w:tcW w:w="1140" w:type="dxa"/>
            <w:vAlign w:val="bottom"/>
            <w:tcBorders>
              <w:top w:val="single" w:sz="8" w:color="auto"/>
            </w:tcBorders>
          </w:tcPr>
          <w:p>
            <w:pPr>
              <w:jc w:val="center"/>
              <w:ind w:left="102"/>
              <w:spacing w:after="0" w:line="171" w:lineRule="exact"/>
              <w:rPr>
                <w:sz w:val="20"/>
                <w:szCs w:val="20"/>
                <w:color w:val="auto"/>
              </w:rPr>
            </w:pPr>
            <w:r>
              <w:rPr>
                <w:rFonts w:ascii="Calibri" w:cs="Calibri" w:eastAsia="Calibri" w:hAnsi="Calibri"/>
                <w:sz w:val="16"/>
                <w:szCs w:val="16"/>
                <w:b w:val="1"/>
                <w:bCs w:val="1"/>
                <w:color w:val="auto"/>
                <w:w w:val="99"/>
              </w:rPr>
              <w:t>82.6%</w:t>
            </w:r>
          </w:p>
        </w:tc>
        <w:tc>
          <w:tcPr>
            <w:tcW w:w="1000" w:type="dxa"/>
            <w:vAlign w:val="bottom"/>
            <w:tcBorders>
              <w:top w:val="single" w:sz="8" w:color="auto"/>
              <w:right w:val="single" w:sz="8" w:color="auto"/>
            </w:tcBorders>
          </w:tcPr>
          <w:p>
            <w:pPr>
              <w:jc w:val="center"/>
              <w:spacing w:after="0" w:line="171" w:lineRule="exact"/>
              <w:rPr>
                <w:sz w:val="20"/>
                <w:szCs w:val="20"/>
                <w:color w:val="auto"/>
              </w:rPr>
            </w:pPr>
            <w:r>
              <w:rPr>
                <w:rFonts w:ascii="Calibri" w:cs="Calibri" w:eastAsia="Calibri" w:hAnsi="Calibri"/>
                <w:sz w:val="16"/>
                <w:szCs w:val="16"/>
                <w:b w:val="1"/>
                <w:bCs w:val="1"/>
                <w:color w:val="auto"/>
                <w:w w:val="99"/>
              </w:rPr>
              <w:t>82.4%</w:t>
            </w:r>
          </w:p>
        </w:tc>
        <w:tc>
          <w:tcPr>
            <w:tcW w:w="0" w:type="dxa"/>
            <w:vAlign w:val="bottom"/>
          </w:tcPr>
          <w:p>
            <w:pPr>
              <w:spacing w:after="0"/>
              <w:rPr>
                <w:sz w:val="1"/>
                <w:szCs w:val="1"/>
                <w:color w:val="auto"/>
              </w:rPr>
            </w:pPr>
          </w:p>
        </w:tc>
      </w:tr>
      <w:tr>
        <w:trPr>
          <w:trHeight w:val="185"/>
        </w:trPr>
        <w:tc>
          <w:tcPr>
            <w:tcW w:w="1720" w:type="dxa"/>
            <w:vAlign w:val="bottom"/>
            <w:tcBorders>
              <w:left w:val="single" w:sz="8" w:color="auto"/>
              <w:right w:val="single" w:sz="8" w:color="auto"/>
            </w:tcBorders>
          </w:tcPr>
          <w:p>
            <w:pPr>
              <w:ind w:left="180"/>
              <w:spacing w:after="0" w:line="185" w:lineRule="exact"/>
              <w:rPr>
                <w:sz w:val="20"/>
                <w:szCs w:val="20"/>
                <w:color w:val="auto"/>
              </w:rPr>
            </w:pPr>
            <w:r>
              <w:rPr>
                <w:rFonts w:ascii="Calibri" w:cs="Calibri" w:eastAsia="Calibri" w:hAnsi="Calibri"/>
                <w:sz w:val="16"/>
                <w:szCs w:val="16"/>
                <w:b w:val="1"/>
                <w:bCs w:val="1"/>
                <w:color w:val="auto"/>
              </w:rPr>
              <w:t>Wholesale Banking</w:t>
            </w:r>
          </w:p>
        </w:tc>
        <w:tc>
          <w:tcPr>
            <w:tcW w:w="940" w:type="dxa"/>
            <w:vAlign w:val="bottom"/>
          </w:tcPr>
          <w:p>
            <w:pPr>
              <w:jc w:val="center"/>
              <w:spacing w:after="0" w:line="185" w:lineRule="exact"/>
              <w:rPr>
                <w:sz w:val="20"/>
                <w:szCs w:val="20"/>
                <w:color w:val="auto"/>
              </w:rPr>
            </w:pPr>
            <w:r>
              <w:rPr>
                <w:rFonts w:ascii="Calibri" w:cs="Calibri" w:eastAsia="Calibri" w:hAnsi="Calibri"/>
                <w:sz w:val="16"/>
                <w:szCs w:val="16"/>
                <w:b w:val="1"/>
                <w:bCs w:val="1"/>
                <w:color w:val="auto"/>
                <w:w w:val="98"/>
              </w:rPr>
              <w:t>53,814</w:t>
            </w:r>
          </w:p>
        </w:tc>
        <w:tc>
          <w:tcPr>
            <w:tcW w:w="980" w:type="dxa"/>
            <w:vAlign w:val="bottom"/>
          </w:tcPr>
          <w:p>
            <w:pPr>
              <w:jc w:val="center"/>
              <w:spacing w:after="0" w:line="185" w:lineRule="exact"/>
              <w:rPr>
                <w:sz w:val="20"/>
                <w:szCs w:val="20"/>
                <w:color w:val="auto"/>
              </w:rPr>
            </w:pPr>
            <w:r>
              <w:rPr>
                <w:rFonts w:ascii="Calibri" w:cs="Calibri" w:eastAsia="Calibri" w:hAnsi="Calibri"/>
                <w:sz w:val="16"/>
                <w:szCs w:val="16"/>
                <w:b w:val="1"/>
                <w:bCs w:val="1"/>
                <w:color w:val="auto"/>
                <w:w w:val="98"/>
              </w:rPr>
              <w:t>54,548</w:t>
            </w:r>
          </w:p>
        </w:tc>
        <w:tc>
          <w:tcPr>
            <w:tcW w:w="9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w w:val="93"/>
              </w:rPr>
              <w:t>54,096</w:t>
            </w:r>
          </w:p>
        </w:tc>
        <w:tc>
          <w:tcPr>
            <w:tcW w:w="900" w:type="dxa"/>
            <w:vAlign w:val="bottom"/>
          </w:tcPr>
          <w:p>
            <w:pPr>
              <w:jc w:val="center"/>
              <w:spacing w:after="0" w:line="185" w:lineRule="exact"/>
              <w:rPr>
                <w:sz w:val="20"/>
                <w:szCs w:val="20"/>
                <w:color w:val="auto"/>
              </w:rPr>
            </w:pPr>
            <w:r>
              <w:rPr>
                <w:rFonts w:ascii="Calibri" w:cs="Calibri" w:eastAsia="Calibri" w:hAnsi="Calibri"/>
                <w:sz w:val="16"/>
                <w:szCs w:val="16"/>
                <w:b w:val="1"/>
                <w:bCs w:val="1"/>
                <w:color w:val="auto"/>
                <w:w w:val="95"/>
              </w:rPr>
              <w:t>-452</w:t>
            </w:r>
          </w:p>
        </w:tc>
        <w:tc>
          <w:tcPr>
            <w:tcW w:w="9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w w:val="90"/>
              </w:rPr>
              <w:t>283</w:t>
            </w:r>
          </w:p>
        </w:tc>
        <w:tc>
          <w:tcPr>
            <w:tcW w:w="680" w:type="dxa"/>
            <w:vAlign w:val="bottom"/>
          </w:tcPr>
          <w:p>
            <w:pPr>
              <w:jc w:val="center"/>
              <w:ind w:left="242"/>
              <w:spacing w:after="0" w:line="185" w:lineRule="exact"/>
              <w:rPr>
                <w:sz w:val="20"/>
                <w:szCs w:val="20"/>
                <w:color w:val="auto"/>
              </w:rPr>
            </w:pPr>
            <w:r>
              <w:rPr>
                <w:rFonts w:ascii="Calibri" w:cs="Calibri" w:eastAsia="Calibri" w:hAnsi="Calibri"/>
                <w:sz w:val="16"/>
                <w:szCs w:val="16"/>
                <w:b w:val="1"/>
                <w:bCs w:val="1"/>
                <w:color w:val="auto"/>
                <w:w w:val="97"/>
              </w:rPr>
              <w:t>-0.8%</w:t>
            </w:r>
          </w:p>
        </w:tc>
        <w:tc>
          <w:tcPr>
            <w:tcW w:w="1320" w:type="dxa"/>
            <w:vAlign w:val="bottom"/>
            <w:tcBorders>
              <w:right w:val="single" w:sz="8" w:color="auto"/>
            </w:tcBorders>
          </w:tcPr>
          <w:p>
            <w:pPr>
              <w:jc w:val="center"/>
              <w:ind w:left="222"/>
              <w:spacing w:after="0" w:line="185" w:lineRule="exact"/>
              <w:rPr>
                <w:sz w:val="20"/>
                <w:szCs w:val="20"/>
                <w:color w:val="auto"/>
              </w:rPr>
            </w:pPr>
            <w:r>
              <w:rPr>
                <w:rFonts w:ascii="Calibri" w:cs="Calibri" w:eastAsia="Calibri" w:hAnsi="Calibri"/>
                <w:sz w:val="16"/>
                <w:szCs w:val="16"/>
                <w:b w:val="1"/>
                <w:bCs w:val="1"/>
                <w:color w:val="auto"/>
                <w:w w:val="93"/>
              </w:rPr>
              <w:t>0.5%</w:t>
            </w:r>
          </w:p>
        </w:tc>
        <w:tc>
          <w:tcPr>
            <w:tcW w:w="700" w:type="dxa"/>
            <w:vAlign w:val="bottom"/>
          </w:tcPr>
          <w:p>
            <w:pPr>
              <w:jc w:val="center"/>
              <w:ind w:left="102"/>
              <w:spacing w:after="0" w:line="185" w:lineRule="exact"/>
              <w:rPr>
                <w:sz w:val="20"/>
                <w:szCs w:val="20"/>
                <w:color w:val="auto"/>
              </w:rPr>
            </w:pPr>
            <w:r>
              <w:rPr>
                <w:rFonts w:ascii="Calibri" w:cs="Calibri" w:eastAsia="Calibri" w:hAnsi="Calibri"/>
                <w:sz w:val="16"/>
                <w:szCs w:val="16"/>
                <w:b w:val="1"/>
                <w:bCs w:val="1"/>
                <w:color w:val="auto"/>
                <w:w w:val="99"/>
              </w:rPr>
              <w:t>37.4%</w:t>
            </w:r>
          </w:p>
        </w:tc>
        <w:tc>
          <w:tcPr>
            <w:tcW w:w="1140" w:type="dxa"/>
            <w:vAlign w:val="bottom"/>
          </w:tcPr>
          <w:p>
            <w:pPr>
              <w:jc w:val="center"/>
              <w:ind w:left="102"/>
              <w:spacing w:after="0" w:line="185" w:lineRule="exact"/>
              <w:rPr>
                <w:sz w:val="20"/>
                <w:szCs w:val="20"/>
                <w:color w:val="auto"/>
              </w:rPr>
            </w:pPr>
            <w:r>
              <w:rPr>
                <w:rFonts w:ascii="Calibri" w:cs="Calibri" w:eastAsia="Calibri" w:hAnsi="Calibri"/>
                <w:sz w:val="16"/>
                <w:szCs w:val="16"/>
                <w:b w:val="1"/>
                <w:bCs w:val="1"/>
                <w:color w:val="auto"/>
                <w:w w:val="99"/>
              </w:rPr>
              <w:t>37.9%</w:t>
            </w:r>
          </w:p>
        </w:tc>
        <w:tc>
          <w:tcPr>
            <w:tcW w:w="100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w w:val="99"/>
              </w:rPr>
              <w:t>37.4%</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vMerge w:val="restart"/>
          </w:tcPr>
          <w:p>
            <w:pPr>
              <w:ind w:left="320"/>
              <w:spacing w:after="0"/>
              <w:rPr>
                <w:sz w:val="20"/>
                <w:szCs w:val="20"/>
                <w:color w:val="auto"/>
              </w:rPr>
            </w:pPr>
            <w:r>
              <w:rPr>
                <w:rFonts w:ascii="Calibri" w:cs="Calibri" w:eastAsia="Calibri" w:hAnsi="Calibri"/>
                <w:sz w:val="16"/>
                <w:szCs w:val="16"/>
                <w:color w:val="auto"/>
              </w:rPr>
              <w:t>Corporate</w:t>
            </w:r>
          </w:p>
        </w:tc>
        <w:tc>
          <w:tcPr>
            <w:tcW w:w="94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32,393</w:t>
            </w:r>
          </w:p>
        </w:tc>
        <w:tc>
          <w:tcPr>
            <w:tcW w:w="9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32,977</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w w:val="94"/>
              </w:rPr>
              <w:t>32,206</w:t>
            </w:r>
          </w:p>
        </w:tc>
        <w:tc>
          <w:tcPr>
            <w:tcW w:w="900" w:type="dxa"/>
            <w:vAlign w:val="bottom"/>
          </w:tcPr>
          <w:p>
            <w:pPr>
              <w:spacing w:after="0"/>
              <w:rPr>
                <w:sz w:val="2"/>
                <w:szCs w:val="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-188</w:t>
            </w:r>
          </w:p>
        </w:tc>
        <w:tc>
          <w:tcPr>
            <w:tcW w:w="680" w:type="dxa"/>
            <w:vAlign w:val="bottom"/>
            <w:vMerge w:val="restart"/>
          </w:tcPr>
          <w:p>
            <w:pPr>
              <w:jc w:val="center"/>
              <w:ind w:left="242"/>
              <w:spacing w:after="0"/>
              <w:rPr>
                <w:sz w:val="20"/>
                <w:szCs w:val="20"/>
                <w:color w:val="auto"/>
              </w:rPr>
            </w:pPr>
            <w:r>
              <w:rPr>
                <w:rFonts w:ascii="Calibri" w:cs="Calibri" w:eastAsia="Calibri" w:hAnsi="Calibri"/>
                <w:sz w:val="16"/>
                <w:szCs w:val="16"/>
                <w:color w:val="auto"/>
                <w:w w:val="98"/>
              </w:rPr>
              <w:t>-2.3%</w:t>
            </w:r>
          </w:p>
        </w:tc>
        <w:tc>
          <w:tcPr>
            <w:tcW w:w="1320" w:type="dxa"/>
            <w:vAlign w:val="bottom"/>
            <w:tcBorders>
              <w:right w:val="single" w:sz="8" w:color="auto"/>
            </w:tcBorders>
            <w:vMerge w:val="restart"/>
          </w:tcPr>
          <w:p>
            <w:pPr>
              <w:jc w:val="center"/>
              <w:ind w:left="202"/>
              <w:spacing w:after="0"/>
              <w:rPr>
                <w:sz w:val="20"/>
                <w:szCs w:val="20"/>
                <w:color w:val="auto"/>
              </w:rPr>
            </w:pPr>
            <w:r>
              <w:rPr>
                <w:rFonts w:ascii="Calibri" w:cs="Calibri" w:eastAsia="Calibri" w:hAnsi="Calibri"/>
                <w:sz w:val="16"/>
                <w:szCs w:val="16"/>
                <w:color w:val="auto"/>
                <w:w w:val="98"/>
              </w:rPr>
              <w:t>-0.6%</w:t>
            </w:r>
          </w:p>
        </w:tc>
        <w:tc>
          <w:tcPr>
            <w:tcW w:w="700" w:type="dxa"/>
            <w:vAlign w:val="bottom"/>
            <w:vMerge w:val="restart"/>
          </w:tcPr>
          <w:p>
            <w:pPr>
              <w:jc w:val="center"/>
              <w:ind w:left="102"/>
              <w:spacing w:after="0"/>
              <w:rPr>
                <w:sz w:val="20"/>
                <w:szCs w:val="20"/>
                <w:color w:val="auto"/>
              </w:rPr>
            </w:pPr>
            <w:r>
              <w:rPr>
                <w:rFonts w:ascii="Calibri" w:cs="Calibri" w:eastAsia="Calibri" w:hAnsi="Calibri"/>
                <w:sz w:val="16"/>
                <w:szCs w:val="16"/>
                <w:color w:val="auto"/>
              </w:rPr>
              <w:t>22.5%</w:t>
            </w:r>
          </w:p>
        </w:tc>
        <w:tc>
          <w:tcPr>
            <w:tcW w:w="1140" w:type="dxa"/>
            <w:vAlign w:val="bottom"/>
            <w:vMerge w:val="restart"/>
          </w:tcPr>
          <w:p>
            <w:pPr>
              <w:jc w:val="center"/>
              <w:ind w:left="102"/>
              <w:spacing w:after="0"/>
              <w:rPr>
                <w:sz w:val="20"/>
                <w:szCs w:val="20"/>
                <w:color w:val="auto"/>
              </w:rPr>
            </w:pPr>
            <w:r>
              <w:rPr>
                <w:rFonts w:ascii="Calibri" w:cs="Calibri" w:eastAsia="Calibri" w:hAnsi="Calibri"/>
                <w:sz w:val="16"/>
                <w:szCs w:val="16"/>
                <w:color w:val="auto"/>
              </w:rPr>
              <w:t>22.9%</w:t>
            </w:r>
          </w:p>
        </w:tc>
        <w:tc>
          <w:tcPr>
            <w:tcW w:w="10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22.3%</w:t>
            </w:r>
          </w:p>
        </w:tc>
        <w:tc>
          <w:tcPr>
            <w:tcW w:w="0" w:type="dxa"/>
            <w:vAlign w:val="bottom"/>
          </w:tcPr>
          <w:p>
            <w:pPr>
              <w:spacing w:after="0" w:line="20" w:lineRule="exact"/>
              <w:rPr>
                <w:sz w:val="1"/>
                <w:szCs w:val="1"/>
                <w:color w:val="auto"/>
              </w:rPr>
            </w:pPr>
          </w:p>
        </w:tc>
      </w:tr>
      <w:tr>
        <w:trPr>
          <w:trHeight w:val="185"/>
        </w:trPr>
        <w:tc>
          <w:tcPr>
            <w:tcW w:w="1720" w:type="dxa"/>
            <w:vAlign w:val="bottom"/>
            <w:tcBorders>
              <w:left w:val="single" w:sz="8" w:color="auto"/>
              <w:right w:val="single" w:sz="8" w:color="auto"/>
            </w:tcBorders>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900" w:type="dxa"/>
            <w:vAlign w:val="bottom"/>
            <w:shd w:val="clear" w:color="auto" w:fill="E93BAC"/>
          </w:tcPr>
          <w:p>
            <w:pPr>
              <w:jc w:val="center"/>
              <w:spacing w:after="0" w:line="185" w:lineRule="exact"/>
              <w:rPr>
                <w:sz w:val="20"/>
                <w:szCs w:val="20"/>
                <w:color w:val="auto"/>
              </w:rPr>
            </w:pPr>
            <w:r>
              <w:rPr>
                <w:rFonts w:ascii="Calibri" w:cs="Calibri" w:eastAsia="Calibri" w:hAnsi="Calibri"/>
                <w:sz w:val="16"/>
                <w:szCs w:val="16"/>
                <w:color w:val="auto"/>
                <w:w w:val="95"/>
              </w:rPr>
              <w:t>-771</w:t>
            </w:r>
          </w:p>
        </w:tc>
        <w:tc>
          <w:tcPr>
            <w:tcW w:w="960" w:type="dxa"/>
            <w:vAlign w:val="bottom"/>
            <w:tcBorders>
              <w:right w:val="single" w:sz="8" w:color="auto"/>
            </w:tcBorders>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720" w:type="dxa"/>
            <w:vAlign w:val="bottom"/>
            <w:tcBorders>
              <w:left w:val="single" w:sz="8" w:color="auto"/>
              <w:right w:val="single" w:sz="8" w:color="auto"/>
            </w:tcBorders>
          </w:tcPr>
          <w:p>
            <w:pPr>
              <w:ind w:left="320"/>
              <w:spacing w:after="0" w:line="185" w:lineRule="exact"/>
              <w:rPr>
                <w:sz w:val="20"/>
                <w:szCs w:val="20"/>
                <w:color w:val="auto"/>
              </w:rPr>
            </w:pPr>
            <w:r>
              <w:rPr>
                <w:rFonts w:ascii="Calibri" w:cs="Calibri" w:eastAsia="Calibri" w:hAnsi="Calibri"/>
                <w:sz w:val="16"/>
                <w:szCs w:val="16"/>
                <w:color w:val="auto"/>
              </w:rPr>
              <w:t>Middle - Market</w:t>
            </w:r>
          </w:p>
        </w:tc>
        <w:tc>
          <w:tcPr>
            <w:tcW w:w="94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21,420</w:t>
            </w:r>
          </w:p>
        </w:tc>
        <w:tc>
          <w:tcPr>
            <w:tcW w:w="98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21,571</w:t>
            </w:r>
          </w:p>
        </w:tc>
        <w:tc>
          <w:tcPr>
            <w:tcW w:w="9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4"/>
              </w:rPr>
              <w:t>21,891</w:t>
            </w:r>
          </w:p>
        </w:tc>
        <w:tc>
          <w:tcPr>
            <w:tcW w:w="900" w:type="dxa"/>
            <w:vAlign w:val="bottom"/>
            <w:shd w:val="clear" w:color="auto" w:fill="00B050"/>
          </w:tcPr>
          <w:p>
            <w:pPr>
              <w:jc w:val="center"/>
              <w:spacing w:after="0"/>
              <w:rPr>
                <w:sz w:val="20"/>
                <w:szCs w:val="20"/>
                <w:color w:val="auto"/>
              </w:rPr>
            </w:pPr>
            <w:r>
              <w:rPr>
                <w:rFonts w:ascii="Calibri" w:cs="Calibri" w:eastAsia="Calibri" w:hAnsi="Calibri"/>
                <w:sz w:val="16"/>
                <w:szCs w:val="16"/>
                <w:color w:val="auto"/>
                <w:w w:val="98"/>
              </w:rPr>
              <w:t>320</w:t>
            </w:r>
          </w:p>
        </w:tc>
        <w:tc>
          <w:tcPr>
            <w:tcW w:w="960" w:type="dxa"/>
            <w:vAlign w:val="bottom"/>
            <w:tcBorders>
              <w:right w:val="single" w:sz="8" w:color="auto"/>
            </w:tcBorders>
            <w:shd w:val="clear" w:color="auto" w:fill="00B050"/>
          </w:tcPr>
          <w:p>
            <w:pPr>
              <w:jc w:val="center"/>
              <w:spacing w:after="0"/>
              <w:rPr>
                <w:sz w:val="20"/>
                <w:szCs w:val="20"/>
                <w:color w:val="auto"/>
              </w:rPr>
            </w:pPr>
            <w:r>
              <w:rPr>
                <w:rFonts w:ascii="Calibri" w:cs="Calibri" w:eastAsia="Calibri" w:hAnsi="Calibri"/>
                <w:sz w:val="16"/>
                <w:szCs w:val="16"/>
                <w:color w:val="auto"/>
                <w:w w:val="90"/>
              </w:rPr>
              <w:t>470</w:t>
            </w:r>
          </w:p>
        </w:tc>
        <w:tc>
          <w:tcPr>
            <w:tcW w:w="680" w:type="dxa"/>
            <w:vAlign w:val="bottom"/>
          </w:tcPr>
          <w:p>
            <w:pPr>
              <w:jc w:val="center"/>
              <w:ind w:left="222"/>
              <w:spacing w:after="0" w:line="185" w:lineRule="exact"/>
              <w:rPr>
                <w:sz w:val="20"/>
                <w:szCs w:val="20"/>
                <w:color w:val="auto"/>
              </w:rPr>
            </w:pPr>
            <w:r>
              <w:rPr>
                <w:rFonts w:ascii="Calibri" w:cs="Calibri" w:eastAsia="Calibri" w:hAnsi="Calibri"/>
                <w:sz w:val="16"/>
                <w:szCs w:val="16"/>
                <w:color w:val="auto"/>
                <w:w w:val="94"/>
              </w:rPr>
              <w:t>1.5%</w:t>
            </w:r>
          </w:p>
        </w:tc>
        <w:tc>
          <w:tcPr>
            <w:tcW w:w="1320" w:type="dxa"/>
            <w:vAlign w:val="bottom"/>
            <w:tcBorders>
              <w:right w:val="single" w:sz="8" w:color="auto"/>
            </w:tcBorders>
          </w:tcPr>
          <w:p>
            <w:pPr>
              <w:jc w:val="center"/>
              <w:ind w:left="222"/>
              <w:spacing w:after="0" w:line="185" w:lineRule="exact"/>
              <w:rPr>
                <w:sz w:val="20"/>
                <w:szCs w:val="20"/>
                <w:color w:val="auto"/>
              </w:rPr>
            </w:pPr>
            <w:r>
              <w:rPr>
                <w:rFonts w:ascii="Calibri" w:cs="Calibri" w:eastAsia="Calibri" w:hAnsi="Calibri"/>
                <w:sz w:val="16"/>
                <w:szCs w:val="16"/>
                <w:color w:val="auto"/>
                <w:w w:val="94"/>
              </w:rPr>
              <w:t>2.2%</w:t>
            </w:r>
          </w:p>
        </w:tc>
        <w:tc>
          <w:tcPr>
            <w:tcW w:w="700" w:type="dxa"/>
            <w:vAlign w:val="bottom"/>
          </w:tcPr>
          <w:p>
            <w:pPr>
              <w:jc w:val="center"/>
              <w:ind w:left="102"/>
              <w:spacing w:after="0" w:line="185" w:lineRule="exact"/>
              <w:rPr>
                <w:sz w:val="20"/>
                <w:szCs w:val="20"/>
                <w:color w:val="auto"/>
              </w:rPr>
            </w:pPr>
            <w:r>
              <w:rPr>
                <w:rFonts w:ascii="Calibri" w:cs="Calibri" w:eastAsia="Calibri" w:hAnsi="Calibri"/>
                <w:sz w:val="16"/>
                <w:szCs w:val="16"/>
                <w:color w:val="auto"/>
              </w:rPr>
              <w:t>14.9%</w:t>
            </w:r>
          </w:p>
        </w:tc>
        <w:tc>
          <w:tcPr>
            <w:tcW w:w="1140" w:type="dxa"/>
            <w:vAlign w:val="bottom"/>
          </w:tcPr>
          <w:p>
            <w:pPr>
              <w:jc w:val="center"/>
              <w:ind w:left="102"/>
              <w:spacing w:after="0" w:line="185" w:lineRule="exact"/>
              <w:rPr>
                <w:sz w:val="20"/>
                <w:szCs w:val="20"/>
                <w:color w:val="auto"/>
              </w:rPr>
            </w:pPr>
            <w:r>
              <w:rPr>
                <w:rFonts w:ascii="Calibri" w:cs="Calibri" w:eastAsia="Calibri" w:hAnsi="Calibri"/>
                <w:sz w:val="16"/>
                <w:szCs w:val="16"/>
                <w:color w:val="auto"/>
              </w:rPr>
              <w:t>15.0%</w:t>
            </w:r>
          </w:p>
        </w:tc>
        <w:tc>
          <w:tcPr>
            <w:tcW w:w="100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rPr>
              <w:t>15.1%</w:t>
            </w: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180"/>
              <w:spacing w:after="0" w:line="178" w:lineRule="exact"/>
              <w:rPr>
                <w:sz w:val="20"/>
                <w:szCs w:val="20"/>
                <w:color w:val="auto"/>
              </w:rPr>
            </w:pPr>
            <w:r>
              <w:rPr>
                <w:rFonts w:ascii="Calibri" w:cs="Calibri" w:eastAsia="Calibri" w:hAnsi="Calibri"/>
                <w:sz w:val="16"/>
                <w:szCs w:val="16"/>
                <w:b w:val="1"/>
                <w:bCs w:val="1"/>
                <w:color w:val="auto"/>
              </w:rPr>
              <w:t>Retail Banking</w:t>
            </w:r>
          </w:p>
        </w:tc>
        <w:tc>
          <w:tcPr>
            <w:tcW w:w="940" w:type="dxa"/>
            <w:vAlign w:val="bottom"/>
          </w:tcPr>
          <w:p>
            <w:pPr>
              <w:jc w:val="center"/>
              <w:spacing w:after="0" w:line="178" w:lineRule="exact"/>
              <w:rPr>
                <w:sz w:val="20"/>
                <w:szCs w:val="20"/>
                <w:color w:val="auto"/>
              </w:rPr>
            </w:pPr>
            <w:r>
              <w:rPr>
                <w:rFonts w:ascii="Calibri" w:cs="Calibri" w:eastAsia="Calibri" w:hAnsi="Calibri"/>
                <w:sz w:val="16"/>
                <w:szCs w:val="16"/>
                <w:b w:val="1"/>
                <w:bCs w:val="1"/>
                <w:color w:val="auto"/>
                <w:w w:val="98"/>
              </w:rPr>
              <w:t>63,778</w:t>
            </w:r>
          </w:p>
        </w:tc>
        <w:tc>
          <w:tcPr>
            <w:tcW w:w="980" w:type="dxa"/>
            <w:vAlign w:val="bottom"/>
          </w:tcPr>
          <w:p>
            <w:pPr>
              <w:jc w:val="center"/>
              <w:spacing w:after="0" w:line="178" w:lineRule="exact"/>
              <w:rPr>
                <w:sz w:val="20"/>
                <w:szCs w:val="20"/>
                <w:color w:val="auto"/>
              </w:rPr>
            </w:pPr>
            <w:r>
              <w:rPr>
                <w:rFonts w:ascii="Calibri" w:cs="Calibri" w:eastAsia="Calibri" w:hAnsi="Calibri"/>
                <w:sz w:val="16"/>
                <w:szCs w:val="16"/>
                <w:b w:val="1"/>
                <w:bCs w:val="1"/>
                <w:color w:val="auto"/>
                <w:w w:val="98"/>
              </w:rPr>
              <w:t>64,223</w:t>
            </w:r>
          </w:p>
        </w:tc>
        <w:tc>
          <w:tcPr>
            <w:tcW w:w="9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b w:val="1"/>
                <w:bCs w:val="1"/>
                <w:color w:val="auto"/>
                <w:w w:val="93"/>
              </w:rPr>
              <w:t>65,046</w:t>
            </w:r>
          </w:p>
        </w:tc>
        <w:tc>
          <w:tcPr>
            <w:tcW w:w="900" w:type="dxa"/>
            <w:vAlign w:val="bottom"/>
          </w:tcPr>
          <w:p>
            <w:pPr>
              <w:jc w:val="center"/>
              <w:spacing w:after="0" w:line="178" w:lineRule="exact"/>
              <w:rPr>
                <w:sz w:val="20"/>
                <w:szCs w:val="20"/>
                <w:color w:val="auto"/>
              </w:rPr>
            </w:pPr>
            <w:r>
              <w:rPr>
                <w:rFonts w:ascii="Calibri" w:cs="Calibri" w:eastAsia="Calibri" w:hAnsi="Calibri"/>
                <w:sz w:val="16"/>
                <w:szCs w:val="16"/>
                <w:b w:val="1"/>
                <w:bCs w:val="1"/>
                <w:color w:val="auto"/>
                <w:w w:val="98"/>
              </w:rPr>
              <w:t>823</w:t>
            </w:r>
          </w:p>
        </w:tc>
        <w:tc>
          <w:tcPr>
            <w:tcW w:w="9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b w:val="1"/>
                <w:bCs w:val="1"/>
                <w:color w:val="auto"/>
                <w:w w:val="92"/>
              </w:rPr>
              <w:t>1,268</w:t>
            </w:r>
          </w:p>
        </w:tc>
        <w:tc>
          <w:tcPr>
            <w:tcW w:w="680" w:type="dxa"/>
            <w:vAlign w:val="bottom"/>
          </w:tcPr>
          <w:p>
            <w:pPr>
              <w:jc w:val="center"/>
              <w:ind w:left="222"/>
              <w:spacing w:after="0" w:line="178" w:lineRule="exact"/>
              <w:rPr>
                <w:sz w:val="20"/>
                <w:szCs w:val="20"/>
                <w:color w:val="auto"/>
              </w:rPr>
            </w:pPr>
            <w:r>
              <w:rPr>
                <w:rFonts w:ascii="Calibri" w:cs="Calibri" w:eastAsia="Calibri" w:hAnsi="Calibri"/>
                <w:sz w:val="16"/>
                <w:szCs w:val="16"/>
                <w:b w:val="1"/>
                <w:bCs w:val="1"/>
                <w:color w:val="auto"/>
                <w:w w:val="93"/>
              </w:rPr>
              <w:t>1.3%</w:t>
            </w:r>
          </w:p>
        </w:tc>
        <w:tc>
          <w:tcPr>
            <w:tcW w:w="1320" w:type="dxa"/>
            <w:vAlign w:val="bottom"/>
            <w:tcBorders>
              <w:right w:val="single" w:sz="8" w:color="auto"/>
            </w:tcBorders>
          </w:tcPr>
          <w:p>
            <w:pPr>
              <w:jc w:val="center"/>
              <w:ind w:left="222"/>
              <w:spacing w:after="0" w:line="178" w:lineRule="exact"/>
              <w:rPr>
                <w:sz w:val="20"/>
                <w:szCs w:val="20"/>
                <w:color w:val="auto"/>
              </w:rPr>
            </w:pPr>
            <w:r>
              <w:rPr>
                <w:rFonts w:ascii="Calibri" w:cs="Calibri" w:eastAsia="Calibri" w:hAnsi="Calibri"/>
                <w:sz w:val="16"/>
                <w:szCs w:val="16"/>
                <w:b w:val="1"/>
                <w:bCs w:val="1"/>
                <w:color w:val="auto"/>
                <w:w w:val="93"/>
              </w:rPr>
              <w:t>2.0%</w:t>
            </w:r>
          </w:p>
        </w:tc>
        <w:tc>
          <w:tcPr>
            <w:tcW w:w="700" w:type="dxa"/>
            <w:vAlign w:val="bottom"/>
          </w:tcPr>
          <w:p>
            <w:pPr>
              <w:jc w:val="center"/>
              <w:ind w:left="102"/>
              <w:spacing w:after="0" w:line="178" w:lineRule="exact"/>
              <w:rPr>
                <w:sz w:val="20"/>
                <w:szCs w:val="20"/>
                <w:color w:val="auto"/>
              </w:rPr>
            </w:pPr>
            <w:r>
              <w:rPr>
                <w:rFonts w:ascii="Calibri" w:cs="Calibri" w:eastAsia="Calibri" w:hAnsi="Calibri"/>
                <w:sz w:val="16"/>
                <w:szCs w:val="16"/>
                <w:b w:val="1"/>
                <w:bCs w:val="1"/>
                <w:color w:val="auto"/>
                <w:w w:val="99"/>
              </w:rPr>
              <w:t>44.4%</w:t>
            </w:r>
          </w:p>
        </w:tc>
        <w:tc>
          <w:tcPr>
            <w:tcW w:w="1140" w:type="dxa"/>
            <w:vAlign w:val="bottom"/>
          </w:tcPr>
          <w:p>
            <w:pPr>
              <w:jc w:val="center"/>
              <w:ind w:left="102"/>
              <w:spacing w:after="0" w:line="178" w:lineRule="exact"/>
              <w:rPr>
                <w:sz w:val="20"/>
                <w:szCs w:val="20"/>
                <w:color w:val="auto"/>
              </w:rPr>
            </w:pPr>
            <w:r>
              <w:rPr>
                <w:rFonts w:ascii="Calibri" w:cs="Calibri" w:eastAsia="Calibri" w:hAnsi="Calibri"/>
                <w:sz w:val="16"/>
                <w:szCs w:val="16"/>
                <w:b w:val="1"/>
                <w:bCs w:val="1"/>
                <w:color w:val="auto"/>
                <w:w w:val="99"/>
              </w:rPr>
              <w:t>44.6%</w:t>
            </w:r>
          </w:p>
        </w:tc>
        <w:tc>
          <w:tcPr>
            <w:tcW w:w="10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b w:val="1"/>
                <w:bCs w:val="1"/>
                <w:color w:val="auto"/>
                <w:w w:val="99"/>
              </w:rPr>
              <w:t>45.0%</w:t>
            </w:r>
          </w:p>
        </w:tc>
        <w:tc>
          <w:tcPr>
            <w:tcW w:w="0" w:type="dxa"/>
            <w:vAlign w:val="bottom"/>
          </w:tcPr>
          <w:p>
            <w:pPr>
              <w:spacing w:after="0"/>
              <w:rPr>
                <w:sz w:val="1"/>
                <w:szCs w:val="1"/>
                <w:color w:val="auto"/>
              </w:rPr>
            </w:pPr>
          </w:p>
        </w:tc>
      </w:tr>
      <w:tr>
        <w:trPr>
          <w:trHeight w:val="185"/>
        </w:trPr>
        <w:tc>
          <w:tcPr>
            <w:tcW w:w="1720" w:type="dxa"/>
            <w:vAlign w:val="bottom"/>
            <w:tcBorders>
              <w:left w:val="single" w:sz="8" w:color="auto"/>
              <w:right w:val="single" w:sz="8" w:color="auto"/>
            </w:tcBorders>
          </w:tcPr>
          <w:p>
            <w:pPr>
              <w:ind w:left="320"/>
              <w:spacing w:after="0" w:line="185" w:lineRule="exact"/>
              <w:rPr>
                <w:sz w:val="20"/>
                <w:szCs w:val="20"/>
                <w:color w:val="auto"/>
              </w:rPr>
            </w:pPr>
            <w:r>
              <w:rPr>
                <w:rFonts w:ascii="Calibri" w:cs="Calibri" w:eastAsia="Calibri" w:hAnsi="Calibri"/>
                <w:sz w:val="16"/>
                <w:szCs w:val="16"/>
                <w:color w:val="auto"/>
              </w:rPr>
              <w:t>SME - Business</w:t>
            </w:r>
          </w:p>
        </w:tc>
        <w:tc>
          <w:tcPr>
            <w:tcW w:w="94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7,528</w:t>
            </w:r>
          </w:p>
        </w:tc>
        <w:tc>
          <w:tcPr>
            <w:tcW w:w="98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7,590</w:t>
            </w:r>
          </w:p>
        </w:tc>
        <w:tc>
          <w:tcPr>
            <w:tcW w:w="9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3"/>
              </w:rPr>
              <w:t>7,521</w:t>
            </w:r>
          </w:p>
        </w:tc>
        <w:tc>
          <w:tcPr>
            <w:tcW w:w="900" w:type="dxa"/>
            <w:vAlign w:val="bottom"/>
          </w:tcPr>
          <w:p>
            <w:pPr>
              <w:jc w:val="center"/>
              <w:spacing w:after="0" w:line="185" w:lineRule="exact"/>
              <w:rPr>
                <w:sz w:val="20"/>
                <w:szCs w:val="20"/>
                <w:color w:val="auto"/>
              </w:rPr>
            </w:pPr>
            <w:r>
              <w:rPr>
                <w:rFonts w:ascii="Calibri" w:cs="Calibri" w:eastAsia="Calibri" w:hAnsi="Calibri"/>
                <w:sz w:val="16"/>
                <w:szCs w:val="16"/>
                <w:color w:val="auto"/>
              </w:rPr>
              <w:t>-68</w:t>
            </w:r>
          </w:p>
        </w:tc>
        <w:tc>
          <w:tcPr>
            <w:tcW w:w="9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rPr>
              <w:t>-7</w:t>
            </w:r>
          </w:p>
        </w:tc>
        <w:tc>
          <w:tcPr>
            <w:tcW w:w="680" w:type="dxa"/>
            <w:vAlign w:val="bottom"/>
          </w:tcPr>
          <w:p>
            <w:pPr>
              <w:jc w:val="center"/>
              <w:ind w:left="242"/>
              <w:spacing w:after="0" w:line="185" w:lineRule="exact"/>
              <w:rPr>
                <w:sz w:val="20"/>
                <w:szCs w:val="20"/>
                <w:color w:val="auto"/>
              </w:rPr>
            </w:pPr>
            <w:r>
              <w:rPr>
                <w:rFonts w:ascii="Calibri" w:cs="Calibri" w:eastAsia="Calibri" w:hAnsi="Calibri"/>
                <w:sz w:val="16"/>
                <w:szCs w:val="16"/>
                <w:color w:val="auto"/>
                <w:w w:val="98"/>
              </w:rPr>
              <w:t>-0.9%</w:t>
            </w:r>
          </w:p>
        </w:tc>
        <w:tc>
          <w:tcPr>
            <w:tcW w:w="1320" w:type="dxa"/>
            <w:vAlign w:val="bottom"/>
            <w:tcBorders>
              <w:right w:val="single" w:sz="8" w:color="auto"/>
            </w:tcBorders>
          </w:tcPr>
          <w:p>
            <w:pPr>
              <w:jc w:val="center"/>
              <w:ind w:left="202"/>
              <w:spacing w:after="0" w:line="185" w:lineRule="exact"/>
              <w:rPr>
                <w:sz w:val="20"/>
                <w:szCs w:val="20"/>
                <w:color w:val="auto"/>
              </w:rPr>
            </w:pPr>
            <w:r>
              <w:rPr>
                <w:rFonts w:ascii="Calibri" w:cs="Calibri" w:eastAsia="Calibri" w:hAnsi="Calibri"/>
                <w:sz w:val="16"/>
                <w:szCs w:val="16"/>
                <w:color w:val="auto"/>
                <w:w w:val="98"/>
              </w:rPr>
              <w:t>-0.1%</w:t>
            </w:r>
          </w:p>
        </w:tc>
        <w:tc>
          <w:tcPr>
            <w:tcW w:w="700" w:type="dxa"/>
            <w:vAlign w:val="bottom"/>
          </w:tcPr>
          <w:p>
            <w:pPr>
              <w:jc w:val="center"/>
              <w:ind w:left="102"/>
              <w:spacing w:after="0" w:line="185" w:lineRule="exact"/>
              <w:rPr>
                <w:sz w:val="20"/>
                <w:szCs w:val="20"/>
                <w:color w:val="auto"/>
              </w:rPr>
            </w:pPr>
            <w:r>
              <w:rPr>
                <w:rFonts w:ascii="Calibri" w:cs="Calibri" w:eastAsia="Calibri" w:hAnsi="Calibri"/>
                <w:sz w:val="16"/>
                <w:szCs w:val="16"/>
                <w:color w:val="auto"/>
              </w:rPr>
              <w:t>5.2%</w:t>
            </w:r>
          </w:p>
        </w:tc>
        <w:tc>
          <w:tcPr>
            <w:tcW w:w="1140" w:type="dxa"/>
            <w:vAlign w:val="bottom"/>
          </w:tcPr>
          <w:p>
            <w:pPr>
              <w:jc w:val="center"/>
              <w:ind w:left="102"/>
              <w:spacing w:after="0" w:line="185" w:lineRule="exact"/>
              <w:rPr>
                <w:sz w:val="20"/>
                <w:szCs w:val="20"/>
                <w:color w:val="auto"/>
              </w:rPr>
            </w:pPr>
            <w:r>
              <w:rPr>
                <w:rFonts w:ascii="Calibri" w:cs="Calibri" w:eastAsia="Calibri" w:hAnsi="Calibri"/>
                <w:sz w:val="16"/>
                <w:szCs w:val="16"/>
                <w:color w:val="auto"/>
              </w:rPr>
              <w:t>5.3%</w:t>
            </w:r>
          </w:p>
        </w:tc>
        <w:tc>
          <w:tcPr>
            <w:tcW w:w="100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rPr>
              <w:t>5.2%</w:t>
            </w: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ind w:left="320"/>
              <w:spacing w:after="0"/>
              <w:rPr>
                <w:sz w:val="20"/>
                <w:szCs w:val="20"/>
                <w:color w:val="auto"/>
              </w:rPr>
            </w:pPr>
            <w:r>
              <w:rPr>
                <w:rFonts w:ascii="Calibri" w:cs="Calibri" w:eastAsia="Calibri" w:hAnsi="Calibri"/>
                <w:sz w:val="16"/>
                <w:szCs w:val="16"/>
                <w:color w:val="auto"/>
              </w:rPr>
              <w:t>SME - Pyme</w:t>
            </w:r>
          </w:p>
        </w:tc>
        <w:tc>
          <w:tcPr>
            <w:tcW w:w="940" w:type="dxa"/>
            <w:vAlign w:val="bottom"/>
          </w:tcPr>
          <w:p>
            <w:pPr>
              <w:jc w:val="center"/>
              <w:spacing w:after="0"/>
              <w:rPr>
                <w:sz w:val="20"/>
                <w:szCs w:val="20"/>
                <w:color w:val="auto"/>
              </w:rPr>
            </w:pPr>
            <w:r>
              <w:rPr>
                <w:rFonts w:ascii="Calibri" w:cs="Calibri" w:eastAsia="Calibri" w:hAnsi="Calibri"/>
                <w:sz w:val="16"/>
                <w:szCs w:val="16"/>
                <w:color w:val="auto"/>
                <w:w w:val="98"/>
              </w:rPr>
              <w:t>16,282</w:t>
            </w:r>
          </w:p>
        </w:tc>
        <w:tc>
          <w:tcPr>
            <w:tcW w:w="980" w:type="dxa"/>
            <w:vAlign w:val="bottom"/>
          </w:tcPr>
          <w:p>
            <w:pPr>
              <w:jc w:val="center"/>
              <w:spacing w:after="0"/>
              <w:rPr>
                <w:sz w:val="20"/>
                <w:szCs w:val="20"/>
                <w:color w:val="auto"/>
              </w:rPr>
            </w:pPr>
            <w:r>
              <w:rPr>
                <w:rFonts w:ascii="Calibri" w:cs="Calibri" w:eastAsia="Calibri" w:hAnsi="Calibri"/>
                <w:sz w:val="16"/>
                <w:szCs w:val="16"/>
                <w:color w:val="auto"/>
                <w:w w:val="98"/>
              </w:rPr>
              <w:t>15,940</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4"/>
              </w:rPr>
              <w:t>15,922</w:t>
            </w:r>
          </w:p>
        </w:tc>
        <w:tc>
          <w:tcPr>
            <w:tcW w:w="900" w:type="dxa"/>
            <w:vAlign w:val="bottom"/>
          </w:tcPr>
          <w:p>
            <w:pPr>
              <w:jc w:val="center"/>
              <w:spacing w:after="0"/>
              <w:rPr>
                <w:sz w:val="20"/>
                <w:szCs w:val="20"/>
                <w:color w:val="auto"/>
              </w:rPr>
            </w:pPr>
            <w:r>
              <w:rPr>
                <w:rFonts w:ascii="Calibri" w:cs="Calibri" w:eastAsia="Calibri" w:hAnsi="Calibri"/>
                <w:sz w:val="16"/>
                <w:szCs w:val="16"/>
                <w:color w:val="auto"/>
              </w:rPr>
              <w:t>-18</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-360</w:t>
            </w:r>
          </w:p>
        </w:tc>
        <w:tc>
          <w:tcPr>
            <w:tcW w:w="680" w:type="dxa"/>
            <w:vAlign w:val="bottom"/>
          </w:tcPr>
          <w:p>
            <w:pPr>
              <w:jc w:val="center"/>
              <w:ind w:left="242"/>
              <w:spacing w:after="0"/>
              <w:rPr>
                <w:sz w:val="20"/>
                <w:szCs w:val="20"/>
                <w:color w:val="auto"/>
              </w:rPr>
            </w:pPr>
            <w:r>
              <w:rPr>
                <w:rFonts w:ascii="Calibri" w:cs="Calibri" w:eastAsia="Calibri" w:hAnsi="Calibri"/>
                <w:sz w:val="16"/>
                <w:szCs w:val="16"/>
                <w:color w:val="auto"/>
                <w:w w:val="98"/>
              </w:rPr>
              <w:t>-0.1%</w:t>
            </w:r>
          </w:p>
        </w:tc>
        <w:tc>
          <w:tcPr>
            <w:tcW w:w="132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6"/>
                <w:szCs w:val="16"/>
                <w:color w:val="auto"/>
                <w:w w:val="98"/>
              </w:rPr>
              <w:t>-2.2%</w:t>
            </w:r>
          </w:p>
        </w:tc>
        <w:tc>
          <w:tcPr>
            <w:tcW w:w="700" w:type="dxa"/>
            <w:vAlign w:val="bottom"/>
          </w:tcPr>
          <w:p>
            <w:pPr>
              <w:jc w:val="center"/>
              <w:ind w:left="102"/>
              <w:spacing w:after="0"/>
              <w:rPr>
                <w:sz w:val="20"/>
                <w:szCs w:val="20"/>
                <w:color w:val="auto"/>
              </w:rPr>
            </w:pPr>
            <w:r>
              <w:rPr>
                <w:rFonts w:ascii="Calibri" w:cs="Calibri" w:eastAsia="Calibri" w:hAnsi="Calibri"/>
                <w:sz w:val="16"/>
                <w:szCs w:val="16"/>
                <w:color w:val="auto"/>
              </w:rPr>
              <w:t>11.3%</w:t>
            </w:r>
          </w:p>
        </w:tc>
        <w:tc>
          <w:tcPr>
            <w:tcW w:w="1140" w:type="dxa"/>
            <w:vAlign w:val="bottom"/>
          </w:tcPr>
          <w:p>
            <w:pPr>
              <w:jc w:val="center"/>
              <w:ind w:left="102"/>
              <w:spacing w:after="0"/>
              <w:rPr>
                <w:sz w:val="20"/>
                <w:szCs w:val="20"/>
                <w:color w:val="auto"/>
              </w:rPr>
            </w:pPr>
            <w:r>
              <w:rPr>
                <w:rFonts w:ascii="Calibri" w:cs="Calibri" w:eastAsia="Calibri" w:hAnsi="Calibri"/>
                <w:sz w:val="16"/>
                <w:szCs w:val="16"/>
                <w:color w:val="auto"/>
              </w:rPr>
              <w:t>11.1%</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11.0%</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vMerge w:val="restart"/>
          </w:tcPr>
          <w:p>
            <w:pPr>
              <w:ind w:left="320"/>
              <w:spacing w:after="0"/>
              <w:rPr>
                <w:sz w:val="20"/>
                <w:szCs w:val="20"/>
                <w:color w:val="auto"/>
              </w:rPr>
            </w:pPr>
            <w:r>
              <w:rPr>
                <w:rFonts w:ascii="Calibri" w:cs="Calibri" w:eastAsia="Calibri" w:hAnsi="Calibri"/>
                <w:sz w:val="16"/>
                <w:szCs w:val="16"/>
                <w:color w:val="auto"/>
              </w:rPr>
              <w:t>Mortgage</w:t>
            </w:r>
          </w:p>
        </w:tc>
        <w:tc>
          <w:tcPr>
            <w:tcW w:w="94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21,257</w:t>
            </w:r>
          </w:p>
        </w:tc>
        <w:tc>
          <w:tcPr>
            <w:tcW w:w="9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21,870</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w w:val="94"/>
              </w:rPr>
              <w:t>22,439</w:t>
            </w:r>
          </w:p>
        </w:tc>
        <w:tc>
          <w:tcPr>
            <w:tcW w:w="90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680" w:type="dxa"/>
            <w:vAlign w:val="bottom"/>
            <w:vMerge w:val="restart"/>
          </w:tcPr>
          <w:p>
            <w:pPr>
              <w:jc w:val="center"/>
              <w:ind w:left="222"/>
              <w:spacing w:after="0"/>
              <w:rPr>
                <w:sz w:val="20"/>
                <w:szCs w:val="20"/>
                <w:color w:val="auto"/>
              </w:rPr>
            </w:pPr>
            <w:r>
              <w:rPr>
                <w:rFonts w:ascii="Calibri" w:cs="Calibri" w:eastAsia="Calibri" w:hAnsi="Calibri"/>
                <w:sz w:val="16"/>
                <w:szCs w:val="16"/>
                <w:color w:val="auto"/>
                <w:w w:val="94"/>
              </w:rPr>
              <w:t>2.6%</w:t>
            </w:r>
          </w:p>
        </w:tc>
        <w:tc>
          <w:tcPr>
            <w:tcW w:w="1320" w:type="dxa"/>
            <w:vAlign w:val="bottom"/>
            <w:tcBorders>
              <w:right w:val="single" w:sz="8" w:color="auto"/>
            </w:tcBorders>
            <w:vMerge w:val="restart"/>
          </w:tcPr>
          <w:p>
            <w:pPr>
              <w:jc w:val="center"/>
              <w:ind w:left="222"/>
              <w:spacing w:after="0"/>
              <w:rPr>
                <w:sz w:val="20"/>
                <w:szCs w:val="20"/>
                <w:color w:val="auto"/>
              </w:rPr>
            </w:pPr>
            <w:r>
              <w:rPr>
                <w:rFonts w:ascii="Calibri" w:cs="Calibri" w:eastAsia="Calibri" w:hAnsi="Calibri"/>
                <w:sz w:val="16"/>
                <w:szCs w:val="16"/>
                <w:color w:val="auto"/>
                <w:w w:val="94"/>
              </w:rPr>
              <w:t>5.6%</w:t>
            </w:r>
          </w:p>
        </w:tc>
        <w:tc>
          <w:tcPr>
            <w:tcW w:w="700" w:type="dxa"/>
            <w:vAlign w:val="bottom"/>
            <w:vMerge w:val="restart"/>
          </w:tcPr>
          <w:p>
            <w:pPr>
              <w:jc w:val="center"/>
              <w:ind w:left="102"/>
              <w:spacing w:after="0"/>
              <w:rPr>
                <w:sz w:val="20"/>
                <w:szCs w:val="20"/>
                <w:color w:val="auto"/>
              </w:rPr>
            </w:pPr>
            <w:r>
              <w:rPr>
                <w:rFonts w:ascii="Calibri" w:cs="Calibri" w:eastAsia="Calibri" w:hAnsi="Calibri"/>
                <w:sz w:val="16"/>
                <w:szCs w:val="16"/>
                <w:color w:val="auto"/>
              </w:rPr>
              <w:t>14.8%</w:t>
            </w:r>
          </w:p>
        </w:tc>
        <w:tc>
          <w:tcPr>
            <w:tcW w:w="1140" w:type="dxa"/>
            <w:vAlign w:val="bottom"/>
            <w:vMerge w:val="restart"/>
          </w:tcPr>
          <w:p>
            <w:pPr>
              <w:jc w:val="center"/>
              <w:ind w:left="102"/>
              <w:spacing w:after="0"/>
              <w:rPr>
                <w:sz w:val="20"/>
                <w:szCs w:val="20"/>
                <w:color w:val="auto"/>
              </w:rPr>
            </w:pPr>
            <w:r>
              <w:rPr>
                <w:rFonts w:ascii="Calibri" w:cs="Calibri" w:eastAsia="Calibri" w:hAnsi="Calibri"/>
                <w:sz w:val="16"/>
                <w:szCs w:val="16"/>
                <w:color w:val="auto"/>
              </w:rPr>
              <w:t>15.2%</w:t>
            </w:r>
          </w:p>
        </w:tc>
        <w:tc>
          <w:tcPr>
            <w:tcW w:w="10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15.5%</w:t>
            </w:r>
          </w:p>
        </w:tc>
        <w:tc>
          <w:tcPr>
            <w:tcW w:w="0" w:type="dxa"/>
            <w:vAlign w:val="bottom"/>
          </w:tcPr>
          <w:p>
            <w:pPr>
              <w:spacing w:after="0" w:line="20" w:lineRule="exact"/>
              <w:rPr>
                <w:sz w:val="1"/>
                <w:szCs w:val="1"/>
                <w:color w:val="auto"/>
              </w:rPr>
            </w:pPr>
          </w:p>
        </w:tc>
      </w:tr>
      <w:tr>
        <w:trPr>
          <w:trHeight w:val="185"/>
        </w:trPr>
        <w:tc>
          <w:tcPr>
            <w:tcW w:w="1720" w:type="dxa"/>
            <w:vAlign w:val="bottom"/>
            <w:tcBorders>
              <w:left w:val="single" w:sz="8" w:color="auto"/>
              <w:right w:val="single" w:sz="8" w:color="auto"/>
            </w:tcBorders>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900" w:type="dxa"/>
            <w:vAlign w:val="bottom"/>
            <w:shd w:val="clear" w:color="auto" w:fill="00B050"/>
          </w:tcPr>
          <w:p>
            <w:pPr>
              <w:jc w:val="center"/>
              <w:spacing w:after="0" w:line="185" w:lineRule="exact"/>
              <w:rPr>
                <w:sz w:val="20"/>
                <w:szCs w:val="20"/>
                <w:color w:val="auto"/>
              </w:rPr>
            </w:pPr>
            <w:r>
              <w:rPr>
                <w:rFonts w:ascii="Calibri" w:cs="Calibri" w:eastAsia="Calibri" w:hAnsi="Calibri"/>
                <w:sz w:val="16"/>
                <w:szCs w:val="16"/>
                <w:color w:val="auto"/>
                <w:w w:val="98"/>
              </w:rPr>
              <w:t>569</w:t>
            </w:r>
          </w:p>
        </w:tc>
        <w:tc>
          <w:tcPr>
            <w:tcW w:w="960" w:type="dxa"/>
            <w:vAlign w:val="bottom"/>
            <w:tcBorders>
              <w:right w:val="single" w:sz="8" w:color="auto"/>
            </w:tcBorders>
            <w:shd w:val="clear" w:color="auto" w:fill="00B050"/>
          </w:tcPr>
          <w:p>
            <w:pPr>
              <w:jc w:val="center"/>
              <w:spacing w:after="0" w:line="185" w:lineRule="exact"/>
              <w:rPr>
                <w:sz w:val="20"/>
                <w:szCs w:val="20"/>
                <w:color w:val="auto"/>
              </w:rPr>
            </w:pPr>
            <w:r>
              <w:rPr>
                <w:rFonts w:ascii="Calibri" w:cs="Calibri" w:eastAsia="Calibri" w:hAnsi="Calibri"/>
                <w:sz w:val="16"/>
                <w:szCs w:val="16"/>
                <w:color w:val="auto"/>
                <w:w w:val="93"/>
              </w:rPr>
              <w:t>1,182</w:t>
            </w:r>
          </w:p>
        </w:tc>
        <w:tc>
          <w:tcPr>
            <w:tcW w:w="680" w:type="dxa"/>
            <w:vAlign w:val="bottom"/>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20" w:type="dxa"/>
            <w:vAlign w:val="bottom"/>
            <w:tcBorders>
              <w:left w:val="single" w:sz="8" w:color="auto"/>
              <w:right w:val="single" w:sz="8" w:color="auto"/>
            </w:tcBorders>
          </w:tcPr>
          <w:p>
            <w:pPr>
              <w:ind w:left="320"/>
              <w:spacing w:after="0" w:line="185" w:lineRule="exact"/>
              <w:rPr>
                <w:sz w:val="20"/>
                <w:szCs w:val="20"/>
                <w:color w:val="auto"/>
              </w:rPr>
            </w:pPr>
            <w:r>
              <w:rPr>
                <w:rFonts w:ascii="Calibri" w:cs="Calibri" w:eastAsia="Calibri" w:hAnsi="Calibri"/>
                <w:sz w:val="16"/>
                <w:szCs w:val="16"/>
                <w:color w:val="auto"/>
              </w:rPr>
              <w:t>Consumer</w:t>
            </w:r>
          </w:p>
        </w:tc>
        <w:tc>
          <w:tcPr>
            <w:tcW w:w="94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12,724</w:t>
            </w:r>
          </w:p>
        </w:tc>
        <w:tc>
          <w:tcPr>
            <w:tcW w:w="98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12,961</w:t>
            </w:r>
          </w:p>
        </w:tc>
        <w:tc>
          <w:tcPr>
            <w:tcW w:w="9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4"/>
              </w:rPr>
              <w:t>13,207</w:t>
            </w:r>
          </w:p>
        </w:tc>
        <w:tc>
          <w:tcPr>
            <w:tcW w:w="900" w:type="dxa"/>
            <w:vAlign w:val="bottom"/>
            <w:tcBorders>
              <w:bottom w:val="single" w:sz="8" w:color="00B050"/>
            </w:tcBorders>
            <w:shd w:val="clear" w:color="auto" w:fill="00B050"/>
          </w:tcPr>
          <w:p>
            <w:pPr>
              <w:jc w:val="center"/>
              <w:spacing w:after="0" w:line="185" w:lineRule="exact"/>
              <w:rPr>
                <w:sz w:val="20"/>
                <w:szCs w:val="20"/>
                <w:color w:val="auto"/>
              </w:rPr>
            </w:pPr>
            <w:r>
              <w:rPr>
                <w:rFonts w:ascii="Calibri" w:cs="Calibri" w:eastAsia="Calibri" w:hAnsi="Calibri"/>
                <w:sz w:val="16"/>
                <w:szCs w:val="16"/>
                <w:color w:val="auto"/>
                <w:w w:val="98"/>
              </w:rPr>
              <w:t>246</w:t>
            </w:r>
          </w:p>
        </w:tc>
        <w:tc>
          <w:tcPr>
            <w:tcW w:w="960" w:type="dxa"/>
            <w:vAlign w:val="bottom"/>
            <w:tcBorders>
              <w:bottom w:val="single" w:sz="8" w:color="00B050"/>
              <w:right w:val="single" w:sz="8" w:color="auto"/>
            </w:tcBorders>
            <w:shd w:val="clear" w:color="auto" w:fill="00B050"/>
          </w:tcPr>
          <w:p>
            <w:pPr>
              <w:jc w:val="center"/>
              <w:spacing w:after="0" w:line="185" w:lineRule="exact"/>
              <w:rPr>
                <w:sz w:val="20"/>
                <w:szCs w:val="20"/>
                <w:color w:val="auto"/>
              </w:rPr>
            </w:pPr>
            <w:r>
              <w:rPr>
                <w:rFonts w:ascii="Calibri" w:cs="Calibri" w:eastAsia="Calibri" w:hAnsi="Calibri"/>
                <w:sz w:val="16"/>
                <w:szCs w:val="16"/>
                <w:color w:val="auto"/>
                <w:w w:val="90"/>
              </w:rPr>
              <w:t>483</w:t>
            </w:r>
          </w:p>
        </w:tc>
        <w:tc>
          <w:tcPr>
            <w:tcW w:w="680" w:type="dxa"/>
            <w:vAlign w:val="bottom"/>
          </w:tcPr>
          <w:p>
            <w:pPr>
              <w:jc w:val="center"/>
              <w:ind w:left="222"/>
              <w:spacing w:after="0" w:line="185" w:lineRule="exact"/>
              <w:rPr>
                <w:sz w:val="20"/>
                <w:szCs w:val="20"/>
                <w:color w:val="auto"/>
              </w:rPr>
            </w:pPr>
            <w:r>
              <w:rPr>
                <w:rFonts w:ascii="Calibri" w:cs="Calibri" w:eastAsia="Calibri" w:hAnsi="Calibri"/>
                <w:sz w:val="16"/>
                <w:szCs w:val="16"/>
                <w:color w:val="auto"/>
                <w:w w:val="94"/>
              </w:rPr>
              <w:t>1.9%</w:t>
            </w:r>
          </w:p>
        </w:tc>
        <w:tc>
          <w:tcPr>
            <w:tcW w:w="1320" w:type="dxa"/>
            <w:vAlign w:val="bottom"/>
            <w:tcBorders>
              <w:right w:val="single" w:sz="8" w:color="auto"/>
            </w:tcBorders>
          </w:tcPr>
          <w:p>
            <w:pPr>
              <w:jc w:val="center"/>
              <w:ind w:left="222"/>
              <w:spacing w:after="0" w:line="185" w:lineRule="exact"/>
              <w:rPr>
                <w:sz w:val="20"/>
                <w:szCs w:val="20"/>
                <w:color w:val="auto"/>
              </w:rPr>
            </w:pPr>
            <w:r>
              <w:rPr>
                <w:rFonts w:ascii="Calibri" w:cs="Calibri" w:eastAsia="Calibri" w:hAnsi="Calibri"/>
                <w:sz w:val="16"/>
                <w:szCs w:val="16"/>
                <w:color w:val="auto"/>
                <w:w w:val="94"/>
              </w:rPr>
              <w:t>3.8%</w:t>
            </w:r>
          </w:p>
        </w:tc>
        <w:tc>
          <w:tcPr>
            <w:tcW w:w="700" w:type="dxa"/>
            <w:vAlign w:val="bottom"/>
          </w:tcPr>
          <w:p>
            <w:pPr>
              <w:jc w:val="center"/>
              <w:ind w:left="102"/>
              <w:spacing w:after="0" w:line="185" w:lineRule="exact"/>
              <w:rPr>
                <w:sz w:val="20"/>
                <w:szCs w:val="20"/>
                <w:color w:val="auto"/>
              </w:rPr>
            </w:pPr>
            <w:r>
              <w:rPr>
                <w:rFonts w:ascii="Calibri" w:cs="Calibri" w:eastAsia="Calibri" w:hAnsi="Calibri"/>
                <w:sz w:val="16"/>
                <w:szCs w:val="16"/>
                <w:color w:val="auto"/>
              </w:rPr>
              <w:t>8.9%</w:t>
            </w:r>
          </w:p>
        </w:tc>
        <w:tc>
          <w:tcPr>
            <w:tcW w:w="1140" w:type="dxa"/>
            <w:vAlign w:val="bottom"/>
          </w:tcPr>
          <w:p>
            <w:pPr>
              <w:jc w:val="center"/>
              <w:ind w:left="102"/>
              <w:spacing w:after="0" w:line="185" w:lineRule="exact"/>
              <w:rPr>
                <w:sz w:val="20"/>
                <w:szCs w:val="20"/>
                <w:color w:val="auto"/>
              </w:rPr>
            </w:pPr>
            <w:r>
              <w:rPr>
                <w:rFonts w:ascii="Calibri" w:cs="Calibri" w:eastAsia="Calibri" w:hAnsi="Calibri"/>
                <w:sz w:val="16"/>
                <w:szCs w:val="16"/>
                <w:color w:val="auto"/>
              </w:rPr>
              <w:t>9.0%</w:t>
            </w:r>
          </w:p>
        </w:tc>
        <w:tc>
          <w:tcPr>
            <w:tcW w:w="100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rPr>
              <w:t>9.1%</w:t>
            </w:r>
          </w:p>
        </w:tc>
        <w:tc>
          <w:tcPr>
            <w:tcW w:w="0" w:type="dxa"/>
            <w:vAlign w:val="bottom"/>
          </w:tcPr>
          <w:p>
            <w:pPr>
              <w:spacing w:after="0"/>
              <w:rPr>
                <w:sz w:val="1"/>
                <w:szCs w:val="1"/>
                <w:color w:val="auto"/>
              </w:rPr>
            </w:pPr>
          </w:p>
        </w:tc>
      </w:tr>
      <w:tr>
        <w:trPr>
          <w:trHeight w:val="185"/>
        </w:trPr>
        <w:tc>
          <w:tcPr>
            <w:tcW w:w="1720" w:type="dxa"/>
            <w:vAlign w:val="bottom"/>
            <w:tcBorders>
              <w:left w:val="single" w:sz="8" w:color="auto"/>
              <w:right w:val="single" w:sz="8" w:color="auto"/>
            </w:tcBorders>
          </w:tcPr>
          <w:p>
            <w:pPr>
              <w:ind w:left="320"/>
              <w:spacing w:after="0" w:line="168" w:lineRule="exact"/>
              <w:rPr>
                <w:sz w:val="20"/>
                <w:szCs w:val="20"/>
                <w:color w:val="auto"/>
              </w:rPr>
            </w:pPr>
            <w:r>
              <w:rPr>
                <w:rFonts w:ascii="Calibri" w:cs="Calibri" w:eastAsia="Calibri" w:hAnsi="Calibri"/>
                <w:sz w:val="16"/>
                <w:szCs w:val="16"/>
                <w:color w:val="auto"/>
              </w:rPr>
              <w:t>Credit Card</w:t>
            </w:r>
          </w:p>
        </w:tc>
        <w:tc>
          <w:tcPr>
            <w:tcW w:w="940" w:type="dxa"/>
            <w:vAlign w:val="bottom"/>
          </w:tcPr>
          <w:p>
            <w:pPr>
              <w:jc w:val="center"/>
              <w:spacing w:after="0" w:line="168" w:lineRule="exact"/>
              <w:rPr>
                <w:sz w:val="20"/>
                <w:szCs w:val="20"/>
                <w:color w:val="auto"/>
              </w:rPr>
            </w:pPr>
            <w:r>
              <w:rPr>
                <w:rFonts w:ascii="Calibri" w:cs="Calibri" w:eastAsia="Calibri" w:hAnsi="Calibri"/>
                <w:sz w:val="16"/>
                <w:szCs w:val="16"/>
                <w:color w:val="auto"/>
                <w:w w:val="98"/>
              </w:rPr>
              <w:t>5,987</w:t>
            </w:r>
          </w:p>
        </w:tc>
        <w:tc>
          <w:tcPr>
            <w:tcW w:w="980" w:type="dxa"/>
            <w:vAlign w:val="bottom"/>
          </w:tcPr>
          <w:p>
            <w:pPr>
              <w:jc w:val="center"/>
              <w:spacing w:after="0" w:line="168" w:lineRule="exact"/>
              <w:rPr>
                <w:sz w:val="20"/>
                <w:szCs w:val="20"/>
                <w:color w:val="auto"/>
              </w:rPr>
            </w:pPr>
            <w:r>
              <w:rPr>
                <w:rFonts w:ascii="Calibri" w:cs="Calibri" w:eastAsia="Calibri" w:hAnsi="Calibri"/>
                <w:sz w:val="16"/>
                <w:szCs w:val="16"/>
                <w:color w:val="auto"/>
                <w:w w:val="98"/>
              </w:rPr>
              <w:t>5,862</w:t>
            </w:r>
          </w:p>
        </w:tc>
        <w:tc>
          <w:tcPr>
            <w:tcW w:w="920" w:type="dxa"/>
            <w:vAlign w:val="bottom"/>
            <w:tcBorders>
              <w:right w:val="single" w:sz="8" w:color="auto"/>
            </w:tcBorders>
          </w:tcPr>
          <w:p>
            <w:pPr>
              <w:jc w:val="center"/>
              <w:spacing w:after="0" w:line="168" w:lineRule="exact"/>
              <w:rPr>
                <w:sz w:val="20"/>
                <w:szCs w:val="20"/>
                <w:color w:val="auto"/>
              </w:rPr>
            </w:pPr>
            <w:r>
              <w:rPr>
                <w:rFonts w:ascii="Calibri" w:cs="Calibri" w:eastAsia="Calibri" w:hAnsi="Calibri"/>
                <w:sz w:val="16"/>
                <w:szCs w:val="16"/>
                <w:color w:val="auto"/>
                <w:w w:val="93"/>
              </w:rPr>
              <w:t>5,957</w:t>
            </w:r>
          </w:p>
        </w:tc>
        <w:tc>
          <w:tcPr>
            <w:tcW w:w="90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94</w:t>
            </w:r>
          </w:p>
        </w:tc>
        <w:tc>
          <w:tcPr>
            <w:tcW w:w="9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rPr>
              <w:t>-30</w:t>
            </w:r>
          </w:p>
        </w:tc>
        <w:tc>
          <w:tcPr>
            <w:tcW w:w="680" w:type="dxa"/>
            <w:vAlign w:val="bottom"/>
          </w:tcPr>
          <w:p>
            <w:pPr>
              <w:jc w:val="center"/>
              <w:ind w:left="222"/>
              <w:spacing w:after="0" w:line="168" w:lineRule="exact"/>
              <w:rPr>
                <w:sz w:val="20"/>
                <w:szCs w:val="20"/>
                <w:color w:val="auto"/>
              </w:rPr>
            </w:pPr>
            <w:r>
              <w:rPr>
                <w:rFonts w:ascii="Calibri" w:cs="Calibri" w:eastAsia="Calibri" w:hAnsi="Calibri"/>
                <w:sz w:val="16"/>
                <w:szCs w:val="16"/>
                <w:color w:val="auto"/>
                <w:w w:val="94"/>
              </w:rPr>
              <w:t>1.6%</w:t>
            </w:r>
          </w:p>
        </w:tc>
        <w:tc>
          <w:tcPr>
            <w:tcW w:w="1320" w:type="dxa"/>
            <w:vAlign w:val="bottom"/>
            <w:tcBorders>
              <w:right w:val="single" w:sz="8" w:color="auto"/>
            </w:tcBorders>
          </w:tcPr>
          <w:p>
            <w:pPr>
              <w:jc w:val="center"/>
              <w:ind w:left="202"/>
              <w:spacing w:after="0" w:line="168" w:lineRule="exact"/>
              <w:rPr>
                <w:sz w:val="20"/>
                <w:szCs w:val="20"/>
                <w:color w:val="auto"/>
              </w:rPr>
            </w:pPr>
            <w:r>
              <w:rPr>
                <w:rFonts w:ascii="Calibri" w:cs="Calibri" w:eastAsia="Calibri" w:hAnsi="Calibri"/>
                <w:sz w:val="16"/>
                <w:szCs w:val="16"/>
                <w:color w:val="auto"/>
                <w:w w:val="98"/>
              </w:rPr>
              <w:t>-0.5%</w:t>
            </w:r>
          </w:p>
        </w:tc>
        <w:tc>
          <w:tcPr>
            <w:tcW w:w="700" w:type="dxa"/>
            <w:vAlign w:val="bottom"/>
          </w:tcPr>
          <w:p>
            <w:pPr>
              <w:jc w:val="center"/>
              <w:ind w:left="102"/>
              <w:spacing w:after="0" w:line="168" w:lineRule="exact"/>
              <w:rPr>
                <w:sz w:val="20"/>
                <w:szCs w:val="20"/>
                <w:color w:val="auto"/>
              </w:rPr>
            </w:pPr>
            <w:r>
              <w:rPr>
                <w:rFonts w:ascii="Calibri" w:cs="Calibri" w:eastAsia="Calibri" w:hAnsi="Calibri"/>
                <w:sz w:val="16"/>
                <w:szCs w:val="16"/>
                <w:color w:val="auto"/>
              </w:rPr>
              <w:t>4.2%</w:t>
            </w:r>
          </w:p>
        </w:tc>
        <w:tc>
          <w:tcPr>
            <w:tcW w:w="1140" w:type="dxa"/>
            <w:vAlign w:val="bottom"/>
          </w:tcPr>
          <w:p>
            <w:pPr>
              <w:jc w:val="center"/>
              <w:ind w:left="102"/>
              <w:spacing w:after="0" w:line="168" w:lineRule="exact"/>
              <w:rPr>
                <w:sz w:val="20"/>
                <w:szCs w:val="20"/>
                <w:color w:val="auto"/>
              </w:rPr>
            </w:pPr>
            <w:r>
              <w:rPr>
                <w:rFonts w:ascii="Calibri" w:cs="Calibri" w:eastAsia="Calibri" w:hAnsi="Calibri"/>
                <w:sz w:val="16"/>
                <w:szCs w:val="16"/>
                <w:color w:val="auto"/>
              </w:rPr>
              <w:t>4.1%</w:t>
            </w:r>
          </w:p>
        </w:tc>
        <w:tc>
          <w:tcPr>
            <w:tcW w:w="1000" w:type="dxa"/>
            <w:vAlign w:val="bottom"/>
            <w:tcBorders>
              <w:right w:val="single" w:sz="8" w:color="auto"/>
            </w:tcBorders>
          </w:tcPr>
          <w:p>
            <w:pPr>
              <w:jc w:val="center"/>
              <w:spacing w:after="0" w:line="168" w:lineRule="exact"/>
              <w:rPr>
                <w:sz w:val="20"/>
                <w:szCs w:val="20"/>
                <w:color w:val="auto"/>
              </w:rPr>
            </w:pPr>
            <w:r>
              <w:rPr>
                <w:rFonts w:ascii="Calibri" w:cs="Calibri" w:eastAsia="Calibri" w:hAnsi="Calibri"/>
                <w:sz w:val="16"/>
                <w:szCs w:val="16"/>
                <w:color w:val="auto"/>
              </w:rPr>
              <w:t>4.1%</w:t>
            </w:r>
          </w:p>
        </w:tc>
        <w:tc>
          <w:tcPr>
            <w:tcW w:w="0" w:type="dxa"/>
            <w:vAlign w:val="bottom"/>
          </w:tcPr>
          <w:p>
            <w:pPr>
              <w:spacing w:after="0"/>
              <w:rPr>
                <w:sz w:val="1"/>
                <w:szCs w:val="1"/>
                <w:color w:val="auto"/>
              </w:rPr>
            </w:pPr>
          </w:p>
        </w:tc>
      </w:tr>
      <w:tr>
        <w:trPr>
          <w:trHeight w:val="205"/>
        </w:trPr>
        <w:tc>
          <w:tcPr>
            <w:tcW w:w="1720" w:type="dxa"/>
            <w:vAlign w:val="bottom"/>
            <w:tcBorders>
              <w:left w:val="single" w:sz="8" w:color="auto"/>
              <w:right w:val="single" w:sz="8" w:color="auto"/>
            </w:tcBorders>
          </w:tcPr>
          <w:p>
            <w:pPr>
              <w:ind w:left="20"/>
              <w:spacing w:after="0" w:line="185" w:lineRule="exact"/>
              <w:rPr>
                <w:sz w:val="20"/>
                <w:szCs w:val="20"/>
                <w:color w:val="auto"/>
              </w:rPr>
            </w:pPr>
            <w:r>
              <w:rPr>
                <w:rFonts w:ascii="Calibri" w:cs="Calibri" w:eastAsia="Calibri" w:hAnsi="Calibri"/>
                <w:sz w:val="16"/>
                <w:szCs w:val="16"/>
                <w:b w:val="1"/>
                <w:bCs w:val="1"/>
                <w:color w:val="auto"/>
              </w:rPr>
              <w:t>Mibanco</w:t>
            </w:r>
          </w:p>
        </w:tc>
        <w:tc>
          <w:tcPr>
            <w:tcW w:w="940" w:type="dxa"/>
            <w:vAlign w:val="bottom"/>
          </w:tcPr>
          <w:p>
            <w:pPr>
              <w:jc w:val="center"/>
              <w:spacing w:after="0" w:line="185" w:lineRule="exact"/>
              <w:rPr>
                <w:sz w:val="20"/>
                <w:szCs w:val="20"/>
                <w:color w:val="auto"/>
              </w:rPr>
            </w:pPr>
            <w:r>
              <w:rPr>
                <w:rFonts w:ascii="Calibri" w:cs="Calibri" w:eastAsia="Calibri" w:hAnsi="Calibri"/>
                <w:sz w:val="16"/>
                <w:szCs w:val="16"/>
                <w:b w:val="1"/>
                <w:bCs w:val="1"/>
                <w:color w:val="auto"/>
                <w:w w:val="98"/>
              </w:rPr>
              <w:t>12,815</w:t>
            </w:r>
          </w:p>
        </w:tc>
        <w:tc>
          <w:tcPr>
            <w:tcW w:w="980" w:type="dxa"/>
            <w:vAlign w:val="bottom"/>
          </w:tcPr>
          <w:p>
            <w:pPr>
              <w:jc w:val="center"/>
              <w:spacing w:after="0" w:line="185" w:lineRule="exact"/>
              <w:rPr>
                <w:sz w:val="20"/>
                <w:szCs w:val="20"/>
                <w:color w:val="auto"/>
              </w:rPr>
            </w:pPr>
            <w:r>
              <w:rPr>
                <w:rFonts w:ascii="Calibri" w:cs="Calibri" w:eastAsia="Calibri" w:hAnsi="Calibri"/>
                <w:sz w:val="16"/>
                <w:szCs w:val="16"/>
                <w:b w:val="1"/>
                <w:bCs w:val="1"/>
                <w:color w:val="auto"/>
                <w:w w:val="98"/>
              </w:rPr>
              <w:t>12,147</w:t>
            </w:r>
          </w:p>
        </w:tc>
        <w:tc>
          <w:tcPr>
            <w:tcW w:w="9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w w:val="93"/>
              </w:rPr>
              <w:t>12,514</w:t>
            </w:r>
          </w:p>
        </w:tc>
        <w:tc>
          <w:tcPr>
            <w:tcW w:w="900" w:type="dxa"/>
            <w:vAlign w:val="bottom"/>
            <w:shd w:val="clear" w:color="auto" w:fill="00B050"/>
          </w:tcPr>
          <w:p>
            <w:pPr>
              <w:jc w:val="center"/>
              <w:spacing w:after="0"/>
              <w:rPr>
                <w:sz w:val="20"/>
                <w:szCs w:val="20"/>
                <w:color w:val="auto"/>
              </w:rPr>
            </w:pPr>
            <w:r>
              <w:rPr>
                <w:rFonts w:ascii="Calibri" w:cs="Calibri" w:eastAsia="Calibri" w:hAnsi="Calibri"/>
                <w:sz w:val="16"/>
                <w:szCs w:val="16"/>
                <w:b w:val="1"/>
                <w:bCs w:val="1"/>
                <w:color w:val="auto"/>
                <w:w w:val="98"/>
              </w:rPr>
              <w:t>366</w:t>
            </w:r>
          </w:p>
        </w:tc>
        <w:tc>
          <w:tcPr>
            <w:tcW w:w="9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rPr>
              <w:t>-301</w:t>
            </w:r>
          </w:p>
        </w:tc>
        <w:tc>
          <w:tcPr>
            <w:tcW w:w="680" w:type="dxa"/>
            <w:vAlign w:val="bottom"/>
          </w:tcPr>
          <w:p>
            <w:pPr>
              <w:jc w:val="center"/>
              <w:ind w:left="222"/>
              <w:spacing w:after="0" w:line="185" w:lineRule="exact"/>
              <w:rPr>
                <w:sz w:val="20"/>
                <w:szCs w:val="20"/>
                <w:color w:val="auto"/>
              </w:rPr>
            </w:pPr>
            <w:r>
              <w:rPr>
                <w:rFonts w:ascii="Calibri" w:cs="Calibri" w:eastAsia="Calibri" w:hAnsi="Calibri"/>
                <w:sz w:val="16"/>
                <w:szCs w:val="16"/>
                <w:b w:val="1"/>
                <w:bCs w:val="1"/>
                <w:color w:val="auto"/>
                <w:w w:val="93"/>
              </w:rPr>
              <w:t>3.0%</w:t>
            </w:r>
          </w:p>
        </w:tc>
        <w:tc>
          <w:tcPr>
            <w:tcW w:w="1320" w:type="dxa"/>
            <w:vAlign w:val="bottom"/>
            <w:tcBorders>
              <w:right w:val="single" w:sz="8" w:color="auto"/>
            </w:tcBorders>
          </w:tcPr>
          <w:p>
            <w:pPr>
              <w:jc w:val="center"/>
              <w:ind w:left="202"/>
              <w:spacing w:after="0" w:line="185" w:lineRule="exact"/>
              <w:rPr>
                <w:sz w:val="20"/>
                <w:szCs w:val="20"/>
                <w:color w:val="auto"/>
              </w:rPr>
            </w:pPr>
            <w:r>
              <w:rPr>
                <w:rFonts w:ascii="Calibri" w:cs="Calibri" w:eastAsia="Calibri" w:hAnsi="Calibri"/>
                <w:sz w:val="16"/>
                <w:szCs w:val="16"/>
                <w:b w:val="1"/>
                <w:bCs w:val="1"/>
                <w:color w:val="auto"/>
                <w:w w:val="97"/>
              </w:rPr>
              <w:t>-2.4%</w:t>
            </w:r>
          </w:p>
        </w:tc>
        <w:tc>
          <w:tcPr>
            <w:tcW w:w="700" w:type="dxa"/>
            <w:vAlign w:val="bottom"/>
          </w:tcPr>
          <w:p>
            <w:pPr>
              <w:jc w:val="center"/>
              <w:ind w:left="102"/>
              <w:spacing w:after="0" w:line="185" w:lineRule="exact"/>
              <w:rPr>
                <w:sz w:val="20"/>
                <w:szCs w:val="20"/>
                <w:color w:val="auto"/>
              </w:rPr>
            </w:pPr>
            <w:r>
              <w:rPr>
                <w:rFonts w:ascii="Calibri" w:cs="Calibri" w:eastAsia="Calibri" w:hAnsi="Calibri"/>
                <w:sz w:val="16"/>
                <w:szCs w:val="16"/>
                <w:b w:val="1"/>
                <w:bCs w:val="1"/>
                <w:color w:val="auto"/>
                <w:w w:val="99"/>
              </w:rPr>
              <w:t>8.9%</w:t>
            </w:r>
          </w:p>
        </w:tc>
        <w:tc>
          <w:tcPr>
            <w:tcW w:w="1140" w:type="dxa"/>
            <w:vAlign w:val="bottom"/>
          </w:tcPr>
          <w:p>
            <w:pPr>
              <w:jc w:val="center"/>
              <w:ind w:left="102"/>
              <w:spacing w:after="0" w:line="185" w:lineRule="exact"/>
              <w:rPr>
                <w:sz w:val="20"/>
                <w:szCs w:val="20"/>
                <w:color w:val="auto"/>
              </w:rPr>
            </w:pPr>
            <w:r>
              <w:rPr>
                <w:rFonts w:ascii="Calibri" w:cs="Calibri" w:eastAsia="Calibri" w:hAnsi="Calibri"/>
                <w:sz w:val="16"/>
                <w:szCs w:val="16"/>
                <w:b w:val="1"/>
                <w:bCs w:val="1"/>
                <w:color w:val="auto"/>
                <w:w w:val="99"/>
              </w:rPr>
              <w:t>8.4%</w:t>
            </w:r>
          </w:p>
        </w:tc>
        <w:tc>
          <w:tcPr>
            <w:tcW w:w="100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w w:val="99"/>
              </w:rPr>
              <w:t>8.7%</w:t>
            </w: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20"/>
              <w:spacing w:after="0" w:line="178" w:lineRule="exact"/>
              <w:rPr>
                <w:sz w:val="20"/>
                <w:szCs w:val="20"/>
                <w:color w:val="auto"/>
              </w:rPr>
            </w:pPr>
            <w:r>
              <w:rPr>
                <w:rFonts w:ascii="Calibri" w:cs="Calibri" w:eastAsia="Calibri" w:hAnsi="Calibri"/>
                <w:sz w:val="16"/>
                <w:szCs w:val="16"/>
                <w:b w:val="1"/>
                <w:bCs w:val="1"/>
                <w:color w:val="auto"/>
              </w:rPr>
              <w:t>Mibanco Colombia</w:t>
            </w:r>
          </w:p>
        </w:tc>
        <w:tc>
          <w:tcPr>
            <w:tcW w:w="940" w:type="dxa"/>
            <w:vAlign w:val="bottom"/>
          </w:tcPr>
          <w:p>
            <w:pPr>
              <w:jc w:val="center"/>
              <w:spacing w:after="0" w:line="178" w:lineRule="exact"/>
              <w:rPr>
                <w:sz w:val="20"/>
                <w:szCs w:val="20"/>
                <w:color w:val="auto"/>
              </w:rPr>
            </w:pPr>
            <w:r>
              <w:rPr>
                <w:rFonts w:ascii="Calibri" w:cs="Calibri" w:eastAsia="Calibri" w:hAnsi="Calibri"/>
                <w:sz w:val="16"/>
                <w:szCs w:val="16"/>
                <w:b w:val="1"/>
                <w:bCs w:val="1"/>
                <w:color w:val="auto"/>
                <w:w w:val="98"/>
              </w:rPr>
              <w:t>1,746</w:t>
            </w:r>
          </w:p>
        </w:tc>
        <w:tc>
          <w:tcPr>
            <w:tcW w:w="980" w:type="dxa"/>
            <w:vAlign w:val="bottom"/>
          </w:tcPr>
          <w:p>
            <w:pPr>
              <w:jc w:val="center"/>
              <w:spacing w:after="0" w:line="178" w:lineRule="exact"/>
              <w:rPr>
                <w:sz w:val="20"/>
                <w:szCs w:val="20"/>
                <w:color w:val="auto"/>
              </w:rPr>
            </w:pPr>
            <w:r>
              <w:rPr>
                <w:rFonts w:ascii="Calibri" w:cs="Calibri" w:eastAsia="Calibri" w:hAnsi="Calibri"/>
                <w:sz w:val="16"/>
                <w:szCs w:val="16"/>
                <w:b w:val="1"/>
                <w:bCs w:val="1"/>
                <w:color w:val="auto"/>
                <w:w w:val="98"/>
              </w:rPr>
              <w:t>1,832</w:t>
            </w:r>
          </w:p>
        </w:tc>
        <w:tc>
          <w:tcPr>
            <w:tcW w:w="92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b w:val="1"/>
                <w:bCs w:val="1"/>
                <w:color w:val="auto"/>
                <w:w w:val="92"/>
              </w:rPr>
              <w:t>1,889</w:t>
            </w:r>
          </w:p>
        </w:tc>
        <w:tc>
          <w:tcPr>
            <w:tcW w:w="900" w:type="dxa"/>
            <w:vAlign w:val="bottom"/>
          </w:tcPr>
          <w:p>
            <w:pPr>
              <w:jc w:val="center"/>
              <w:spacing w:after="0" w:line="178" w:lineRule="exact"/>
              <w:rPr>
                <w:sz w:val="20"/>
                <w:szCs w:val="20"/>
                <w:color w:val="auto"/>
              </w:rPr>
            </w:pPr>
            <w:r>
              <w:rPr>
                <w:rFonts w:ascii="Calibri" w:cs="Calibri" w:eastAsia="Calibri" w:hAnsi="Calibri"/>
                <w:sz w:val="16"/>
                <w:szCs w:val="16"/>
                <w:b w:val="1"/>
                <w:bCs w:val="1"/>
                <w:color w:val="auto"/>
                <w:w w:val="98"/>
              </w:rPr>
              <w:t>57</w:t>
            </w:r>
          </w:p>
        </w:tc>
        <w:tc>
          <w:tcPr>
            <w:tcW w:w="96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b w:val="1"/>
                <w:bCs w:val="1"/>
                <w:color w:val="auto"/>
                <w:w w:val="90"/>
              </w:rPr>
              <w:t>143</w:t>
            </w:r>
          </w:p>
        </w:tc>
        <w:tc>
          <w:tcPr>
            <w:tcW w:w="680" w:type="dxa"/>
            <w:vAlign w:val="bottom"/>
          </w:tcPr>
          <w:p>
            <w:pPr>
              <w:jc w:val="center"/>
              <w:ind w:left="222"/>
              <w:spacing w:after="0" w:line="178" w:lineRule="exact"/>
              <w:rPr>
                <w:sz w:val="20"/>
                <w:szCs w:val="20"/>
                <w:color w:val="auto"/>
              </w:rPr>
            </w:pPr>
            <w:r>
              <w:rPr>
                <w:rFonts w:ascii="Calibri" w:cs="Calibri" w:eastAsia="Calibri" w:hAnsi="Calibri"/>
                <w:sz w:val="16"/>
                <w:szCs w:val="16"/>
                <w:b w:val="1"/>
                <w:bCs w:val="1"/>
                <w:color w:val="auto"/>
                <w:w w:val="93"/>
              </w:rPr>
              <w:t>3.1%</w:t>
            </w:r>
          </w:p>
        </w:tc>
        <w:tc>
          <w:tcPr>
            <w:tcW w:w="1320" w:type="dxa"/>
            <w:vAlign w:val="bottom"/>
            <w:tcBorders>
              <w:right w:val="single" w:sz="8" w:color="auto"/>
            </w:tcBorders>
          </w:tcPr>
          <w:p>
            <w:pPr>
              <w:jc w:val="center"/>
              <w:ind w:left="222"/>
              <w:spacing w:after="0" w:line="178" w:lineRule="exact"/>
              <w:rPr>
                <w:sz w:val="20"/>
                <w:szCs w:val="20"/>
                <w:color w:val="auto"/>
              </w:rPr>
            </w:pPr>
            <w:r>
              <w:rPr>
                <w:rFonts w:ascii="Calibri" w:cs="Calibri" w:eastAsia="Calibri" w:hAnsi="Calibri"/>
                <w:sz w:val="16"/>
                <w:szCs w:val="16"/>
                <w:b w:val="1"/>
                <w:bCs w:val="1"/>
                <w:color w:val="auto"/>
                <w:w w:val="93"/>
              </w:rPr>
              <w:t>8.2%</w:t>
            </w:r>
          </w:p>
        </w:tc>
        <w:tc>
          <w:tcPr>
            <w:tcW w:w="700" w:type="dxa"/>
            <w:vAlign w:val="bottom"/>
          </w:tcPr>
          <w:p>
            <w:pPr>
              <w:jc w:val="center"/>
              <w:ind w:left="102"/>
              <w:spacing w:after="0" w:line="178" w:lineRule="exact"/>
              <w:rPr>
                <w:sz w:val="20"/>
                <w:szCs w:val="20"/>
                <w:color w:val="auto"/>
              </w:rPr>
            </w:pPr>
            <w:r>
              <w:rPr>
                <w:rFonts w:ascii="Calibri" w:cs="Calibri" w:eastAsia="Calibri" w:hAnsi="Calibri"/>
                <w:sz w:val="16"/>
                <w:szCs w:val="16"/>
                <w:b w:val="1"/>
                <w:bCs w:val="1"/>
                <w:color w:val="auto"/>
                <w:w w:val="99"/>
              </w:rPr>
              <w:t>1.2%</w:t>
            </w:r>
          </w:p>
        </w:tc>
        <w:tc>
          <w:tcPr>
            <w:tcW w:w="1140" w:type="dxa"/>
            <w:vAlign w:val="bottom"/>
          </w:tcPr>
          <w:p>
            <w:pPr>
              <w:jc w:val="center"/>
              <w:ind w:left="102"/>
              <w:spacing w:after="0" w:line="178" w:lineRule="exact"/>
              <w:rPr>
                <w:sz w:val="20"/>
                <w:szCs w:val="20"/>
                <w:color w:val="auto"/>
              </w:rPr>
            </w:pPr>
            <w:r>
              <w:rPr>
                <w:rFonts w:ascii="Calibri" w:cs="Calibri" w:eastAsia="Calibri" w:hAnsi="Calibri"/>
                <w:sz w:val="16"/>
                <w:szCs w:val="16"/>
                <w:b w:val="1"/>
                <w:bCs w:val="1"/>
                <w:color w:val="auto"/>
                <w:w w:val="99"/>
              </w:rPr>
              <w:t>1.3%</w:t>
            </w:r>
          </w:p>
        </w:tc>
        <w:tc>
          <w:tcPr>
            <w:tcW w:w="1000" w:type="dxa"/>
            <w:vAlign w:val="bottom"/>
            <w:tcBorders>
              <w:right w:val="single" w:sz="8" w:color="auto"/>
            </w:tcBorders>
          </w:tcPr>
          <w:p>
            <w:pPr>
              <w:jc w:val="center"/>
              <w:spacing w:after="0" w:line="178" w:lineRule="exact"/>
              <w:rPr>
                <w:sz w:val="20"/>
                <w:szCs w:val="20"/>
                <w:color w:val="auto"/>
              </w:rPr>
            </w:pPr>
            <w:r>
              <w:rPr>
                <w:rFonts w:ascii="Calibri" w:cs="Calibri" w:eastAsia="Calibri" w:hAnsi="Calibri"/>
                <w:sz w:val="16"/>
                <w:szCs w:val="16"/>
                <w:b w:val="1"/>
                <w:bCs w:val="1"/>
                <w:color w:val="auto"/>
                <w:w w:val="99"/>
              </w:rPr>
              <w:t>1.3%</w:t>
            </w:r>
          </w:p>
        </w:tc>
        <w:tc>
          <w:tcPr>
            <w:tcW w:w="0" w:type="dxa"/>
            <w:vAlign w:val="bottom"/>
          </w:tcPr>
          <w:p>
            <w:pPr>
              <w:spacing w:after="0"/>
              <w:rPr>
                <w:sz w:val="1"/>
                <w:szCs w:val="1"/>
                <w:color w:val="auto"/>
              </w:rPr>
            </w:pPr>
          </w:p>
        </w:tc>
      </w:tr>
      <w:tr>
        <w:trPr>
          <w:trHeight w:val="185"/>
        </w:trPr>
        <w:tc>
          <w:tcPr>
            <w:tcW w:w="1720" w:type="dxa"/>
            <w:vAlign w:val="bottom"/>
            <w:tcBorders>
              <w:left w:val="single" w:sz="8" w:color="auto"/>
              <w:right w:val="single" w:sz="8" w:color="auto"/>
            </w:tcBorders>
          </w:tcPr>
          <w:p>
            <w:pPr>
              <w:ind w:left="20"/>
              <w:spacing w:after="0" w:line="185" w:lineRule="exact"/>
              <w:rPr>
                <w:sz w:val="20"/>
                <w:szCs w:val="20"/>
                <w:color w:val="auto"/>
              </w:rPr>
            </w:pPr>
            <w:r>
              <w:rPr>
                <w:rFonts w:ascii="Calibri" w:cs="Calibri" w:eastAsia="Calibri" w:hAnsi="Calibri"/>
                <w:sz w:val="16"/>
                <w:szCs w:val="16"/>
                <w:b w:val="1"/>
                <w:bCs w:val="1"/>
                <w:color w:val="auto"/>
              </w:rPr>
              <w:t>Bolivia</w:t>
            </w:r>
          </w:p>
        </w:tc>
        <w:tc>
          <w:tcPr>
            <w:tcW w:w="940" w:type="dxa"/>
            <w:vAlign w:val="bottom"/>
          </w:tcPr>
          <w:p>
            <w:pPr>
              <w:jc w:val="center"/>
              <w:spacing w:after="0" w:line="185" w:lineRule="exact"/>
              <w:rPr>
                <w:sz w:val="20"/>
                <w:szCs w:val="20"/>
                <w:color w:val="auto"/>
              </w:rPr>
            </w:pPr>
            <w:r>
              <w:rPr>
                <w:rFonts w:ascii="Calibri" w:cs="Calibri" w:eastAsia="Calibri" w:hAnsi="Calibri"/>
                <w:sz w:val="16"/>
                <w:szCs w:val="16"/>
                <w:b w:val="1"/>
                <w:bCs w:val="1"/>
                <w:color w:val="auto"/>
                <w:w w:val="98"/>
              </w:rPr>
              <w:t>9,645</w:t>
            </w:r>
          </w:p>
        </w:tc>
        <w:tc>
          <w:tcPr>
            <w:tcW w:w="980" w:type="dxa"/>
            <w:vAlign w:val="bottom"/>
          </w:tcPr>
          <w:p>
            <w:pPr>
              <w:jc w:val="center"/>
              <w:spacing w:after="0" w:line="185" w:lineRule="exact"/>
              <w:rPr>
                <w:sz w:val="20"/>
                <w:szCs w:val="20"/>
                <w:color w:val="auto"/>
              </w:rPr>
            </w:pPr>
            <w:r>
              <w:rPr>
                <w:rFonts w:ascii="Calibri" w:cs="Calibri" w:eastAsia="Calibri" w:hAnsi="Calibri"/>
                <w:sz w:val="16"/>
                <w:szCs w:val="16"/>
                <w:b w:val="1"/>
                <w:bCs w:val="1"/>
                <w:color w:val="auto"/>
                <w:w w:val="98"/>
              </w:rPr>
              <w:t>9,469</w:t>
            </w:r>
          </w:p>
        </w:tc>
        <w:tc>
          <w:tcPr>
            <w:tcW w:w="9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w w:val="92"/>
              </w:rPr>
              <w:t>9,537</w:t>
            </w:r>
          </w:p>
        </w:tc>
        <w:tc>
          <w:tcPr>
            <w:tcW w:w="900" w:type="dxa"/>
            <w:vAlign w:val="bottom"/>
          </w:tcPr>
          <w:p>
            <w:pPr>
              <w:jc w:val="center"/>
              <w:spacing w:after="0" w:line="185" w:lineRule="exact"/>
              <w:rPr>
                <w:sz w:val="20"/>
                <w:szCs w:val="20"/>
                <w:color w:val="auto"/>
              </w:rPr>
            </w:pPr>
            <w:r>
              <w:rPr>
                <w:rFonts w:ascii="Calibri" w:cs="Calibri" w:eastAsia="Calibri" w:hAnsi="Calibri"/>
                <w:sz w:val="16"/>
                <w:szCs w:val="16"/>
                <w:b w:val="1"/>
                <w:bCs w:val="1"/>
                <w:color w:val="auto"/>
                <w:w w:val="98"/>
              </w:rPr>
              <w:t>69</w:t>
            </w:r>
          </w:p>
        </w:tc>
        <w:tc>
          <w:tcPr>
            <w:tcW w:w="9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rPr>
              <w:t>-108</w:t>
            </w:r>
          </w:p>
        </w:tc>
        <w:tc>
          <w:tcPr>
            <w:tcW w:w="680" w:type="dxa"/>
            <w:vAlign w:val="bottom"/>
          </w:tcPr>
          <w:p>
            <w:pPr>
              <w:jc w:val="center"/>
              <w:ind w:left="222"/>
              <w:spacing w:after="0" w:line="185" w:lineRule="exact"/>
              <w:rPr>
                <w:sz w:val="20"/>
                <w:szCs w:val="20"/>
                <w:color w:val="auto"/>
              </w:rPr>
            </w:pPr>
            <w:r>
              <w:rPr>
                <w:rFonts w:ascii="Calibri" w:cs="Calibri" w:eastAsia="Calibri" w:hAnsi="Calibri"/>
                <w:sz w:val="16"/>
                <w:szCs w:val="16"/>
                <w:b w:val="1"/>
                <w:bCs w:val="1"/>
                <w:color w:val="auto"/>
                <w:w w:val="93"/>
              </w:rPr>
              <w:t>0.7%</w:t>
            </w:r>
          </w:p>
        </w:tc>
        <w:tc>
          <w:tcPr>
            <w:tcW w:w="1320" w:type="dxa"/>
            <w:vAlign w:val="bottom"/>
            <w:tcBorders>
              <w:right w:val="single" w:sz="8" w:color="auto"/>
            </w:tcBorders>
          </w:tcPr>
          <w:p>
            <w:pPr>
              <w:jc w:val="center"/>
              <w:ind w:left="202"/>
              <w:spacing w:after="0" w:line="185" w:lineRule="exact"/>
              <w:rPr>
                <w:sz w:val="20"/>
                <w:szCs w:val="20"/>
                <w:color w:val="auto"/>
              </w:rPr>
            </w:pPr>
            <w:r>
              <w:rPr>
                <w:rFonts w:ascii="Calibri" w:cs="Calibri" w:eastAsia="Calibri" w:hAnsi="Calibri"/>
                <w:sz w:val="16"/>
                <w:szCs w:val="16"/>
                <w:b w:val="1"/>
                <w:bCs w:val="1"/>
                <w:color w:val="auto"/>
                <w:w w:val="97"/>
              </w:rPr>
              <w:t>-1.1%</w:t>
            </w:r>
          </w:p>
        </w:tc>
        <w:tc>
          <w:tcPr>
            <w:tcW w:w="700" w:type="dxa"/>
            <w:vAlign w:val="bottom"/>
          </w:tcPr>
          <w:p>
            <w:pPr>
              <w:jc w:val="center"/>
              <w:ind w:left="102"/>
              <w:spacing w:after="0" w:line="185" w:lineRule="exact"/>
              <w:rPr>
                <w:sz w:val="20"/>
                <w:szCs w:val="20"/>
                <w:color w:val="auto"/>
              </w:rPr>
            </w:pPr>
            <w:r>
              <w:rPr>
                <w:rFonts w:ascii="Calibri" w:cs="Calibri" w:eastAsia="Calibri" w:hAnsi="Calibri"/>
                <w:sz w:val="16"/>
                <w:szCs w:val="16"/>
                <w:b w:val="1"/>
                <w:bCs w:val="1"/>
                <w:color w:val="auto"/>
                <w:w w:val="99"/>
              </w:rPr>
              <w:t>6.7%</w:t>
            </w:r>
          </w:p>
        </w:tc>
        <w:tc>
          <w:tcPr>
            <w:tcW w:w="1140" w:type="dxa"/>
            <w:vAlign w:val="bottom"/>
          </w:tcPr>
          <w:p>
            <w:pPr>
              <w:jc w:val="center"/>
              <w:ind w:left="102"/>
              <w:spacing w:after="0" w:line="185" w:lineRule="exact"/>
              <w:rPr>
                <w:sz w:val="20"/>
                <w:szCs w:val="20"/>
                <w:color w:val="auto"/>
              </w:rPr>
            </w:pPr>
            <w:r>
              <w:rPr>
                <w:rFonts w:ascii="Calibri" w:cs="Calibri" w:eastAsia="Calibri" w:hAnsi="Calibri"/>
                <w:sz w:val="16"/>
                <w:szCs w:val="16"/>
                <w:b w:val="1"/>
                <w:bCs w:val="1"/>
                <w:color w:val="auto"/>
                <w:w w:val="99"/>
              </w:rPr>
              <w:t>6.6%</w:t>
            </w:r>
          </w:p>
        </w:tc>
        <w:tc>
          <w:tcPr>
            <w:tcW w:w="100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b w:val="1"/>
                <w:bCs w:val="1"/>
                <w:color w:val="auto"/>
                <w:w w:val="99"/>
              </w:rPr>
              <w:t>6.6%</w:t>
            </w: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6"/>
                <w:szCs w:val="16"/>
                <w:b w:val="1"/>
                <w:bCs w:val="1"/>
                <w:color w:val="auto"/>
              </w:rPr>
              <w:t>ASB Bank Corp.</w:t>
            </w:r>
          </w:p>
        </w:tc>
        <w:tc>
          <w:tcPr>
            <w:tcW w:w="94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1,909</w:t>
            </w:r>
          </w:p>
        </w:tc>
        <w:tc>
          <w:tcPr>
            <w:tcW w:w="98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1,644</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2"/>
              </w:rPr>
              <w:t>1,560</w:t>
            </w:r>
          </w:p>
        </w:tc>
        <w:tc>
          <w:tcPr>
            <w:tcW w:w="900" w:type="dxa"/>
            <w:vAlign w:val="bottom"/>
          </w:tcPr>
          <w:p>
            <w:pPr>
              <w:jc w:val="center"/>
              <w:spacing w:after="0"/>
              <w:rPr>
                <w:sz w:val="20"/>
                <w:szCs w:val="20"/>
                <w:color w:val="auto"/>
              </w:rPr>
            </w:pPr>
            <w:r>
              <w:rPr>
                <w:rFonts w:ascii="Calibri" w:cs="Calibri" w:eastAsia="Calibri" w:hAnsi="Calibri"/>
                <w:sz w:val="16"/>
                <w:szCs w:val="16"/>
                <w:b w:val="1"/>
                <w:bCs w:val="1"/>
                <w:color w:val="auto"/>
              </w:rPr>
              <w:t>-84</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rPr>
              <w:t>-349</w:t>
            </w:r>
          </w:p>
        </w:tc>
        <w:tc>
          <w:tcPr>
            <w:tcW w:w="680" w:type="dxa"/>
            <w:vAlign w:val="bottom"/>
          </w:tcPr>
          <w:p>
            <w:pPr>
              <w:jc w:val="center"/>
              <w:ind w:left="242"/>
              <w:spacing w:after="0"/>
              <w:rPr>
                <w:sz w:val="20"/>
                <w:szCs w:val="20"/>
                <w:color w:val="auto"/>
              </w:rPr>
            </w:pPr>
            <w:r>
              <w:rPr>
                <w:rFonts w:ascii="Calibri" w:cs="Calibri" w:eastAsia="Calibri" w:hAnsi="Calibri"/>
                <w:sz w:val="16"/>
                <w:szCs w:val="16"/>
                <w:b w:val="1"/>
                <w:bCs w:val="1"/>
                <w:color w:val="auto"/>
                <w:w w:val="97"/>
              </w:rPr>
              <w:t>-5.1%</w:t>
            </w:r>
          </w:p>
        </w:tc>
        <w:tc>
          <w:tcPr>
            <w:tcW w:w="132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6"/>
                <w:szCs w:val="16"/>
                <w:b w:val="1"/>
                <w:bCs w:val="1"/>
                <w:color w:val="auto"/>
                <w:w w:val="97"/>
              </w:rPr>
              <w:t>-18.3%</w:t>
            </w:r>
          </w:p>
        </w:tc>
        <w:tc>
          <w:tcPr>
            <w:tcW w:w="7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9"/>
              </w:rPr>
              <w:t>1.3%</w:t>
            </w:r>
          </w:p>
        </w:tc>
        <w:tc>
          <w:tcPr>
            <w:tcW w:w="114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9"/>
              </w:rPr>
              <w:t>1.1%</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9"/>
              </w:rPr>
              <w:t>1.1%</w:t>
            </w: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bottom w:val="single" w:sz="8" w:color="auto"/>
              <w:right w:val="single" w:sz="8" w:color="auto"/>
            </w:tcBorders>
          </w:tcPr>
          <w:p>
            <w:pPr>
              <w:ind w:left="20"/>
              <w:spacing w:after="0" w:line="184" w:lineRule="exact"/>
              <w:rPr>
                <w:sz w:val="20"/>
                <w:szCs w:val="20"/>
                <w:color w:val="auto"/>
              </w:rPr>
            </w:pPr>
            <w:r>
              <w:rPr>
                <w:rFonts w:ascii="Calibri" w:cs="Calibri" w:eastAsia="Calibri" w:hAnsi="Calibri"/>
                <w:sz w:val="16"/>
                <w:szCs w:val="16"/>
                <w:b w:val="1"/>
                <w:bCs w:val="1"/>
                <w:color w:val="auto"/>
              </w:rPr>
              <w:t>BAP's total loans</w:t>
            </w:r>
          </w:p>
        </w:tc>
        <w:tc>
          <w:tcPr>
            <w:tcW w:w="94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8"/>
              </w:rPr>
              <w:t>143,705</w:t>
            </w:r>
          </w:p>
        </w:tc>
        <w:tc>
          <w:tcPr>
            <w:tcW w:w="98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8"/>
              </w:rPr>
              <w:t>143,863</w:t>
            </w:r>
          </w:p>
        </w:tc>
        <w:tc>
          <w:tcPr>
            <w:tcW w:w="92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4"/>
              </w:rPr>
              <w:t>144,642</w:t>
            </w:r>
          </w:p>
        </w:tc>
        <w:tc>
          <w:tcPr>
            <w:tcW w:w="900" w:type="dxa"/>
            <w:vAlign w:val="bottom"/>
            <w:tcBorders>
              <w:bottom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8"/>
              </w:rPr>
              <w:t>779</w:t>
            </w:r>
          </w:p>
        </w:tc>
        <w:tc>
          <w:tcPr>
            <w:tcW w:w="96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0"/>
              </w:rPr>
              <w:t>936</w:t>
            </w:r>
          </w:p>
        </w:tc>
        <w:tc>
          <w:tcPr>
            <w:tcW w:w="680" w:type="dxa"/>
            <w:vAlign w:val="bottom"/>
            <w:tcBorders>
              <w:bottom w:val="single" w:sz="8" w:color="auto"/>
            </w:tcBorders>
          </w:tcPr>
          <w:p>
            <w:pPr>
              <w:jc w:val="center"/>
              <w:ind w:left="222"/>
              <w:spacing w:after="0" w:line="184" w:lineRule="exact"/>
              <w:rPr>
                <w:sz w:val="20"/>
                <w:szCs w:val="20"/>
                <w:color w:val="auto"/>
              </w:rPr>
            </w:pPr>
            <w:r>
              <w:rPr>
                <w:rFonts w:ascii="Calibri" w:cs="Calibri" w:eastAsia="Calibri" w:hAnsi="Calibri"/>
                <w:sz w:val="16"/>
                <w:szCs w:val="16"/>
                <w:b w:val="1"/>
                <w:bCs w:val="1"/>
                <w:color w:val="auto"/>
                <w:w w:val="93"/>
              </w:rPr>
              <w:t>0.5%</w:t>
            </w:r>
          </w:p>
        </w:tc>
        <w:tc>
          <w:tcPr>
            <w:tcW w:w="1320" w:type="dxa"/>
            <w:vAlign w:val="bottom"/>
            <w:tcBorders>
              <w:bottom w:val="single" w:sz="8" w:color="auto"/>
              <w:right w:val="single" w:sz="8" w:color="auto"/>
            </w:tcBorders>
          </w:tcPr>
          <w:p>
            <w:pPr>
              <w:jc w:val="center"/>
              <w:ind w:left="222"/>
              <w:spacing w:after="0" w:line="184" w:lineRule="exact"/>
              <w:rPr>
                <w:sz w:val="20"/>
                <w:szCs w:val="20"/>
                <w:color w:val="auto"/>
              </w:rPr>
            </w:pPr>
            <w:r>
              <w:rPr>
                <w:rFonts w:ascii="Calibri" w:cs="Calibri" w:eastAsia="Calibri" w:hAnsi="Calibri"/>
                <w:sz w:val="16"/>
                <w:szCs w:val="16"/>
                <w:b w:val="1"/>
                <w:bCs w:val="1"/>
                <w:color w:val="auto"/>
                <w:w w:val="93"/>
              </w:rPr>
              <w:t>0.7%</w:t>
            </w:r>
          </w:p>
        </w:tc>
        <w:tc>
          <w:tcPr>
            <w:tcW w:w="700" w:type="dxa"/>
            <w:vAlign w:val="bottom"/>
            <w:tcBorders>
              <w:bottom w:val="single" w:sz="8" w:color="auto"/>
            </w:tcBorders>
          </w:tcPr>
          <w:p>
            <w:pPr>
              <w:jc w:val="center"/>
              <w:ind w:left="102"/>
              <w:spacing w:after="0" w:line="184" w:lineRule="exact"/>
              <w:rPr>
                <w:sz w:val="20"/>
                <w:szCs w:val="20"/>
                <w:color w:val="auto"/>
              </w:rPr>
            </w:pPr>
            <w:r>
              <w:rPr>
                <w:rFonts w:ascii="Calibri" w:cs="Calibri" w:eastAsia="Calibri" w:hAnsi="Calibri"/>
                <w:sz w:val="16"/>
                <w:szCs w:val="16"/>
                <w:b w:val="1"/>
                <w:bCs w:val="1"/>
                <w:color w:val="auto"/>
                <w:w w:val="99"/>
              </w:rPr>
              <w:t>100.0%</w:t>
            </w:r>
          </w:p>
        </w:tc>
        <w:tc>
          <w:tcPr>
            <w:tcW w:w="1140" w:type="dxa"/>
            <w:vAlign w:val="bottom"/>
            <w:tcBorders>
              <w:bottom w:val="single" w:sz="8" w:color="auto"/>
            </w:tcBorders>
          </w:tcPr>
          <w:p>
            <w:pPr>
              <w:jc w:val="center"/>
              <w:ind w:left="102"/>
              <w:spacing w:after="0" w:line="184" w:lineRule="exact"/>
              <w:rPr>
                <w:sz w:val="20"/>
                <w:szCs w:val="20"/>
                <w:color w:val="auto"/>
              </w:rPr>
            </w:pPr>
            <w:r>
              <w:rPr>
                <w:rFonts w:ascii="Calibri" w:cs="Calibri" w:eastAsia="Calibri" w:hAnsi="Calibri"/>
                <w:sz w:val="16"/>
                <w:szCs w:val="16"/>
                <w:b w:val="1"/>
                <w:bCs w:val="1"/>
                <w:color w:val="auto"/>
                <w:w w:val="99"/>
              </w:rPr>
              <w:t>100.0%</w:t>
            </w:r>
          </w:p>
        </w:tc>
        <w:tc>
          <w:tcPr>
            <w:tcW w:w="1000" w:type="dxa"/>
            <w:vAlign w:val="bottom"/>
            <w:tcBorders>
              <w:bottom w:val="single" w:sz="8" w:color="auto"/>
              <w:right w:val="single" w:sz="8" w:color="auto"/>
            </w:tcBorders>
          </w:tcPr>
          <w:p>
            <w:pPr>
              <w:jc w:val="center"/>
              <w:spacing w:after="0" w:line="184" w:lineRule="exact"/>
              <w:rPr>
                <w:sz w:val="20"/>
                <w:szCs w:val="20"/>
                <w:color w:val="auto"/>
              </w:rPr>
            </w:pPr>
            <w:r>
              <w:rPr>
                <w:rFonts w:ascii="Calibri" w:cs="Calibri" w:eastAsia="Calibri" w:hAnsi="Calibri"/>
                <w:sz w:val="16"/>
                <w:szCs w:val="16"/>
                <w:b w:val="1"/>
                <w:bCs w:val="1"/>
                <w:color w:val="auto"/>
                <w:w w:val="99"/>
              </w:rPr>
              <w:t>100.0%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Calibri" w:cs="Calibri" w:eastAsia="Calibri" w:hAnsi="Calibri"/>
          <w:sz w:val="11"/>
          <w:szCs w:val="11"/>
          <w:color w:val="auto"/>
        </w:rPr>
        <w:t>For consolidaton purposes, loans generated in FC are converted to LC.</w:t>
      </w:r>
    </w:p>
    <w:p>
      <w:pPr>
        <w:spacing w:after="0" w:line="22" w:lineRule="exact"/>
        <w:rPr>
          <w:sz w:val="20"/>
          <w:szCs w:val="20"/>
          <w:color w:val="auto"/>
        </w:rPr>
      </w:pPr>
    </w:p>
    <w:p>
      <w:pPr>
        <w:ind w:left="300" w:hanging="296"/>
        <w:spacing w:after="0"/>
        <w:tabs>
          <w:tab w:leader="none" w:pos="300" w:val="left"/>
        </w:tabs>
        <w:numPr>
          <w:ilvl w:val="0"/>
          <w:numId w:val="54"/>
        </w:numPr>
        <w:rPr>
          <w:rFonts w:ascii="Calibri" w:cs="Calibri" w:eastAsia="Calibri" w:hAnsi="Calibri"/>
          <w:sz w:val="11"/>
          <w:szCs w:val="11"/>
          <w:color w:val="auto"/>
        </w:rPr>
      </w:pPr>
      <w:r>
        <w:rPr>
          <w:rFonts w:ascii="Calibri" w:cs="Calibri" w:eastAsia="Calibri" w:hAnsi="Calibri"/>
          <w:sz w:val="11"/>
          <w:szCs w:val="11"/>
          <w:color w:val="auto"/>
        </w:rPr>
        <w:t>Includes Special accounts, and other banking.</w:t>
      </w:r>
    </w:p>
    <w:p>
      <w:pPr>
        <w:spacing w:after="0" w:line="34" w:lineRule="exact"/>
        <w:rPr>
          <w:rFonts w:ascii="Calibri" w:cs="Calibri" w:eastAsia="Calibri" w:hAnsi="Calibri"/>
          <w:sz w:val="11"/>
          <w:szCs w:val="11"/>
          <w:color w:val="auto"/>
        </w:rPr>
      </w:pPr>
    </w:p>
    <w:p>
      <w:pPr>
        <w:ind w:left="300" w:hanging="296"/>
        <w:spacing w:after="0"/>
        <w:tabs>
          <w:tab w:leader="none" w:pos="300" w:val="left"/>
        </w:tabs>
        <w:numPr>
          <w:ilvl w:val="0"/>
          <w:numId w:val="54"/>
        </w:numPr>
        <w:rPr>
          <w:rFonts w:ascii="Calibri" w:cs="Calibri" w:eastAsia="Calibri" w:hAnsi="Calibri"/>
          <w:sz w:val="11"/>
          <w:szCs w:val="11"/>
          <w:color w:val="auto"/>
        </w:rPr>
      </w:pPr>
      <w:r>
        <w:rPr>
          <w:rFonts w:ascii="Calibri" w:cs="Calibri" w:eastAsia="Calibri" w:hAnsi="Calibri"/>
          <w:sz w:val="11"/>
          <w:szCs w:val="11"/>
          <w:color w:val="auto"/>
        </w:rPr>
        <w:t>Portolio Management Figures. Non-audited fgures.</w:t>
      </w:r>
    </w:p>
    <w:p>
      <w:pPr>
        <w:spacing w:after="0" w:line="18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12.2.  Loan Portolio Quality</w:t>
      </w:r>
    </w:p>
    <w:p>
      <w:pPr>
        <w:spacing w:after="0" w:line="196"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Portolio Quality Ratos by Segment</w:t>
      </w:r>
    </w:p>
    <w:p>
      <w:pPr>
        <w:jc w:val="center"/>
        <w:ind w:right="120"/>
        <w:spacing w:after="0" w:line="234" w:lineRule="auto"/>
        <w:rPr>
          <w:sz w:val="20"/>
          <w:szCs w:val="20"/>
          <w:color w:val="auto"/>
        </w:rPr>
      </w:pPr>
      <w:r>
        <w:rPr>
          <w:rFonts w:ascii="Calibri" w:cs="Calibri" w:eastAsia="Calibri" w:hAnsi="Calibri"/>
          <w:sz w:val="16"/>
          <w:szCs w:val="16"/>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3082290</wp:posOffset>
            </wp:positionV>
            <wp:extent cx="713740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141605</wp:posOffset>
            </wp:positionV>
            <wp:extent cx="6517640" cy="2800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17640" cy="2800350"/>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50" w:name="page51"/>
    <w:bookmarkEnd w:id="50"/>
    <w:p>
      <w:pPr>
        <w:jc w:val="both"/>
        <w:ind w:left="2500"/>
        <w:spacing w:after="0"/>
        <w:tabs>
          <w:tab w:leader="none" w:pos="2920" w:val="left"/>
          <w:tab w:leader="none" w:pos="762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37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7400" cy="53721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7137400" cy="2311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FFFFFF"/>
        </w:rPr>
        <w:t>12. Appendix</w:t>
      </w:r>
    </w:p>
    <w:p>
      <w:pPr>
        <w:spacing w:after="0" w:line="246" w:lineRule="exact"/>
        <w:rPr>
          <w:sz w:val="20"/>
          <w:szCs w:val="20"/>
          <w:color w:val="auto"/>
        </w:rPr>
      </w:pPr>
    </w:p>
    <w:p>
      <w:pPr>
        <w:ind w:left="5060"/>
        <w:spacing w:after="0"/>
        <w:rPr>
          <w:sz w:val="20"/>
          <w:szCs w:val="20"/>
          <w:color w:val="auto"/>
        </w:rPr>
      </w:pPr>
      <w:r>
        <w:rPr>
          <w:rFonts w:ascii="Calibri" w:cs="Calibri" w:eastAsia="Calibri" w:hAnsi="Calibri"/>
          <w:sz w:val="16"/>
          <w:szCs w:val="16"/>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17145</wp:posOffset>
            </wp:positionV>
            <wp:extent cx="5864860" cy="2040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6486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Calibri" w:cs="Calibri" w:eastAsia="Calibri" w:hAnsi="Calibri"/>
          <w:sz w:val="16"/>
          <w:szCs w:val="16"/>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2949575</wp:posOffset>
            </wp:positionV>
            <wp:extent cx="713740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17145</wp:posOffset>
            </wp:positionV>
            <wp:extent cx="6525895" cy="27920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25895" cy="2792095"/>
                    </a:xfrm>
                    <a:prstGeom prst="rect">
                      <a:avLst/>
                    </a:prstGeom>
                    <a:noFill/>
                  </pic:spPr>
                </pic:pic>
              </a:graphicData>
            </a:graphic>
          </wp:anchor>
        </w:drawing>
      </w:r>
    </w:p>
    <w:p>
      <w:pPr>
        <w:sectPr>
          <w:pgSz w:w="11900" w:h="16838" w:orient="portrait"/>
          <w:cols w:equalWidth="0" w:num="1">
            <w:col w:w="10079"/>
          </w:cols>
          <w:pgMar w:left="380" w:top="418" w:right="1440" w:bottom="1440" w:gutter="0" w:footer="0" w:header="0"/>
        </w:sectPr>
      </w:pPr>
    </w:p>
    <w:bookmarkStart w:id="51" w:name="page52"/>
    <w:bookmarkEnd w:id="51"/>
    <w:p>
      <w:pPr>
        <w:jc w:val="both"/>
        <w:ind w:left="2520"/>
        <w:spacing w:after="0"/>
        <w:tabs>
          <w:tab w:leader="none" w:pos="2940" w:val="left"/>
          <w:tab w:leader="none" w:pos="762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260350</wp:posOffset>
            </wp:positionV>
            <wp:extent cx="7137400" cy="2311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FFFFFF"/>
        </w:rPr>
        <w:t>12. Appendix</w:t>
      </w:r>
    </w:p>
    <w:p>
      <w:pPr>
        <w:spacing w:after="0" w:line="246" w:lineRule="exact"/>
        <w:rPr>
          <w:sz w:val="20"/>
          <w:szCs w:val="20"/>
          <w:color w:val="auto"/>
        </w:rPr>
      </w:pPr>
    </w:p>
    <w:p>
      <w:pPr>
        <w:ind w:left="5180"/>
        <w:spacing w:after="0"/>
        <w:rPr>
          <w:sz w:val="20"/>
          <w:szCs w:val="20"/>
          <w:color w:val="auto"/>
        </w:rPr>
      </w:pPr>
      <w:r>
        <w:rPr>
          <w:rFonts w:ascii="Calibri" w:cs="Calibri" w:eastAsia="Calibri" w:hAnsi="Calibri"/>
          <w:sz w:val="16"/>
          <w:szCs w:val="16"/>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140970</wp:posOffset>
            </wp:positionV>
            <wp:extent cx="5840095" cy="20237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4009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80"/>
        <w:spacing w:after="0"/>
        <w:rPr>
          <w:sz w:val="20"/>
          <w:szCs w:val="20"/>
          <w:color w:val="auto"/>
        </w:rPr>
      </w:pPr>
      <w:r>
        <w:rPr>
          <w:rFonts w:ascii="Calibri" w:cs="Calibri" w:eastAsia="Calibri" w:hAnsi="Calibri"/>
          <w:sz w:val="16"/>
          <w:szCs w:val="16"/>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3073400</wp:posOffset>
            </wp:positionV>
            <wp:extent cx="713740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140970</wp:posOffset>
            </wp:positionV>
            <wp:extent cx="6517640" cy="27920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17640" cy="2792095"/>
                    </a:xfrm>
                    <a:prstGeom prst="rect">
                      <a:avLst/>
                    </a:prstGeom>
                    <a:noFill/>
                  </pic:spPr>
                </pic:pic>
              </a:graphicData>
            </a:graphic>
          </wp:anchor>
        </w:drawing>
      </w:r>
    </w:p>
    <w:p>
      <w:pPr>
        <w:sectPr>
          <w:pgSz w:w="11900" w:h="16838" w:orient="portrait"/>
          <w:cols w:equalWidth="0" w:num="1">
            <w:col w:w="10079"/>
          </w:cols>
          <w:pgMar w:left="380" w:top="457" w:right="1440" w:bottom="1440" w:gutter="0" w:footer="0" w:header="0"/>
        </w:sectPr>
      </w:pPr>
    </w:p>
    <w:bookmarkStart w:id="52" w:name="page53"/>
    <w:bookmarkEnd w:id="52"/>
    <w:p>
      <w:pPr>
        <w:jc w:val="both"/>
        <w:ind w:left="2520"/>
        <w:spacing w:after="0"/>
        <w:tabs>
          <w:tab w:leader="none" w:pos="2940" w:val="left"/>
          <w:tab w:leader="none" w:pos="762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260350</wp:posOffset>
            </wp:positionV>
            <wp:extent cx="7137400" cy="2311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FFFFFF"/>
        </w:rPr>
        <w:t>12. Appendix</w:t>
      </w:r>
    </w:p>
    <w:p>
      <w:pPr>
        <w:spacing w:after="0" w:line="246" w:lineRule="exact"/>
        <w:rPr>
          <w:sz w:val="20"/>
          <w:szCs w:val="20"/>
          <w:color w:val="auto"/>
        </w:rPr>
      </w:pPr>
    </w:p>
    <w:p>
      <w:pPr>
        <w:ind w:left="5120"/>
        <w:spacing w:after="0"/>
        <w:rPr>
          <w:sz w:val="20"/>
          <w:szCs w:val="20"/>
          <w:color w:val="auto"/>
        </w:rPr>
      </w:pPr>
      <w:r>
        <w:rPr>
          <w:rFonts w:ascii="Calibri" w:cs="Calibri" w:eastAsia="Calibri" w:hAnsi="Calibri"/>
          <w:sz w:val="16"/>
          <w:szCs w:val="16"/>
          <w:b w:val="1"/>
          <w:bCs w:val="1"/>
          <w:color w:val="auto"/>
        </w:rPr>
        <w:t>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140970</wp:posOffset>
            </wp:positionV>
            <wp:extent cx="5923280" cy="2081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23280"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Calibri" w:cs="Calibri" w:eastAsia="Calibri" w:hAnsi="Calibri"/>
          <w:sz w:val="16"/>
          <w:szCs w:val="16"/>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3329940</wp:posOffset>
            </wp:positionV>
            <wp:extent cx="713740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140970</wp:posOffset>
            </wp:positionV>
            <wp:extent cx="6517640" cy="30480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17640" cy="3048000"/>
                    </a:xfrm>
                    <a:prstGeom prst="rect">
                      <a:avLst/>
                    </a:prstGeom>
                    <a:noFill/>
                  </pic:spPr>
                </pic:pic>
              </a:graphicData>
            </a:graphic>
          </wp:anchor>
        </w:drawing>
      </w:r>
    </w:p>
    <w:p>
      <w:pPr>
        <w:sectPr>
          <w:pgSz w:w="11900" w:h="16838" w:orient="portrait"/>
          <w:cols w:equalWidth="0" w:num="1">
            <w:col w:w="10079"/>
          </w:cols>
          <w:pgMar w:left="380" w:top="458" w:right="1440" w:bottom="1440" w:gutter="0" w:footer="0" w:header="0"/>
        </w:sectPr>
      </w:pPr>
    </w:p>
    <w:bookmarkStart w:id="53" w:name="page54"/>
    <w:bookmarkEnd w:id="53"/>
    <w:p>
      <w:pPr>
        <w:jc w:val="both"/>
        <w:ind w:left="2520"/>
        <w:spacing w:after="0"/>
        <w:tabs>
          <w:tab w:leader="none" w:pos="2940" w:val="left"/>
          <w:tab w:leader="none" w:pos="762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260350</wp:posOffset>
            </wp:positionV>
            <wp:extent cx="7137400" cy="2311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FFFFFF"/>
        </w:rPr>
        <w:t>12. Appendix</w:t>
      </w:r>
    </w:p>
    <w:p>
      <w:pPr>
        <w:spacing w:after="0" w:line="246" w:lineRule="exact"/>
        <w:rPr>
          <w:sz w:val="20"/>
          <w:szCs w:val="20"/>
          <w:color w:val="auto"/>
        </w:rPr>
      </w:pPr>
    </w:p>
    <w:p>
      <w:pPr>
        <w:ind w:left="5140"/>
        <w:spacing w:after="0"/>
        <w:rPr>
          <w:sz w:val="20"/>
          <w:szCs w:val="20"/>
          <w:color w:val="auto"/>
        </w:rPr>
      </w:pPr>
      <w:r>
        <w:rPr>
          <w:rFonts w:ascii="Calibri" w:cs="Calibri" w:eastAsia="Calibri" w:hAnsi="Calibri"/>
          <w:sz w:val="16"/>
          <w:szCs w:val="16"/>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3651885</wp:posOffset>
            </wp:positionV>
            <wp:extent cx="713740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140970</wp:posOffset>
            </wp:positionV>
            <wp:extent cx="6509385" cy="33705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09385" cy="3370580"/>
                    </a:xfrm>
                    <a:prstGeom prst="rect">
                      <a:avLst/>
                    </a:prstGeom>
                    <a:noFill/>
                  </pic:spPr>
                </pic:pic>
              </a:graphicData>
            </a:graphic>
          </wp:anchor>
        </w:drawing>
      </w:r>
    </w:p>
    <w:p>
      <w:pPr>
        <w:sectPr>
          <w:pgSz w:w="11900" w:h="16838" w:orient="portrait"/>
          <w:cols w:equalWidth="0" w:num="1">
            <w:col w:w="10079"/>
          </w:cols>
          <w:pgMar w:left="380" w:top="458" w:right="1440" w:bottom="1440" w:gutter="0" w:footer="0" w:header="0"/>
        </w:sectPr>
      </w:pPr>
    </w:p>
    <w:bookmarkStart w:id="54" w:name="page55"/>
    <w:bookmarkEnd w:id="54"/>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37400" cy="2311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12. Appendix</w:t>
      </w:r>
    </w:p>
    <w:p>
      <w:pPr>
        <w:spacing w:after="0" w:line="21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12.3.  Net Interest Income (NII)</w:t>
      </w:r>
    </w:p>
    <w:p>
      <w:pPr>
        <w:spacing w:after="0" w:line="13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NII Summary</w:t>
      </w:r>
    </w:p>
    <w:p>
      <w:pPr>
        <w:spacing w:after="0" w:line="202" w:lineRule="exact"/>
        <w:rPr>
          <w:sz w:val="20"/>
          <w:szCs w:val="20"/>
          <w:color w:val="auto"/>
        </w:rPr>
      </w:pPr>
    </w:p>
    <w:tbl>
      <w:tblPr>
        <w:tblLayout w:type="fixed"/>
        <w:tblInd w:w="30" w:type="dxa"/>
        <w:tblCellMar>
          <w:top w:w="0" w:type="dxa"/>
          <w:left w:w="0" w:type="dxa"/>
          <w:bottom w:w="0" w:type="dxa"/>
          <w:right w:w="0" w:type="dxa"/>
        </w:tblCellMar>
      </w:tblPr>
      <w:tr>
        <w:trPr>
          <w:trHeight w:val="143"/>
        </w:trPr>
        <w:tc>
          <w:tcPr>
            <w:tcW w:w="39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b w:val="1"/>
                <w:bCs w:val="1"/>
                <w:color w:val="FFFFFF"/>
              </w:rPr>
              <w:t>Net interest income</w:t>
            </w:r>
          </w:p>
        </w:tc>
        <w:tc>
          <w:tcPr>
            <w:tcW w:w="1020" w:type="dxa"/>
            <w:vAlign w:val="bottom"/>
            <w:tcBorders>
              <w:top w:val="single" w:sz="8" w:color="auto"/>
            </w:tcBorders>
            <w:shd w:val="clear" w:color="auto" w:fill="33CCCC"/>
          </w:tcPr>
          <w:p>
            <w:pPr>
              <w:spacing w:after="0"/>
              <w:rPr>
                <w:sz w:val="12"/>
                <w:szCs w:val="12"/>
                <w:color w:val="auto"/>
              </w:rPr>
            </w:pPr>
          </w:p>
        </w:tc>
        <w:tc>
          <w:tcPr>
            <w:tcW w:w="940" w:type="dxa"/>
            <w:vAlign w:val="bottom"/>
            <w:tcBorders>
              <w:top w:val="single" w:sz="8" w:color="auto"/>
            </w:tcBorders>
            <w:shd w:val="clear" w:color="auto" w:fill="33CCCC"/>
          </w:tcPr>
          <w:p>
            <w:pPr>
              <w:ind w:left="280"/>
              <w:spacing w:after="0"/>
              <w:rPr>
                <w:sz w:val="20"/>
                <w:szCs w:val="20"/>
                <w:color w:val="auto"/>
              </w:rPr>
            </w:pPr>
            <w:r>
              <w:rPr>
                <w:rFonts w:ascii="Calibri" w:cs="Calibri" w:eastAsia="Calibri" w:hAnsi="Calibri"/>
                <w:sz w:val="11"/>
                <w:szCs w:val="11"/>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540" w:type="dxa"/>
            <w:vAlign w:val="bottom"/>
            <w:tcBorders>
              <w:top w:val="single" w:sz="8" w:color="auto"/>
            </w:tcBorders>
            <w:shd w:val="clear" w:color="auto" w:fill="33CCCC"/>
          </w:tcPr>
          <w:p>
            <w:pPr>
              <w:spacing w:after="0"/>
              <w:rPr>
                <w:sz w:val="12"/>
                <w:szCs w:val="12"/>
                <w:color w:val="auto"/>
              </w:rPr>
            </w:pPr>
          </w:p>
        </w:tc>
        <w:tc>
          <w:tcPr>
            <w:tcW w:w="104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b w:val="1"/>
                <w:bCs w:val="1"/>
                <w:color w:val="FFFFFF"/>
              </w:rPr>
              <w:t>% change</w:t>
            </w:r>
          </w:p>
        </w:tc>
        <w:tc>
          <w:tcPr>
            <w:tcW w:w="740" w:type="dxa"/>
            <w:vAlign w:val="bottom"/>
            <w:tcBorders>
              <w:top w:val="single" w:sz="8" w:color="auto"/>
            </w:tcBorders>
            <w:shd w:val="clear" w:color="auto" w:fill="33CCCC"/>
          </w:tcPr>
          <w:p>
            <w:pPr>
              <w:spacing w:after="0"/>
              <w:rPr>
                <w:sz w:val="12"/>
                <w:szCs w:val="12"/>
                <w:color w:val="auto"/>
              </w:rPr>
            </w:pPr>
          </w:p>
        </w:tc>
        <w:tc>
          <w:tcPr>
            <w:tcW w:w="1240" w:type="dxa"/>
            <w:vAlign w:val="bottom"/>
            <w:tcBorders>
              <w:top w:val="single" w:sz="8" w:color="auto"/>
              <w:right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Up to</w:t>
            </w:r>
          </w:p>
        </w:tc>
        <w:tc>
          <w:tcPr>
            <w:tcW w:w="7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9"/>
              </w:rPr>
              <w:t>% Change</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bottom w:val="single" w:sz="8" w:color="auto"/>
              <w:right w:val="single" w:sz="8" w:color="auto"/>
            </w:tcBorders>
            <w:shd w:val="clear" w:color="auto" w:fill="33CCCC"/>
          </w:tcPr>
          <w:p>
            <w:pPr>
              <w:ind w:left="20"/>
              <w:spacing w:after="0" w:line="130" w:lineRule="exact"/>
              <w:rPr>
                <w:sz w:val="20"/>
                <w:szCs w:val="20"/>
                <w:color w:val="auto"/>
              </w:rPr>
            </w:pPr>
            <w:r>
              <w:rPr>
                <w:rFonts w:ascii="Calibri" w:cs="Calibri" w:eastAsia="Calibri" w:hAnsi="Calibri"/>
                <w:sz w:val="11"/>
                <w:szCs w:val="11"/>
                <w:b w:val="1"/>
                <w:bCs w:val="1"/>
                <w:color w:val="FFFFFF"/>
              </w:rPr>
              <w:t>S/000</w:t>
            </w:r>
          </w:p>
        </w:tc>
        <w:tc>
          <w:tcPr>
            <w:tcW w:w="102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w w:val="98"/>
              </w:rPr>
              <w:t>2Q24</w:t>
            </w:r>
          </w:p>
        </w:tc>
        <w:tc>
          <w:tcPr>
            <w:tcW w:w="94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1Q25</w:t>
            </w:r>
          </w:p>
        </w:tc>
        <w:tc>
          <w:tcPr>
            <w:tcW w:w="96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2Q25</w:t>
            </w:r>
          </w:p>
        </w:tc>
        <w:tc>
          <w:tcPr>
            <w:tcW w:w="540" w:type="dxa"/>
            <w:vAlign w:val="bottom"/>
            <w:tcBorders>
              <w:bottom w:val="single" w:sz="8" w:color="auto"/>
            </w:tcBorders>
            <w:shd w:val="clear" w:color="auto" w:fill="33CCCC"/>
          </w:tcPr>
          <w:p>
            <w:pPr>
              <w:jc w:val="center"/>
              <w:ind w:left="144"/>
              <w:spacing w:after="0" w:line="130" w:lineRule="exact"/>
              <w:rPr>
                <w:sz w:val="20"/>
                <w:szCs w:val="20"/>
                <w:color w:val="auto"/>
              </w:rPr>
            </w:pPr>
            <w:r>
              <w:rPr>
                <w:rFonts w:ascii="Calibri" w:cs="Calibri" w:eastAsia="Calibri" w:hAnsi="Calibri"/>
                <w:sz w:val="11"/>
                <w:szCs w:val="11"/>
                <w:b w:val="1"/>
                <w:bCs w:val="1"/>
                <w:color w:val="FFFFFF"/>
              </w:rPr>
              <w:t>QoQ</w:t>
            </w:r>
          </w:p>
        </w:tc>
        <w:tc>
          <w:tcPr>
            <w:tcW w:w="1040" w:type="dxa"/>
            <w:vAlign w:val="bottom"/>
            <w:tcBorders>
              <w:bottom w:val="single" w:sz="8" w:color="auto"/>
              <w:right w:val="single" w:sz="8" w:color="auto"/>
            </w:tcBorders>
            <w:shd w:val="clear" w:color="auto" w:fill="33CCCC"/>
          </w:tcPr>
          <w:p>
            <w:pPr>
              <w:jc w:val="center"/>
              <w:ind w:left="144"/>
              <w:spacing w:after="0" w:line="130" w:lineRule="exact"/>
              <w:rPr>
                <w:sz w:val="20"/>
                <w:szCs w:val="20"/>
                <w:color w:val="auto"/>
              </w:rPr>
            </w:pPr>
            <w:r>
              <w:rPr>
                <w:rFonts w:ascii="Calibri" w:cs="Calibri" w:eastAsia="Calibri" w:hAnsi="Calibri"/>
                <w:sz w:val="11"/>
                <w:szCs w:val="11"/>
                <w:b w:val="1"/>
                <w:bCs w:val="1"/>
                <w:color w:val="FFFFFF"/>
                <w:w w:val="91"/>
              </w:rPr>
              <w:t>YoY</w:t>
            </w:r>
          </w:p>
        </w:tc>
        <w:tc>
          <w:tcPr>
            <w:tcW w:w="740" w:type="dxa"/>
            <w:vAlign w:val="bottom"/>
            <w:tcBorders>
              <w:bottom w:val="single" w:sz="8" w:color="auto"/>
            </w:tcBorders>
            <w:shd w:val="clear" w:color="auto" w:fill="33CCCC"/>
          </w:tcPr>
          <w:p>
            <w:pPr>
              <w:ind w:left="220"/>
              <w:spacing w:after="0" w:line="130" w:lineRule="exact"/>
              <w:rPr>
                <w:sz w:val="20"/>
                <w:szCs w:val="20"/>
                <w:color w:val="auto"/>
              </w:rPr>
            </w:pPr>
            <w:r>
              <w:rPr>
                <w:rFonts w:ascii="Calibri" w:cs="Calibri" w:eastAsia="Calibri" w:hAnsi="Calibri"/>
                <w:sz w:val="11"/>
                <w:szCs w:val="11"/>
                <w:b w:val="1"/>
                <w:bCs w:val="1"/>
                <w:color w:val="FFFFFF"/>
              </w:rPr>
              <w:t>Jun 24</w:t>
            </w:r>
          </w:p>
        </w:tc>
        <w:tc>
          <w:tcPr>
            <w:tcW w:w="1240" w:type="dxa"/>
            <w:vAlign w:val="bottom"/>
            <w:tcBorders>
              <w:bottom w:val="single" w:sz="8" w:color="auto"/>
              <w:right w:val="single" w:sz="8" w:color="auto"/>
            </w:tcBorders>
            <w:shd w:val="clear" w:color="auto" w:fill="33CCCC"/>
          </w:tcPr>
          <w:p>
            <w:pPr>
              <w:ind w:left="460"/>
              <w:spacing w:after="0" w:line="130" w:lineRule="exact"/>
              <w:rPr>
                <w:sz w:val="20"/>
                <w:szCs w:val="20"/>
                <w:color w:val="auto"/>
              </w:rPr>
            </w:pPr>
            <w:r>
              <w:rPr>
                <w:rFonts w:ascii="Calibri" w:cs="Calibri" w:eastAsia="Calibri" w:hAnsi="Calibri"/>
                <w:sz w:val="11"/>
                <w:szCs w:val="11"/>
                <w:b w:val="1"/>
                <w:bCs w:val="1"/>
                <w:color w:val="FFFFFF"/>
              </w:rPr>
              <w:t>Jun 25</w:t>
            </w:r>
          </w:p>
        </w:tc>
        <w:tc>
          <w:tcPr>
            <w:tcW w:w="72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Jun 25 / Jun 24</w:t>
            </w:r>
          </w:p>
        </w:tc>
        <w:tc>
          <w:tcPr>
            <w:tcW w:w="0" w:type="dxa"/>
            <w:vAlign w:val="bottom"/>
          </w:tcPr>
          <w:p>
            <w:pPr>
              <w:spacing w:after="0"/>
              <w:rPr>
                <w:sz w:val="1"/>
                <w:szCs w:val="1"/>
                <w:color w:val="auto"/>
              </w:rPr>
            </w:pPr>
          </w:p>
        </w:tc>
      </w:tr>
      <w:tr>
        <w:trPr>
          <w:trHeight w:val="108"/>
        </w:trPr>
        <w:tc>
          <w:tcPr>
            <w:tcW w:w="3900" w:type="dxa"/>
            <w:vAlign w:val="bottom"/>
            <w:tcBorders>
              <w:left w:val="single" w:sz="8" w:color="auto"/>
              <w:right w:val="single" w:sz="8" w:color="auto"/>
            </w:tcBorders>
          </w:tcPr>
          <w:p>
            <w:pPr>
              <w:ind w:left="20"/>
              <w:spacing w:after="0" w:line="108" w:lineRule="exact"/>
              <w:rPr>
                <w:sz w:val="20"/>
                <w:szCs w:val="20"/>
                <w:color w:val="auto"/>
              </w:rPr>
            </w:pPr>
            <w:r>
              <w:rPr>
                <w:rFonts w:ascii="Calibri" w:cs="Calibri" w:eastAsia="Calibri" w:hAnsi="Calibri"/>
                <w:sz w:val="11"/>
                <w:szCs w:val="11"/>
                <w:b w:val="1"/>
                <w:bCs w:val="1"/>
                <w:color w:val="auto"/>
              </w:rPr>
              <w:t>Interest income</w:t>
            </w:r>
          </w:p>
        </w:tc>
        <w:tc>
          <w:tcPr>
            <w:tcW w:w="1020" w:type="dxa"/>
            <w:vAlign w:val="bottom"/>
          </w:tcPr>
          <w:p>
            <w:pPr>
              <w:jc w:val="center"/>
              <w:spacing w:after="0" w:line="108" w:lineRule="exact"/>
              <w:rPr>
                <w:sz w:val="20"/>
                <w:szCs w:val="20"/>
                <w:color w:val="auto"/>
              </w:rPr>
            </w:pPr>
            <w:r>
              <w:rPr>
                <w:rFonts w:ascii="Calibri" w:cs="Calibri" w:eastAsia="Calibri" w:hAnsi="Calibri"/>
                <w:sz w:val="11"/>
                <w:szCs w:val="11"/>
                <w:b w:val="1"/>
                <w:bCs w:val="1"/>
                <w:color w:val="auto"/>
              </w:rPr>
              <w:t>4,935,238</w:t>
            </w:r>
          </w:p>
        </w:tc>
        <w:tc>
          <w:tcPr>
            <w:tcW w:w="940" w:type="dxa"/>
            <w:vAlign w:val="bottom"/>
          </w:tcPr>
          <w:p>
            <w:pPr>
              <w:jc w:val="center"/>
              <w:spacing w:after="0" w:line="108" w:lineRule="exact"/>
              <w:rPr>
                <w:sz w:val="20"/>
                <w:szCs w:val="20"/>
                <w:color w:val="auto"/>
              </w:rPr>
            </w:pPr>
            <w:r>
              <w:rPr>
                <w:rFonts w:ascii="Calibri" w:cs="Calibri" w:eastAsia="Calibri" w:hAnsi="Calibri"/>
                <w:sz w:val="11"/>
                <w:szCs w:val="11"/>
                <w:b w:val="1"/>
                <w:bCs w:val="1"/>
                <w:color w:val="auto"/>
              </w:rPr>
              <w:t>4,894,790</w:t>
            </w:r>
          </w:p>
        </w:tc>
        <w:tc>
          <w:tcPr>
            <w:tcW w:w="96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b w:val="1"/>
                <w:bCs w:val="1"/>
                <w:color w:val="auto"/>
              </w:rPr>
              <w:t>4,922,292</w:t>
            </w:r>
          </w:p>
        </w:tc>
        <w:tc>
          <w:tcPr>
            <w:tcW w:w="540" w:type="dxa"/>
            <w:vAlign w:val="bottom"/>
          </w:tcPr>
          <w:p>
            <w:pPr>
              <w:jc w:val="center"/>
              <w:ind w:left="144"/>
              <w:spacing w:after="0" w:line="108" w:lineRule="exact"/>
              <w:rPr>
                <w:sz w:val="20"/>
                <w:szCs w:val="20"/>
                <w:color w:val="auto"/>
              </w:rPr>
            </w:pPr>
            <w:r>
              <w:rPr>
                <w:rFonts w:ascii="Calibri" w:cs="Calibri" w:eastAsia="Calibri" w:hAnsi="Calibri"/>
                <w:sz w:val="11"/>
                <w:szCs w:val="11"/>
                <w:b w:val="1"/>
                <w:bCs w:val="1"/>
                <w:color w:val="auto"/>
                <w:w w:val="99"/>
              </w:rPr>
              <w:t>0.6%</w:t>
            </w:r>
          </w:p>
        </w:tc>
        <w:tc>
          <w:tcPr>
            <w:tcW w:w="1040" w:type="dxa"/>
            <w:vAlign w:val="bottom"/>
            <w:tcBorders>
              <w:right w:val="single" w:sz="8" w:color="auto"/>
            </w:tcBorders>
          </w:tcPr>
          <w:p>
            <w:pPr>
              <w:jc w:val="center"/>
              <w:ind w:left="124"/>
              <w:spacing w:after="0" w:line="108" w:lineRule="exact"/>
              <w:rPr>
                <w:sz w:val="20"/>
                <w:szCs w:val="20"/>
                <w:color w:val="auto"/>
              </w:rPr>
            </w:pPr>
            <w:r>
              <w:rPr>
                <w:rFonts w:ascii="Calibri" w:cs="Calibri" w:eastAsia="Calibri" w:hAnsi="Calibri"/>
                <w:sz w:val="11"/>
                <w:szCs w:val="11"/>
                <w:b w:val="1"/>
                <w:bCs w:val="1"/>
                <w:color w:val="auto"/>
              </w:rPr>
              <w:t>-0.3%</w:t>
            </w:r>
          </w:p>
        </w:tc>
        <w:tc>
          <w:tcPr>
            <w:tcW w:w="740" w:type="dxa"/>
            <w:vAlign w:val="bottom"/>
          </w:tcPr>
          <w:p>
            <w:pPr>
              <w:jc w:val="center"/>
              <w:spacing w:after="0" w:line="108" w:lineRule="exact"/>
              <w:rPr>
                <w:sz w:val="20"/>
                <w:szCs w:val="20"/>
                <w:color w:val="auto"/>
              </w:rPr>
            </w:pPr>
            <w:r>
              <w:rPr>
                <w:rFonts w:ascii="Calibri" w:cs="Calibri" w:eastAsia="Calibri" w:hAnsi="Calibri"/>
                <w:sz w:val="11"/>
                <w:szCs w:val="11"/>
                <w:b w:val="1"/>
                <w:bCs w:val="1"/>
                <w:color w:val="auto"/>
              </w:rPr>
              <w:t>9,861,164</w:t>
            </w:r>
          </w:p>
        </w:tc>
        <w:tc>
          <w:tcPr>
            <w:tcW w:w="124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b w:val="1"/>
                <w:bCs w:val="1"/>
                <w:color w:val="auto"/>
              </w:rPr>
              <w:t>9,817,082</w:t>
            </w:r>
          </w:p>
        </w:tc>
        <w:tc>
          <w:tcPr>
            <w:tcW w:w="720" w:type="dxa"/>
            <w:vAlign w:val="bottom"/>
            <w:tcBorders>
              <w:right w:val="single" w:sz="8" w:color="auto"/>
            </w:tcBorders>
          </w:tcPr>
          <w:p>
            <w:pPr>
              <w:jc w:val="center"/>
              <w:ind w:right="4"/>
              <w:spacing w:after="0" w:line="108" w:lineRule="exact"/>
              <w:rPr>
                <w:sz w:val="20"/>
                <w:szCs w:val="20"/>
                <w:color w:val="auto"/>
              </w:rPr>
            </w:pPr>
            <w:r>
              <w:rPr>
                <w:rFonts w:ascii="Calibri" w:cs="Calibri" w:eastAsia="Calibri" w:hAnsi="Calibri"/>
                <w:sz w:val="11"/>
                <w:szCs w:val="11"/>
                <w:b w:val="1"/>
                <w:bCs w:val="1"/>
                <w:color w:val="auto"/>
              </w:rPr>
              <w:t>-0.4%</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160"/>
              <w:spacing w:after="0" w:line="130" w:lineRule="exact"/>
              <w:rPr>
                <w:sz w:val="20"/>
                <w:szCs w:val="20"/>
                <w:color w:val="auto"/>
              </w:rPr>
            </w:pPr>
            <w:r>
              <w:rPr>
                <w:rFonts w:ascii="Calibri" w:cs="Calibri" w:eastAsia="Calibri" w:hAnsi="Calibri"/>
                <w:sz w:val="11"/>
                <w:szCs w:val="11"/>
                <w:color w:val="auto"/>
              </w:rPr>
              <w:t>Interest on loans</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rPr>
              <w:t>3,921,374</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3,847,640</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3,840,725</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-0.2%</w:t>
            </w:r>
          </w:p>
        </w:tc>
        <w:tc>
          <w:tcPr>
            <w:tcW w:w="1040" w:type="dxa"/>
            <w:vAlign w:val="bottom"/>
            <w:tcBorders>
              <w:right w:val="single" w:sz="8" w:color="auto"/>
            </w:tcBorders>
          </w:tcPr>
          <w:p>
            <w:pPr>
              <w:jc w:val="center"/>
              <w:ind w:left="124"/>
              <w:spacing w:after="0" w:line="130" w:lineRule="exact"/>
              <w:rPr>
                <w:sz w:val="20"/>
                <w:szCs w:val="20"/>
                <w:color w:val="auto"/>
              </w:rPr>
            </w:pPr>
            <w:r>
              <w:rPr>
                <w:rFonts w:ascii="Calibri" w:cs="Calibri" w:eastAsia="Calibri" w:hAnsi="Calibri"/>
                <w:sz w:val="11"/>
                <w:szCs w:val="11"/>
                <w:color w:val="auto"/>
              </w:rPr>
              <w:t>-2.1%</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w w:val="98"/>
              </w:rPr>
              <w:t>7,790,166</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7,688,365</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5"/>
              </w:rPr>
              <w:t>-1.3%</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160"/>
              <w:spacing w:after="0" w:line="130" w:lineRule="exact"/>
              <w:rPr>
                <w:sz w:val="20"/>
                <w:szCs w:val="20"/>
                <w:color w:val="auto"/>
              </w:rPr>
            </w:pPr>
            <w:r>
              <w:rPr>
                <w:rFonts w:ascii="Calibri" w:cs="Calibri" w:eastAsia="Calibri" w:hAnsi="Calibri"/>
                <w:sz w:val="11"/>
                <w:szCs w:val="11"/>
                <w:color w:val="auto"/>
              </w:rPr>
              <w:t>Dividends on investments</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rPr>
              <w:t>10,136</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25,109</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22,923</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-8.7%</w:t>
            </w:r>
          </w:p>
        </w:tc>
        <w:tc>
          <w:tcPr>
            <w:tcW w:w="1040" w:type="dxa"/>
            <w:vAlign w:val="bottom"/>
            <w:tcBorders>
              <w:right w:val="single" w:sz="8" w:color="auto"/>
            </w:tcBorders>
          </w:tcPr>
          <w:p>
            <w:pPr>
              <w:jc w:val="center"/>
              <w:ind w:left="124"/>
              <w:spacing w:after="0" w:line="130" w:lineRule="exact"/>
              <w:rPr>
                <w:sz w:val="20"/>
                <w:szCs w:val="20"/>
                <w:color w:val="auto"/>
              </w:rPr>
            </w:pPr>
            <w:r>
              <w:rPr>
                <w:rFonts w:ascii="Calibri" w:cs="Calibri" w:eastAsia="Calibri" w:hAnsi="Calibri"/>
                <w:sz w:val="11"/>
                <w:szCs w:val="11"/>
                <w:color w:val="auto"/>
              </w:rPr>
              <w:t>126.2%</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rPr>
              <w:t>20,997</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48,033</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6"/>
              </w:rPr>
              <w:t>128.8%</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160"/>
              <w:spacing w:after="0" w:line="130" w:lineRule="exact"/>
              <w:rPr>
                <w:sz w:val="20"/>
                <w:szCs w:val="20"/>
                <w:color w:val="auto"/>
              </w:rPr>
            </w:pPr>
            <w:r>
              <w:rPr>
                <w:rFonts w:ascii="Calibri" w:cs="Calibri" w:eastAsia="Calibri" w:hAnsi="Calibri"/>
                <w:sz w:val="11"/>
                <w:szCs w:val="11"/>
                <w:color w:val="auto"/>
              </w:rPr>
              <w:t>Interest on deposits with banks</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319,829</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344,622</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342,323</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-0.7%</w:t>
            </w:r>
          </w:p>
        </w:tc>
        <w:tc>
          <w:tcPr>
            <w:tcW w:w="1040" w:type="dxa"/>
            <w:vAlign w:val="bottom"/>
            <w:tcBorders>
              <w:right w:val="single" w:sz="8" w:color="auto"/>
            </w:tcBorders>
          </w:tcPr>
          <w:p>
            <w:pPr>
              <w:jc w:val="center"/>
              <w:ind w:left="124"/>
              <w:spacing w:after="0" w:line="130" w:lineRule="exact"/>
              <w:rPr>
                <w:sz w:val="20"/>
                <w:szCs w:val="20"/>
                <w:color w:val="auto"/>
              </w:rPr>
            </w:pPr>
            <w:r>
              <w:rPr>
                <w:rFonts w:ascii="Calibri" w:cs="Calibri" w:eastAsia="Calibri" w:hAnsi="Calibri"/>
                <w:sz w:val="11"/>
                <w:szCs w:val="11"/>
                <w:color w:val="auto"/>
              </w:rPr>
              <w:t>7.0%</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654,288</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9"/>
              </w:rPr>
              <w:t>686,945</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5.0%</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160"/>
              <w:spacing w:after="0" w:line="130" w:lineRule="exact"/>
              <w:rPr>
                <w:sz w:val="20"/>
                <w:szCs w:val="20"/>
                <w:color w:val="auto"/>
              </w:rPr>
            </w:pPr>
            <w:r>
              <w:rPr>
                <w:rFonts w:ascii="Calibri" w:cs="Calibri" w:eastAsia="Calibri" w:hAnsi="Calibri"/>
                <w:sz w:val="11"/>
                <w:szCs w:val="11"/>
                <w:color w:val="auto"/>
              </w:rPr>
              <w:t>Interest on securites</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657,897</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657,872</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647,186</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-1.6%</w:t>
            </w:r>
          </w:p>
        </w:tc>
        <w:tc>
          <w:tcPr>
            <w:tcW w:w="1040" w:type="dxa"/>
            <w:vAlign w:val="bottom"/>
            <w:tcBorders>
              <w:right w:val="single" w:sz="8" w:color="auto"/>
            </w:tcBorders>
          </w:tcPr>
          <w:p>
            <w:pPr>
              <w:jc w:val="center"/>
              <w:ind w:left="124"/>
              <w:spacing w:after="0" w:line="130" w:lineRule="exact"/>
              <w:rPr>
                <w:sz w:val="20"/>
                <w:szCs w:val="20"/>
                <w:color w:val="auto"/>
              </w:rPr>
            </w:pPr>
            <w:r>
              <w:rPr>
                <w:rFonts w:ascii="Calibri" w:cs="Calibri" w:eastAsia="Calibri" w:hAnsi="Calibri"/>
                <w:sz w:val="11"/>
                <w:szCs w:val="11"/>
                <w:color w:val="auto"/>
              </w:rPr>
              <w:t>-1.6%</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w w:val="98"/>
              </w:rPr>
              <w:t>1,340,972</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1,305,058</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5"/>
              </w:rPr>
              <w:t>-2.7%</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160"/>
              <w:spacing w:after="0" w:line="130" w:lineRule="exact"/>
              <w:rPr>
                <w:sz w:val="20"/>
                <w:szCs w:val="20"/>
                <w:color w:val="auto"/>
              </w:rPr>
            </w:pPr>
            <w:r>
              <w:rPr>
                <w:rFonts w:ascii="Calibri" w:cs="Calibri" w:eastAsia="Calibri" w:hAnsi="Calibri"/>
                <w:sz w:val="11"/>
                <w:szCs w:val="11"/>
                <w:color w:val="auto"/>
              </w:rPr>
              <w:t>Other interest income</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rPr>
              <w:t>26,002</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19,547</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69,135</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253.7%</w:t>
            </w:r>
          </w:p>
        </w:tc>
        <w:tc>
          <w:tcPr>
            <w:tcW w:w="1040" w:type="dxa"/>
            <w:vAlign w:val="bottom"/>
            <w:tcBorders>
              <w:right w:val="single" w:sz="8" w:color="auto"/>
            </w:tcBorders>
          </w:tcPr>
          <w:p>
            <w:pPr>
              <w:jc w:val="center"/>
              <w:ind w:left="124"/>
              <w:spacing w:after="0" w:line="130" w:lineRule="exact"/>
              <w:rPr>
                <w:sz w:val="20"/>
                <w:szCs w:val="20"/>
                <w:color w:val="auto"/>
              </w:rPr>
            </w:pPr>
            <w:r>
              <w:rPr>
                <w:rFonts w:ascii="Calibri" w:cs="Calibri" w:eastAsia="Calibri" w:hAnsi="Calibri"/>
                <w:sz w:val="11"/>
                <w:szCs w:val="11"/>
                <w:color w:val="auto"/>
              </w:rPr>
              <w:t>165.9%</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rPr>
              <w:t>54,741</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88,681</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62.0%</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Interest expense</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1,466,774</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1,322,778</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1,306,921</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b w:val="1"/>
                <w:bCs w:val="1"/>
                <w:color w:val="auto"/>
              </w:rPr>
              <w:t>-1.2%</w:t>
            </w:r>
          </w:p>
        </w:tc>
        <w:tc>
          <w:tcPr>
            <w:tcW w:w="1040" w:type="dxa"/>
            <w:vAlign w:val="bottom"/>
            <w:tcBorders>
              <w:right w:val="single" w:sz="8" w:color="auto"/>
            </w:tcBorders>
          </w:tcPr>
          <w:p>
            <w:pPr>
              <w:jc w:val="center"/>
              <w:ind w:left="144"/>
              <w:spacing w:after="0" w:line="130" w:lineRule="exact"/>
              <w:rPr>
                <w:sz w:val="20"/>
                <w:szCs w:val="20"/>
                <w:color w:val="auto"/>
              </w:rPr>
            </w:pPr>
            <w:r>
              <w:rPr>
                <w:rFonts w:ascii="Calibri" w:cs="Calibri" w:eastAsia="Calibri" w:hAnsi="Calibri"/>
                <w:sz w:val="11"/>
                <w:szCs w:val="11"/>
                <w:b w:val="1"/>
                <w:bCs w:val="1"/>
                <w:color w:val="auto"/>
              </w:rPr>
              <w:t>-10.9%</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2,966,577</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2,629,699</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-11.4%</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160"/>
              <w:spacing w:after="0" w:line="130" w:lineRule="exact"/>
              <w:rPr>
                <w:sz w:val="20"/>
                <w:szCs w:val="20"/>
                <w:color w:val="auto"/>
              </w:rPr>
            </w:pPr>
            <w:r>
              <w:rPr>
                <w:rFonts w:ascii="Calibri" w:cs="Calibri" w:eastAsia="Calibri" w:hAnsi="Calibri"/>
                <w:sz w:val="11"/>
                <w:szCs w:val="11"/>
                <w:b w:val="1"/>
                <w:bCs w:val="1"/>
                <w:color w:val="auto"/>
              </w:rPr>
              <w:t>Interest expense (excluding Net Insurance Financial Expenses)</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1,342,088</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1,187,156</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1,167,866</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b w:val="1"/>
                <w:bCs w:val="1"/>
                <w:color w:val="auto"/>
              </w:rPr>
              <w:t>-1.6%</w:t>
            </w:r>
          </w:p>
        </w:tc>
        <w:tc>
          <w:tcPr>
            <w:tcW w:w="1040" w:type="dxa"/>
            <w:vAlign w:val="bottom"/>
            <w:tcBorders>
              <w:right w:val="single" w:sz="8" w:color="auto"/>
            </w:tcBorders>
          </w:tcPr>
          <w:p>
            <w:pPr>
              <w:jc w:val="center"/>
              <w:ind w:left="144"/>
              <w:spacing w:after="0" w:line="130" w:lineRule="exact"/>
              <w:rPr>
                <w:sz w:val="20"/>
                <w:szCs w:val="20"/>
                <w:color w:val="auto"/>
              </w:rPr>
            </w:pPr>
            <w:r>
              <w:rPr>
                <w:rFonts w:ascii="Calibri" w:cs="Calibri" w:eastAsia="Calibri" w:hAnsi="Calibri"/>
                <w:sz w:val="11"/>
                <w:szCs w:val="11"/>
                <w:b w:val="1"/>
                <w:bCs w:val="1"/>
                <w:color w:val="auto"/>
              </w:rPr>
              <w:t>-13.0%</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2,719,887</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2,355,023</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-13.4%</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320"/>
              <w:spacing w:after="0" w:line="130" w:lineRule="exact"/>
              <w:rPr>
                <w:sz w:val="20"/>
                <w:szCs w:val="20"/>
                <w:color w:val="auto"/>
              </w:rPr>
            </w:pPr>
            <w:r>
              <w:rPr>
                <w:rFonts w:ascii="Calibri" w:cs="Calibri" w:eastAsia="Calibri" w:hAnsi="Calibri"/>
                <w:sz w:val="11"/>
                <w:szCs w:val="11"/>
                <w:color w:val="auto"/>
              </w:rPr>
              <w:t>Interest on deposits</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738,010</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619,613</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541,014</w:t>
            </w:r>
          </w:p>
        </w:tc>
        <w:tc>
          <w:tcPr>
            <w:tcW w:w="54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-12.7%</w:t>
            </w:r>
          </w:p>
        </w:tc>
        <w:tc>
          <w:tcPr>
            <w:tcW w:w="1040" w:type="dxa"/>
            <w:vAlign w:val="bottom"/>
            <w:tcBorders>
              <w:right w:val="single" w:sz="8" w:color="auto"/>
            </w:tcBorders>
          </w:tcPr>
          <w:p>
            <w:pPr>
              <w:jc w:val="center"/>
              <w:ind w:left="144"/>
              <w:spacing w:after="0" w:line="130" w:lineRule="exact"/>
              <w:rPr>
                <w:sz w:val="20"/>
                <w:szCs w:val="20"/>
                <w:color w:val="auto"/>
              </w:rPr>
            </w:pPr>
            <w:r>
              <w:rPr>
                <w:rFonts w:ascii="Calibri" w:cs="Calibri" w:eastAsia="Calibri" w:hAnsi="Calibri"/>
                <w:sz w:val="11"/>
                <w:szCs w:val="11"/>
                <w:color w:val="auto"/>
              </w:rPr>
              <w:t>-26.7%</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w w:val="98"/>
              </w:rPr>
              <w:t>1,517,536</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1,160,627</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-23.5%</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320"/>
              <w:spacing w:after="0" w:line="130" w:lineRule="exact"/>
              <w:rPr>
                <w:sz w:val="20"/>
                <w:szCs w:val="20"/>
                <w:color w:val="auto"/>
              </w:rPr>
            </w:pPr>
            <w:r>
              <w:rPr>
                <w:rFonts w:ascii="Calibri" w:cs="Calibri" w:eastAsia="Calibri" w:hAnsi="Calibri"/>
                <w:sz w:val="11"/>
                <w:szCs w:val="11"/>
                <w:color w:val="auto"/>
              </w:rPr>
              <w:t>Interest on borrowed funds</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267,285</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266,202</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265,710</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-0.2%</w:t>
            </w:r>
          </w:p>
        </w:tc>
        <w:tc>
          <w:tcPr>
            <w:tcW w:w="1040" w:type="dxa"/>
            <w:vAlign w:val="bottom"/>
            <w:tcBorders>
              <w:right w:val="single" w:sz="8" w:color="auto"/>
            </w:tcBorders>
          </w:tcPr>
          <w:p>
            <w:pPr>
              <w:jc w:val="center"/>
              <w:ind w:left="124"/>
              <w:spacing w:after="0" w:line="130" w:lineRule="exact"/>
              <w:rPr>
                <w:sz w:val="20"/>
                <w:szCs w:val="20"/>
                <w:color w:val="auto"/>
              </w:rPr>
            </w:pPr>
            <w:r>
              <w:rPr>
                <w:rFonts w:ascii="Calibri" w:cs="Calibri" w:eastAsia="Calibri" w:hAnsi="Calibri"/>
                <w:sz w:val="11"/>
                <w:szCs w:val="11"/>
                <w:color w:val="auto"/>
              </w:rPr>
              <w:t>-0.6%</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532,169</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9"/>
              </w:rPr>
              <w:t>531,913</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0.0%</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320"/>
              <w:spacing w:after="0" w:line="130" w:lineRule="exact"/>
              <w:rPr>
                <w:sz w:val="20"/>
                <w:szCs w:val="20"/>
                <w:color w:val="auto"/>
              </w:rPr>
            </w:pPr>
            <w:r>
              <w:rPr>
                <w:rFonts w:ascii="Calibri" w:cs="Calibri" w:eastAsia="Calibri" w:hAnsi="Calibri"/>
                <w:sz w:val="11"/>
                <w:szCs w:val="11"/>
                <w:color w:val="auto"/>
              </w:rPr>
              <w:t>Interest on bonds and subordinated notes</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200,739</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168,024</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193,125</w:t>
            </w:r>
          </w:p>
        </w:tc>
        <w:tc>
          <w:tcPr>
            <w:tcW w:w="54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14.9%</w:t>
            </w:r>
          </w:p>
        </w:tc>
        <w:tc>
          <w:tcPr>
            <w:tcW w:w="1040" w:type="dxa"/>
            <w:vAlign w:val="bottom"/>
            <w:tcBorders>
              <w:right w:val="single" w:sz="8" w:color="auto"/>
            </w:tcBorders>
          </w:tcPr>
          <w:p>
            <w:pPr>
              <w:jc w:val="center"/>
              <w:ind w:left="124"/>
              <w:spacing w:after="0" w:line="130" w:lineRule="exact"/>
              <w:rPr>
                <w:sz w:val="20"/>
                <w:szCs w:val="20"/>
                <w:color w:val="auto"/>
              </w:rPr>
            </w:pPr>
            <w:r>
              <w:rPr>
                <w:rFonts w:ascii="Calibri" w:cs="Calibri" w:eastAsia="Calibri" w:hAnsi="Calibri"/>
                <w:sz w:val="11"/>
                <w:szCs w:val="11"/>
                <w:color w:val="auto"/>
              </w:rPr>
              <w:t>-3.8%</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397,369</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9"/>
              </w:rPr>
              <w:t>361,150</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5"/>
              </w:rPr>
              <w:t>-9.1%</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320"/>
              <w:spacing w:after="0" w:line="130" w:lineRule="exact"/>
              <w:rPr>
                <w:sz w:val="20"/>
                <w:szCs w:val="20"/>
                <w:color w:val="auto"/>
              </w:rPr>
            </w:pPr>
            <w:r>
              <w:rPr>
                <w:rFonts w:ascii="Calibri" w:cs="Calibri" w:eastAsia="Calibri" w:hAnsi="Calibri"/>
                <w:sz w:val="11"/>
                <w:szCs w:val="11"/>
                <w:color w:val="auto"/>
              </w:rPr>
              <w:t>Other interest expense</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136,054</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color w:val="auto"/>
              </w:rPr>
              <w:t>133,317</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168,017</w:t>
            </w:r>
          </w:p>
        </w:tc>
        <w:tc>
          <w:tcPr>
            <w:tcW w:w="54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26.0%</w:t>
            </w:r>
          </w:p>
        </w:tc>
        <w:tc>
          <w:tcPr>
            <w:tcW w:w="1040" w:type="dxa"/>
            <w:vAlign w:val="bottom"/>
            <w:tcBorders>
              <w:right w:val="single" w:sz="8" w:color="auto"/>
            </w:tcBorders>
          </w:tcPr>
          <w:p>
            <w:pPr>
              <w:jc w:val="center"/>
              <w:ind w:left="144"/>
              <w:spacing w:after="0" w:line="130" w:lineRule="exact"/>
              <w:rPr>
                <w:sz w:val="20"/>
                <w:szCs w:val="20"/>
                <w:color w:val="auto"/>
              </w:rPr>
            </w:pPr>
            <w:r>
              <w:rPr>
                <w:rFonts w:ascii="Calibri" w:cs="Calibri" w:eastAsia="Calibri" w:hAnsi="Calibri"/>
                <w:sz w:val="11"/>
                <w:szCs w:val="11"/>
                <w:color w:val="auto"/>
              </w:rPr>
              <w:t>23.5%</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272,813</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9"/>
              </w:rPr>
              <w:t>301,333</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10.5%</w:t>
            </w:r>
          </w:p>
        </w:tc>
        <w:tc>
          <w:tcPr>
            <w:tcW w:w="0" w:type="dxa"/>
            <w:vAlign w:val="bottom"/>
          </w:tcPr>
          <w:p>
            <w:pPr>
              <w:spacing w:after="0"/>
              <w:rPr>
                <w:sz w:val="1"/>
                <w:szCs w:val="1"/>
                <w:color w:val="auto"/>
              </w:rPr>
            </w:pPr>
          </w:p>
        </w:tc>
      </w:tr>
      <w:tr>
        <w:trPr>
          <w:trHeight w:val="140"/>
        </w:trPr>
        <w:tc>
          <w:tcPr>
            <w:tcW w:w="3900" w:type="dxa"/>
            <w:vAlign w:val="bottom"/>
            <w:tcBorders>
              <w:left w:val="single" w:sz="8" w:color="auto"/>
              <w:bottom w:val="single" w:sz="8" w:color="auto"/>
              <w:right w:val="single" w:sz="8" w:color="auto"/>
            </w:tcBorders>
          </w:tcPr>
          <w:p>
            <w:pPr>
              <w:ind w:left="160"/>
              <w:spacing w:after="0"/>
              <w:rPr>
                <w:sz w:val="20"/>
                <w:szCs w:val="20"/>
                <w:color w:val="auto"/>
              </w:rPr>
            </w:pPr>
            <w:r>
              <w:rPr>
                <w:rFonts w:ascii="Calibri" w:cs="Calibri" w:eastAsia="Calibri" w:hAnsi="Calibri"/>
                <w:sz w:val="11"/>
                <w:szCs w:val="11"/>
                <w:b w:val="1"/>
                <w:bCs w:val="1"/>
                <w:color w:val="auto"/>
              </w:rPr>
              <w:t>Net Insurance Financial Expenses</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9"/>
              </w:rPr>
              <w:t>124,686</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135,622</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139,055</w:t>
            </w:r>
          </w:p>
        </w:tc>
        <w:tc>
          <w:tcPr>
            <w:tcW w:w="540" w:type="dxa"/>
            <w:vAlign w:val="bottom"/>
            <w:tcBorders>
              <w:bottom w:val="single" w:sz="8" w:color="auto"/>
            </w:tcBorders>
          </w:tcPr>
          <w:p>
            <w:pPr>
              <w:jc w:val="center"/>
              <w:ind w:left="144"/>
              <w:spacing w:after="0"/>
              <w:rPr>
                <w:sz w:val="20"/>
                <w:szCs w:val="20"/>
                <w:color w:val="auto"/>
              </w:rPr>
            </w:pPr>
            <w:r>
              <w:rPr>
                <w:rFonts w:ascii="Calibri" w:cs="Calibri" w:eastAsia="Calibri" w:hAnsi="Calibri"/>
                <w:sz w:val="11"/>
                <w:szCs w:val="11"/>
                <w:b w:val="1"/>
                <w:bCs w:val="1"/>
                <w:color w:val="auto"/>
                <w:w w:val="99"/>
              </w:rPr>
              <w:t>2.5%</w:t>
            </w:r>
          </w:p>
        </w:tc>
        <w:tc>
          <w:tcPr>
            <w:tcW w:w="1040" w:type="dxa"/>
            <w:vAlign w:val="bottom"/>
            <w:tcBorders>
              <w:bottom w:val="single" w:sz="8" w:color="auto"/>
              <w:right w:val="single" w:sz="8" w:color="auto"/>
            </w:tcBorders>
          </w:tcPr>
          <w:p>
            <w:pPr>
              <w:jc w:val="center"/>
              <w:ind w:left="144"/>
              <w:spacing w:after="0"/>
              <w:rPr>
                <w:sz w:val="20"/>
                <w:szCs w:val="20"/>
                <w:color w:val="auto"/>
              </w:rPr>
            </w:pPr>
            <w:r>
              <w:rPr>
                <w:rFonts w:ascii="Calibri" w:cs="Calibri" w:eastAsia="Calibri" w:hAnsi="Calibri"/>
                <w:sz w:val="11"/>
                <w:szCs w:val="11"/>
                <w:b w:val="1"/>
                <w:bCs w:val="1"/>
                <w:color w:val="auto"/>
              </w:rPr>
              <w:t>11.5%</w:t>
            </w:r>
          </w:p>
        </w:tc>
        <w:tc>
          <w:tcPr>
            <w:tcW w:w="7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9"/>
              </w:rPr>
              <w:t>246,690</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9"/>
              </w:rPr>
              <w:t>274,676</w:t>
            </w:r>
          </w:p>
        </w:tc>
        <w:tc>
          <w:tcPr>
            <w:tcW w:w="7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11.3%</w:t>
            </w:r>
          </w:p>
        </w:tc>
        <w:tc>
          <w:tcPr>
            <w:tcW w:w="0" w:type="dxa"/>
            <w:vAlign w:val="bottom"/>
          </w:tcPr>
          <w:p>
            <w:pPr>
              <w:spacing w:after="0"/>
              <w:rPr>
                <w:sz w:val="1"/>
                <w:szCs w:val="1"/>
                <w:color w:val="auto"/>
              </w:rPr>
            </w:pPr>
          </w:p>
        </w:tc>
      </w:tr>
      <w:tr>
        <w:trPr>
          <w:trHeight w:val="129"/>
        </w:trPr>
        <w:tc>
          <w:tcPr>
            <w:tcW w:w="390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Net interest, similar income and expenses</w:t>
            </w:r>
          </w:p>
        </w:tc>
        <w:tc>
          <w:tcPr>
            <w:tcW w:w="102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3,468,464</w:t>
            </w:r>
          </w:p>
        </w:tc>
        <w:tc>
          <w:tcPr>
            <w:tcW w:w="94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3,572,012</w:t>
            </w:r>
          </w:p>
        </w:tc>
        <w:tc>
          <w:tcPr>
            <w:tcW w:w="96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3,615,371</w:t>
            </w:r>
          </w:p>
        </w:tc>
        <w:tc>
          <w:tcPr>
            <w:tcW w:w="540" w:type="dxa"/>
            <w:vAlign w:val="bottom"/>
            <w:tcBorders>
              <w:bottom w:val="single" w:sz="8" w:color="auto"/>
            </w:tcBorders>
          </w:tcPr>
          <w:p>
            <w:pPr>
              <w:jc w:val="center"/>
              <w:ind w:left="144"/>
              <w:spacing w:after="0" w:line="129" w:lineRule="exact"/>
              <w:rPr>
                <w:sz w:val="20"/>
                <w:szCs w:val="20"/>
                <w:color w:val="auto"/>
              </w:rPr>
            </w:pPr>
            <w:r>
              <w:rPr>
                <w:rFonts w:ascii="Calibri" w:cs="Calibri" w:eastAsia="Calibri" w:hAnsi="Calibri"/>
                <w:sz w:val="11"/>
                <w:szCs w:val="11"/>
                <w:b w:val="1"/>
                <w:bCs w:val="1"/>
                <w:color w:val="auto"/>
                <w:w w:val="99"/>
              </w:rPr>
              <w:t>1.2%</w:t>
            </w:r>
          </w:p>
        </w:tc>
        <w:tc>
          <w:tcPr>
            <w:tcW w:w="1040" w:type="dxa"/>
            <w:vAlign w:val="bottom"/>
            <w:tcBorders>
              <w:bottom w:val="single" w:sz="8" w:color="auto"/>
              <w:right w:val="single" w:sz="8" w:color="auto"/>
            </w:tcBorders>
          </w:tcPr>
          <w:p>
            <w:pPr>
              <w:jc w:val="center"/>
              <w:ind w:left="124"/>
              <w:spacing w:after="0" w:line="129" w:lineRule="exact"/>
              <w:rPr>
                <w:sz w:val="20"/>
                <w:szCs w:val="20"/>
                <w:color w:val="auto"/>
              </w:rPr>
            </w:pPr>
            <w:r>
              <w:rPr>
                <w:rFonts w:ascii="Calibri" w:cs="Calibri" w:eastAsia="Calibri" w:hAnsi="Calibri"/>
                <w:sz w:val="11"/>
                <w:szCs w:val="11"/>
                <w:b w:val="1"/>
                <w:bCs w:val="1"/>
                <w:color w:val="auto"/>
                <w:w w:val="99"/>
              </w:rPr>
              <w:t>4.2%</w:t>
            </w:r>
          </w:p>
        </w:tc>
        <w:tc>
          <w:tcPr>
            <w:tcW w:w="74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6,894,587</w:t>
            </w:r>
          </w:p>
        </w:tc>
        <w:tc>
          <w:tcPr>
            <w:tcW w:w="124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7,187,383</w:t>
            </w:r>
          </w:p>
        </w:tc>
        <w:tc>
          <w:tcPr>
            <w:tcW w:w="72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4.2%</w:t>
            </w:r>
          </w:p>
        </w:tc>
        <w:tc>
          <w:tcPr>
            <w:tcW w:w="0" w:type="dxa"/>
            <w:vAlign w:val="bottom"/>
          </w:tcPr>
          <w:p>
            <w:pPr>
              <w:spacing w:after="0"/>
              <w:rPr>
                <w:sz w:val="1"/>
                <w:szCs w:val="1"/>
                <w:color w:val="auto"/>
              </w:rPr>
            </w:pPr>
          </w:p>
        </w:tc>
      </w:tr>
      <w:tr>
        <w:trPr>
          <w:trHeight w:val="123"/>
        </w:trPr>
        <w:tc>
          <w:tcPr>
            <w:tcW w:w="39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Provision for credit losses on loan portolio, net of recoveries</w:t>
            </w:r>
          </w:p>
        </w:tc>
        <w:tc>
          <w:tcPr>
            <w:tcW w:w="10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1,093,371</w:t>
            </w:r>
          </w:p>
        </w:tc>
        <w:tc>
          <w:tcPr>
            <w:tcW w:w="9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581,893</w:t>
            </w:r>
          </w:p>
        </w:tc>
        <w:tc>
          <w:tcPr>
            <w:tcW w:w="96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575,159</w:t>
            </w:r>
          </w:p>
        </w:tc>
        <w:tc>
          <w:tcPr>
            <w:tcW w:w="540" w:type="dxa"/>
            <w:vAlign w:val="bottom"/>
            <w:tcBorders>
              <w:bottom w:val="single" w:sz="8" w:color="auto"/>
            </w:tcBorders>
          </w:tcPr>
          <w:p>
            <w:pPr>
              <w:jc w:val="center"/>
              <w:ind w:left="144"/>
              <w:spacing w:after="0" w:line="124" w:lineRule="exact"/>
              <w:rPr>
                <w:sz w:val="20"/>
                <w:szCs w:val="20"/>
                <w:color w:val="auto"/>
              </w:rPr>
            </w:pPr>
            <w:r>
              <w:rPr>
                <w:rFonts w:ascii="Calibri" w:cs="Calibri" w:eastAsia="Calibri" w:hAnsi="Calibri"/>
                <w:sz w:val="11"/>
                <w:szCs w:val="11"/>
                <w:b w:val="1"/>
                <w:bCs w:val="1"/>
                <w:color w:val="auto"/>
              </w:rPr>
              <w:t>-1.2%</w:t>
            </w:r>
          </w:p>
        </w:tc>
        <w:tc>
          <w:tcPr>
            <w:tcW w:w="1040" w:type="dxa"/>
            <w:vAlign w:val="bottom"/>
            <w:tcBorders>
              <w:bottom w:val="single" w:sz="8" w:color="auto"/>
              <w:right w:val="single" w:sz="8" w:color="auto"/>
            </w:tcBorders>
          </w:tcPr>
          <w:p>
            <w:pPr>
              <w:jc w:val="center"/>
              <w:ind w:left="144"/>
              <w:spacing w:after="0" w:line="124" w:lineRule="exact"/>
              <w:rPr>
                <w:sz w:val="20"/>
                <w:szCs w:val="20"/>
                <w:color w:val="auto"/>
              </w:rPr>
            </w:pPr>
            <w:r>
              <w:rPr>
                <w:rFonts w:ascii="Calibri" w:cs="Calibri" w:eastAsia="Calibri" w:hAnsi="Calibri"/>
                <w:sz w:val="11"/>
                <w:szCs w:val="11"/>
                <w:b w:val="1"/>
                <w:bCs w:val="1"/>
                <w:color w:val="auto"/>
              </w:rPr>
              <w:t>-47.4%</w:t>
            </w:r>
          </w:p>
        </w:tc>
        <w:tc>
          <w:tcPr>
            <w:tcW w:w="74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1,908,070</w:t>
            </w:r>
          </w:p>
        </w:tc>
        <w:tc>
          <w:tcPr>
            <w:tcW w:w="124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1,157,052</w:t>
            </w:r>
          </w:p>
        </w:tc>
        <w:tc>
          <w:tcPr>
            <w:tcW w:w="72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-39.4%</w:t>
            </w:r>
          </w:p>
        </w:tc>
        <w:tc>
          <w:tcPr>
            <w:tcW w:w="0" w:type="dxa"/>
            <w:vAlign w:val="bottom"/>
          </w:tcPr>
          <w:p>
            <w:pPr>
              <w:spacing w:after="0"/>
              <w:rPr>
                <w:sz w:val="1"/>
                <w:szCs w:val="1"/>
                <w:color w:val="auto"/>
              </w:rPr>
            </w:pPr>
          </w:p>
        </w:tc>
      </w:tr>
      <w:tr>
        <w:trPr>
          <w:trHeight w:val="108"/>
        </w:trPr>
        <w:tc>
          <w:tcPr>
            <w:tcW w:w="3900" w:type="dxa"/>
            <w:vAlign w:val="bottom"/>
            <w:tcBorders>
              <w:left w:val="single" w:sz="8" w:color="auto"/>
              <w:right w:val="single" w:sz="8" w:color="auto"/>
            </w:tcBorders>
          </w:tcPr>
          <w:p>
            <w:pPr>
              <w:ind w:left="20"/>
              <w:spacing w:after="0" w:line="108" w:lineRule="exact"/>
              <w:rPr>
                <w:sz w:val="20"/>
                <w:szCs w:val="20"/>
                <w:color w:val="auto"/>
              </w:rPr>
            </w:pPr>
            <w:r>
              <w:rPr>
                <w:rFonts w:ascii="Calibri" w:cs="Calibri" w:eastAsia="Calibri" w:hAnsi="Calibri"/>
                <w:sz w:val="11"/>
                <w:szCs w:val="11"/>
                <w:b w:val="1"/>
                <w:bCs w:val="1"/>
                <w:color w:val="auto"/>
              </w:rPr>
              <w:t>Net interest, similar income and expenses, afer provision for credit losses on loan</w:t>
            </w:r>
          </w:p>
        </w:tc>
        <w:tc>
          <w:tcPr>
            <w:tcW w:w="1020" w:type="dxa"/>
            <w:vAlign w:val="bottom"/>
            <w:vMerge w:val="restart"/>
          </w:tcPr>
          <w:p>
            <w:pPr>
              <w:jc w:val="center"/>
              <w:spacing w:after="0"/>
              <w:rPr>
                <w:sz w:val="20"/>
                <w:szCs w:val="20"/>
                <w:color w:val="auto"/>
              </w:rPr>
            </w:pPr>
            <w:r>
              <w:rPr>
                <w:rFonts w:ascii="Calibri" w:cs="Calibri" w:eastAsia="Calibri" w:hAnsi="Calibri"/>
                <w:sz w:val="11"/>
                <w:szCs w:val="11"/>
                <w:b w:val="1"/>
                <w:bCs w:val="1"/>
                <w:color w:val="auto"/>
              </w:rPr>
              <w:t>2,375,093</w:t>
            </w:r>
          </w:p>
        </w:tc>
        <w:tc>
          <w:tcPr>
            <w:tcW w:w="940" w:type="dxa"/>
            <w:vAlign w:val="bottom"/>
            <w:vMerge w:val="restart"/>
          </w:tcPr>
          <w:p>
            <w:pPr>
              <w:jc w:val="center"/>
              <w:spacing w:after="0"/>
              <w:rPr>
                <w:sz w:val="20"/>
                <w:szCs w:val="20"/>
                <w:color w:val="auto"/>
              </w:rPr>
            </w:pPr>
            <w:r>
              <w:rPr>
                <w:rFonts w:ascii="Calibri" w:cs="Calibri" w:eastAsia="Calibri" w:hAnsi="Calibri"/>
                <w:sz w:val="11"/>
                <w:szCs w:val="11"/>
                <w:b w:val="1"/>
                <w:bCs w:val="1"/>
                <w:color w:val="auto"/>
              </w:rPr>
              <w:t>2,990,119</w:t>
            </w:r>
          </w:p>
        </w:tc>
        <w:tc>
          <w:tcPr>
            <w:tcW w:w="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rPr>
              <w:t>3,040,212</w:t>
            </w:r>
          </w:p>
        </w:tc>
        <w:tc>
          <w:tcPr>
            <w:tcW w:w="540" w:type="dxa"/>
            <w:vAlign w:val="bottom"/>
            <w:vMerge w:val="restart"/>
          </w:tcPr>
          <w:p>
            <w:pPr>
              <w:jc w:val="center"/>
              <w:ind w:left="144"/>
              <w:spacing w:after="0"/>
              <w:rPr>
                <w:sz w:val="20"/>
                <w:szCs w:val="20"/>
                <w:color w:val="auto"/>
              </w:rPr>
            </w:pPr>
            <w:r>
              <w:rPr>
                <w:rFonts w:ascii="Calibri" w:cs="Calibri" w:eastAsia="Calibri" w:hAnsi="Calibri"/>
                <w:sz w:val="11"/>
                <w:szCs w:val="11"/>
                <w:b w:val="1"/>
                <w:bCs w:val="1"/>
                <w:color w:val="auto"/>
                <w:w w:val="99"/>
              </w:rPr>
              <w:t>1.7%</w:t>
            </w:r>
          </w:p>
        </w:tc>
        <w:tc>
          <w:tcPr>
            <w:tcW w:w="1040" w:type="dxa"/>
            <w:vAlign w:val="bottom"/>
            <w:tcBorders>
              <w:right w:val="single" w:sz="8" w:color="auto"/>
            </w:tcBorders>
            <w:vMerge w:val="restart"/>
          </w:tcPr>
          <w:p>
            <w:pPr>
              <w:jc w:val="center"/>
              <w:ind w:left="144"/>
              <w:spacing w:after="0"/>
              <w:rPr>
                <w:sz w:val="20"/>
                <w:szCs w:val="20"/>
                <w:color w:val="auto"/>
              </w:rPr>
            </w:pPr>
            <w:r>
              <w:rPr>
                <w:rFonts w:ascii="Calibri" w:cs="Calibri" w:eastAsia="Calibri" w:hAnsi="Calibri"/>
                <w:sz w:val="11"/>
                <w:szCs w:val="11"/>
                <w:b w:val="1"/>
                <w:bCs w:val="1"/>
                <w:color w:val="auto"/>
              </w:rPr>
              <w:t>28.0%</w:t>
            </w:r>
          </w:p>
        </w:tc>
        <w:tc>
          <w:tcPr>
            <w:tcW w:w="740" w:type="dxa"/>
            <w:vAlign w:val="bottom"/>
            <w:vMerge w:val="restart"/>
          </w:tcPr>
          <w:p>
            <w:pPr>
              <w:jc w:val="center"/>
              <w:spacing w:after="0"/>
              <w:rPr>
                <w:sz w:val="20"/>
                <w:szCs w:val="20"/>
                <w:color w:val="auto"/>
              </w:rPr>
            </w:pPr>
            <w:r>
              <w:rPr>
                <w:rFonts w:ascii="Calibri" w:cs="Calibri" w:eastAsia="Calibri" w:hAnsi="Calibri"/>
                <w:sz w:val="11"/>
                <w:szCs w:val="11"/>
                <w:b w:val="1"/>
                <w:bCs w:val="1"/>
                <w:color w:val="auto"/>
              </w:rPr>
              <w:t>4,986,517</w:t>
            </w:r>
          </w:p>
        </w:tc>
        <w:tc>
          <w:tcPr>
            <w:tcW w:w="12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rPr>
              <w:t>6,030,331</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rPr>
              <w:t>20.9%</w:t>
            </w:r>
          </w:p>
        </w:tc>
        <w:tc>
          <w:tcPr>
            <w:tcW w:w="0" w:type="dxa"/>
            <w:vAlign w:val="bottom"/>
          </w:tcPr>
          <w:p>
            <w:pPr>
              <w:spacing w:after="0"/>
              <w:rPr>
                <w:sz w:val="1"/>
                <w:szCs w:val="1"/>
                <w:color w:val="auto"/>
              </w:rPr>
            </w:pPr>
          </w:p>
        </w:tc>
      </w:tr>
      <w:tr>
        <w:trPr>
          <w:trHeight w:val="69"/>
        </w:trPr>
        <w:tc>
          <w:tcPr>
            <w:tcW w:w="3900" w:type="dxa"/>
            <w:vAlign w:val="bottom"/>
            <w:tcBorders>
              <w:left w:val="single" w:sz="8" w:color="auto"/>
              <w:right w:val="single" w:sz="8" w:color="auto"/>
            </w:tcBorders>
            <w:vMerge w:val="restart"/>
          </w:tcPr>
          <w:p>
            <w:pPr>
              <w:ind w:left="160"/>
              <w:spacing w:after="0"/>
              <w:rPr>
                <w:sz w:val="20"/>
                <w:szCs w:val="20"/>
                <w:color w:val="auto"/>
              </w:rPr>
            </w:pPr>
            <w:r>
              <w:rPr>
                <w:rFonts w:ascii="Calibri" w:cs="Calibri" w:eastAsia="Calibri" w:hAnsi="Calibri"/>
                <w:sz w:val="11"/>
                <w:szCs w:val="11"/>
                <w:b w:val="1"/>
                <w:bCs w:val="1"/>
                <w:color w:val="auto"/>
              </w:rPr>
              <w:t>portolio</w:t>
            </w:r>
          </w:p>
        </w:tc>
        <w:tc>
          <w:tcPr>
            <w:tcW w:w="10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3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90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color w:val="auto"/>
              </w:rPr>
              <w:t>Average interest earning assets</w:t>
            </w:r>
          </w:p>
        </w:tc>
        <w:tc>
          <w:tcPr>
            <w:tcW w:w="102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227,161,179</w:t>
            </w:r>
          </w:p>
        </w:tc>
        <w:tc>
          <w:tcPr>
            <w:tcW w:w="94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238,435,117</w:t>
            </w:r>
          </w:p>
        </w:tc>
        <w:tc>
          <w:tcPr>
            <w:tcW w:w="96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233,761,957</w:t>
            </w:r>
          </w:p>
        </w:tc>
        <w:tc>
          <w:tcPr>
            <w:tcW w:w="540" w:type="dxa"/>
            <w:vAlign w:val="bottom"/>
            <w:tcBorders>
              <w:bottom w:val="single" w:sz="8" w:color="auto"/>
            </w:tcBorders>
          </w:tcPr>
          <w:p>
            <w:pPr>
              <w:jc w:val="center"/>
              <w:ind w:left="144"/>
              <w:spacing w:after="0" w:line="129" w:lineRule="exact"/>
              <w:rPr>
                <w:sz w:val="20"/>
                <w:szCs w:val="20"/>
                <w:color w:val="auto"/>
              </w:rPr>
            </w:pPr>
            <w:r>
              <w:rPr>
                <w:rFonts w:ascii="Calibri" w:cs="Calibri" w:eastAsia="Calibri" w:hAnsi="Calibri"/>
                <w:sz w:val="11"/>
                <w:szCs w:val="11"/>
                <w:color w:val="auto"/>
              </w:rPr>
              <w:t>-2.0%</w:t>
            </w:r>
          </w:p>
        </w:tc>
        <w:tc>
          <w:tcPr>
            <w:tcW w:w="1040" w:type="dxa"/>
            <w:vAlign w:val="bottom"/>
            <w:tcBorders>
              <w:bottom w:val="single" w:sz="8" w:color="auto"/>
              <w:right w:val="single" w:sz="8" w:color="auto"/>
            </w:tcBorders>
          </w:tcPr>
          <w:p>
            <w:pPr>
              <w:jc w:val="center"/>
              <w:ind w:left="124"/>
              <w:spacing w:after="0" w:line="129" w:lineRule="exact"/>
              <w:rPr>
                <w:sz w:val="20"/>
                <w:szCs w:val="20"/>
                <w:color w:val="auto"/>
              </w:rPr>
            </w:pPr>
            <w:r>
              <w:rPr>
                <w:rFonts w:ascii="Calibri" w:cs="Calibri" w:eastAsia="Calibri" w:hAnsi="Calibri"/>
                <w:sz w:val="11"/>
                <w:szCs w:val="11"/>
                <w:color w:val="auto"/>
              </w:rPr>
              <w:t>2.9%</w:t>
            </w:r>
          </w:p>
        </w:tc>
        <w:tc>
          <w:tcPr>
            <w:tcW w:w="74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226,444,444</w:t>
            </w:r>
          </w:p>
        </w:tc>
        <w:tc>
          <w:tcPr>
            <w:tcW w:w="124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236,038,086</w:t>
            </w:r>
          </w:p>
        </w:tc>
        <w:tc>
          <w:tcPr>
            <w:tcW w:w="72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4.2%</w:t>
            </w:r>
          </w:p>
        </w:tc>
        <w:tc>
          <w:tcPr>
            <w:tcW w:w="0" w:type="dxa"/>
            <w:vAlign w:val="bottom"/>
          </w:tcPr>
          <w:p>
            <w:pPr>
              <w:spacing w:after="0"/>
              <w:rPr>
                <w:sz w:val="1"/>
                <w:szCs w:val="1"/>
                <w:color w:val="auto"/>
              </w:rPr>
            </w:pPr>
          </w:p>
        </w:tc>
      </w:tr>
      <w:tr>
        <w:trPr>
          <w:trHeight w:val="108"/>
        </w:trPr>
        <w:tc>
          <w:tcPr>
            <w:tcW w:w="3900" w:type="dxa"/>
            <w:vAlign w:val="bottom"/>
            <w:tcBorders>
              <w:left w:val="single" w:sz="8" w:color="auto"/>
              <w:right w:val="single" w:sz="8" w:color="auto"/>
            </w:tcBorders>
          </w:tcPr>
          <w:p>
            <w:pPr>
              <w:ind w:left="20"/>
              <w:spacing w:after="0" w:line="108" w:lineRule="exact"/>
              <w:rPr>
                <w:sz w:val="20"/>
                <w:szCs w:val="20"/>
                <w:color w:val="auto"/>
              </w:rPr>
            </w:pPr>
            <w:r>
              <w:rPr>
                <w:rFonts w:ascii="Calibri" w:cs="Calibri" w:eastAsia="Calibri" w:hAnsi="Calibri"/>
                <w:sz w:val="11"/>
                <w:szCs w:val="11"/>
                <w:b w:val="1"/>
                <w:bCs w:val="1"/>
                <w:color w:val="auto"/>
              </w:rPr>
              <w:t xml:space="preserve">Net interest margin </w:t>
            </w:r>
            <w:r>
              <w:rPr>
                <w:rFonts w:ascii="Calibri" w:cs="Calibri" w:eastAsia="Calibri" w:hAnsi="Calibri"/>
                <w:sz w:val="9"/>
                <w:szCs w:val="9"/>
                <w:b w:val="1"/>
                <w:bCs w:val="1"/>
                <w:color w:val="auto"/>
              </w:rPr>
              <w:t>(1)</w:t>
            </w:r>
          </w:p>
        </w:tc>
        <w:tc>
          <w:tcPr>
            <w:tcW w:w="1020" w:type="dxa"/>
            <w:vAlign w:val="bottom"/>
          </w:tcPr>
          <w:p>
            <w:pPr>
              <w:jc w:val="center"/>
              <w:spacing w:after="0" w:line="108" w:lineRule="exact"/>
              <w:rPr>
                <w:sz w:val="20"/>
                <w:szCs w:val="20"/>
                <w:color w:val="auto"/>
              </w:rPr>
            </w:pPr>
            <w:r>
              <w:rPr>
                <w:rFonts w:ascii="Calibri" w:cs="Calibri" w:eastAsia="Calibri" w:hAnsi="Calibri"/>
                <w:sz w:val="11"/>
                <w:szCs w:val="11"/>
                <w:b w:val="1"/>
                <w:bCs w:val="1"/>
                <w:color w:val="auto"/>
                <w:w w:val="99"/>
              </w:rPr>
              <w:t>6.3%</w:t>
            </w:r>
          </w:p>
        </w:tc>
        <w:tc>
          <w:tcPr>
            <w:tcW w:w="940" w:type="dxa"/>
            <w:vAlign w:val="bottom"/>
          </w:tcPr>
          <w:p>
            <w:pPr>
              <w:jc w:val="center"/>
              <w:spacing w:after="0" w:line="108" w:lineRule="exact"/>
              <w:rPr>
                <w:sz w:val="20"/>
                <w:szCs w:val="20"/>
                <w:color w:val="auto"/>
              </w:rPr>
            </w:pPr>
            <w:r>
              <w:rPr>
                <w:rFonts w:ascii="Calibri" w:cs="Calibri" w:eastAsia="Calibri" w:hAnsi="Calibri"/>
                <w:sz w:val="11"/>
                <w:szCs w:val="11"/>
                <w:b w:val="1"/>
                <w:bCs w:val="1"/>
                <w:color w:val="auto"/>
                <w:w w:val="99"/>
              </w:rPr>
              <w:t>6.2%</w:t>
            </w:r>
          </w:p>
        </w:tc>
        <w:tc>
          <w:tcPr>
            <w:tcW w:w="96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b w:val="1"/>
                <w:bCs w:val="1"/>
                <w:color w:val="auto"/>
                <w:w w:val="99"/>
              </w:rPr>
              <w:t>6.4%</w:t>
            </w:r>
          </w:p>
        </w:tc>
        <w:tc>
          <w:tcPr>
            <w:tcW w:w="540" w:type="dxa"/>
            <w:vAlign w:val="bottom"/>
          </w:tcPr>
          <w:p>
            <w:pPr>
              <w:jc w:val="center"/>
              <w:ind w:left="144"/>
              <w:spacing w:after="0" w:line="108" w:lineRule="exact"/>
              <w:rPr>
                <w:sz w:val="20"/>
                <w:szCs w:val="20"/>
                <w:color w:val="auto"/>
              </w:rPr>
            </w:pPr>
            <w:r>
              <w:rPr>
                <w:rFonts w:ascii="Calibri" w:cs="Calibri" w:eastAsia="Calibri" w:hAnsi="Calibri"/>
                <w:sz w:val="11"/>
                <w:szCs w:val="11"/>
                <w:b w:val="1"/>
                <w:bCs w:val="1"/>
                <w:color w:val="auto"/>
              </w:rPr>
              <w:t>20 bps</w:t>
            </w:r>
          </w:p>
        </w:tc>
        <w:tc>
          <w:tcPr>
            <w:tcW w:w="1040" w:type="dxa"/>
            <w:vAlign w:val="bottom"/>
            <w:tcBorders>
              <w:right w:val="single" w:sz="8" w:color="auto"/>
            </w:tcBorders>
          </w:tcPr>
          <w:p>
            <w:pPr>
              <w:jc w:val="center"/>
              <w:ind w:left="144"/>
              <w:spacing w:after="0" w:line="108" w:lineRule="exact"/>
              <w:rPr>
                <w:sz w:val="20"/>
                <w:szCs w:val="20"/>
                <w:color w:val="auto"/>
              </w:rPr>
            </w:pPr>
            <w:r>
              <w:rPr>
                <w:rFonts w:ascii="Calibri" w:cs="Calibri" w:eastAsia="Calibri" w:hAnsi="Calibri"/>
                <w:sz w:val="11"/>
                <w:szCs w:val="11"/>
                <w:b w:val="1"/>
                <w:bCs w:val="1"/>
                <w:color w:val="auto"/>
                <w:w w:val="98"/>
              </w:rPr>
              <w:t>9 bps</w:t>
            </w:r>
          </w:p>
        </w:tc>
        <w:tc>
          <w:tcPr>
            <w:tcW w:w="740" w:type="dxa"/>
            <w:vAlign w:val="bottom"/>
          </w:tcPr>
          <w:p>
            <w:pPr>
              <w:jc w:val="center"/>
              <w:spacing w:after="0" w:line="108" w:lineRule="exact"/>
              <w:rPr>
                <w:sz w:val="20"/>
                <w:szCs w:val="20"/>
                <w:color w:val="auto"/>
              </w:rPr>
            </w:pPr>
            <w:r>
              <w:rPr>
                <w:rFonts w:ascii="Calibri" w:cs="Calibri" w:eastAsia="Calibri" w:hAnsi="Calibri"/>
                <w:sz w:val="11"/>
                <w:szCs w:val="11"/>
                <w:b w:val="1"/>
                <w:bCs w:val="1"/>
                <w:color w:val="auto"/>
              </w:rPr>
              <w:t>6.3%</w:t>
            </w:r>
          </w:p>
        </w:tc>
        <w:tc>
          <w:tcPr>
            <w:tcW w:w="124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b w:val="1"/>
                <w:bCs w:val="1"/>
                <w:color w:val="auto"/>
                <w:w w:val="99"/>
              </w:rPr>
              <w:t>6.3%</w:t>
            </w:r>
          </w:p>
        </w:tc>
        <w:tc>
          <w:tcPr>
            <w:tcW w:w="72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b w:val="1"/>
                <w:bCs w:val="1"/>
                <w:color w:val="auto"/>
                <w:w w:val="98"/>
              </w:rPr>
              <w:t>1 bps</w:t>
            </w: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 xml:space="preserve">Risk-adjusted Net interest margin </w:t>
            </w:r>
            <w:r>
              <w:rPr>
                <w:rFonts w:ascii="Calibri" w:cs="Calibri" w:eastAsia="Calibri" w:hAnsi="Calibri"/>
                <w:sz w:val="9"/>
                <w:szCs w:val="9"/>
                <w:b w:val="1"/>
                <w:bCs w:val="1"/>
                <w:color w:val="auto"/>
              </w:rPr>
              <w:t>(1)</w:t>
            </w:r>
          </w:p>
        </w:tc>
        <w:tc>
          <w:tcPr>
            <w:tcW w:w="10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9"/>
              </w:rPr>
              <w:t>4.4%</w:t>
            </w:r>
          </w:p>
        </w:tc>
        <w:tc>
          <w:tcPr>
            <w:tcW w:w="9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9"/>
              </w:rPr>
              <w:t>5.2%</w:t>
            </w:r>
          </w:p>
        </w:tc>
        <w:tc>
          <w:tcPr>
            <w:tcW w:w="96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w w:val="99"/>
              </w:rPr>
              <w:t>5.4%</w:t>
            </w:r>
          </w:p>
        </w:tc>
        <w:tc>
          <w:tcPr>
            <w:tcW w:w="540" w:type="dxa"/>
            <w:vAlign w:val="bottom"/>
          </w:tcPr>
          <w:p>
            <w:pPr>
              <w:jc w:val="center"/>
              <w:ind w:left="144"/>
              <w:spacing w:after="0" w:line="130" w:lineRule="exact"/>
              <w:rPr>
                <w:sz w:val="20"/>
                <w:szCs w:val="20"/>
                <w:color w:val="auto"/>
              </w:rPr>
            </w:pPr>
            <w:r>
              <w:rPr>
                <w:rFonts w:ascii="Calibri" w:cs="Calibri" w:eastAsia="Calibri" w:hAnsi="Calibri"/>
                <w:sz w:val="11"/>
                <w:szCs w:val="11"/>
                <w:b w:val="1"/>
                <w:bCs w:val="1"/>
                <w:color w:val="auto"/>
              </w:rPr>
              <w:t>20 bps</w:t>
            </w:r>
          </w:p>
        </w:tc>
        <w:tc>
          <w:tcPr>
            <w:tcW w:w="1040" w:type="dxa"/>
            <w:vAlign w:val="bottom"/>
            <w:tcBorders>
              <w:right w:val="single" w:sz="8" w:color="auto"/>
            </w:tcBorders>
          </w:tcPr>
          <w:p>
            <w:pPr>
              <w:jc w:val="center"/>
              <w:ind w:left="144"/>
              <w:spacing w:after="0" w:line="130" w:lineRule="exact"/>
              <w:rPr>
                <w:sz w:val="20"/>
                <w:szCs w:val="20"/>
                <w:color w:val="auto"/>
              </w:rPr>
            </w:pPr>
            <w:r>
              <w:rPr>
                <w:rFonts w:ascii="Calibri" w:cs="Calibri" w:eastAsia="Calibri" w:hAnsi="Calibri"/>
                <w:sz w:val="11"/>
                <w:szCs w:val="11"/>
                <w:b w:val="1"/>
                <w:bCs w:val="1"/>
                <w:color w:val="auto"/>
              </w:rPr>
              <w:t>104 bps</w:t>
            </w:r>
          </w:p>
        </w:tc>
        <w:tc>
          <w:tcPr>
            <w:tcW w:w="7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4.6%</w:t>
            </w:r>
          </w:p>
        </w:tc>
        <w:tc>
          <w:tcPr>
            <w:tcW w:w="12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w w:val="99"/>
              </w:rPr>
              <w:t>5.3%</w:t>
            </w:r>
          </w:p>
        </w:tc>
        <w:tc>
          <w:tcPr>
            <w:tcW w:w="7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72 bps</w:t>
            </w:r>
          </w:p>
        </w:tc>
        <w:tc>
          <w:tcPr>
            <w:tcW w:w="0" w:type="dxa"/>
            <w:vAlign w:val="bottom"/>
          </w:tcPr>
          <w:p>
            <w:pPr>
              <w:spacing w:after="0"/>
              <w:rPr>
                <w:sz w:val="1"/>
                <w:szCs w:val="1"/>
                <w:color w:val="auto"/>
              </w:rPr>
            </w:pPr>
          </w:p>
        </w:tc>
      </w:tr>
      <w:tr>
        <w:trPr>
          <w:trHeight w:val="140"/>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 xml:space="preserve">Net provisions for loan losses / Net interest income </w:t>
            </w:r>
            <w:r>
              <w:rPr>
                <w:rFonts w:ascii="Calibri" w:cs="Calibri" w:eastAsia="Calibri" w:hAnsi="Calibri"/>
                <w:sz w:val="9"/>
                <w:szCs w:val="9"/>
                <w:b w:val="1"/>
                <w:bCs w:val="1"/>
                <w:color w:val="auto"/>
              </w:rPr>
              <w:t>(1)</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31.5%</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16.3%</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15.9%</w:t>
            </w:r>
          </w:p>
        </w:tc>
        <w:tc>
          <w:tcPr>
            <w:tcW w:w="540" w:type="dxa"/>
            <w:vAlign w:val="bottom"/>
            <w:tcBorders>
              <w:bottom w:val="single" w:sz="8" w:color="auto"/>
            </w:tcBorders>
          </w:tcPr>
          <w:p>
            <w:pPr>
              <w:jc w:val="center"/>
              <w:ind w:left="144"/>
              <w:spacing w:after="0"/>
              <w:rPr>
                <w:sz w:val="20"/>
                <w:szCs w:val="20"/>
                <w:color w:val="auto"/>
              </w:rPr>
            </w:pPr>
            <w:r>
              <w:rPr>
                <w:rFonts w:ascii="Calibri" w:cs="Calibri" w:eastAsia="Calibri" w:hAnsi="Calibri"/>
                <w:sz w:val="11"/>
                <w:szCs w:val="11"/>
                <w:b w:val="1"/>
                <w:bCs w:val="1"/>
                <w:color w:val="auto"/>
              </w:rPr>
              <w:t>-38 bps</w:t>
            </w:r>
          </w:p>
        </w:tc>
        <w:tc>
          <w:tcPr>
            <w:tcW w:w="1040" w:type="dxa"/>
            <w:vAlign w:val="bottom"/>
            <w:tcBorders>
              <w:bottom w:val="single" w:sz="8" w:color="auto"/>
              <w:right w:val="single" w:sz="8" w:color="auto"/>
            </w:tcBorders>
          </w:tcPr>
          <w:p>
            <w:pPr>
              <w:jc w:val="center"/>
              <w:ind w:left="124"/>
              <w:spacing w:after="0"/>
              <w:rPr>
                <w:sz w:val="20"/>
                <w:szCs w:val="20"/>
                <w:color w:val="auto"/>
              </w:rPr>
            </w:pPr>
            <w:r>
              <w:rPr>
                <w:rFonts w:ascii="Calibri" w:cs="Calibri" w:eastAsia="Calibri" w:hAnsi="Calibri"/>
                <w:sz w:val="11"/>
                <w:szCs w:val="11"/>
                <w:b w:val="1"/>
                <w:bCs w:val="1"/>
                <w:color w:val="auto"/>
              </w:rPr>
              <w:t>-1561 bps</w:t>
            </w:r>
          </w:p>
        </w:tc>
        <w:tc>
          <w:tcPr>
            <w:tcW w:w="7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27.7%</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16.1%</w:t>
            </w:r>
          </w:p>
        </w:tc>
        <w:tc>
          <w:tcPr>
            <w:tcW w:w="7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9"/>
              </w:rPr>
              <w:t>-1157 bps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740"/>
        <w:spacing w:after="0"/>
        <w:tabs>
          <w:tab w:leader="none" w:pos="940" w:val="left"/>
        </w:tabs>
        <w:rPr>
          <w:sz w:val="20"/>
          <w:szCs w:val="20"/>
          <w:color w:val="auto"/>
        </w:rPr>
      </w:pPr>
      <w:r>
        <w:rPr>
          <w:rFonts w:ascii="Calibri" w:cs="Calibri" w:eastAsia="Calibri" w:hAnsi="Calibri"/>
          <w:sz w:val="12"/>
          <w:szCs w:val="12"/>
          <w:color w:val="auto"/>
        </w:rPr>
        <w:t>(1)</w:t>
        <w:tab/>
        <w:t>Annualized. For further detail on the NIM calculaton due to IFRS17, please refer to Annex 12.8.</w:t>
      </w:r>
    </w:p>
    <w:p>
      <w:pPr>
        <w:spacing w:after="0" w:line="23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12.4.  Net Interest Margin (NIM) and Risk-Adjusted NIM by Subsidiary</w:t>
      </w:r>
    </w:p>
    <w:p>
      <w:pPr>
        <w:spacing w:after="0" w:line="198" w:lineRule="exact"/>
        <w:rPr>
          <w:sz w:val="20"/>
          <w:szCs w:val="20"/>
          <w:color w:val="auto"/>
        </w:rPr>
      </w:pPr>
    </w:p>
    <w:tbl>
      <w:tblPr>
        <w:tblLayout w:type="fixed"/>
        <w:tblInd w:w="1150" w:type="dxa"/>
        <w:tblCellMar>
          <w:top w:w="0" w:type="dxa"/>
          <w:left w:w="0" w:type="dxa"/>
          <w:bottom w:w="0" w:type="dxa"/>
          <w:right w:w="0" w:type="dxa"/>
        </w:tblCellMar>
      </w:tblPr>
      <w:tr>
        <w:trPr>
          <w:trHeight w:val="220"/>
        </w:trPr>
        <w:tc>
          <w:tcPr>
            <w:tcW w:w="3600" w:type="dxa"/>
            <w:vAlign w:val="bottom"/>
            <w:tcBorders>
              <w:top w:val="single" w:sz="8" w:color="auto"/>
              <w:left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NIM Breakdown</w:t>
            </w:r>
          </w:p>
        </w:tc>
        <w:tc>
          <w:tcPr>
            <w:tcW w:w="1460" w:type="dxa"/>
            <w:vAlign w:val="bottom"/>
            <w:tcBorders>
              <w:top w:val="single" w:sz="8" w:color="auto"/>
              <w:bottom w:val="single" w:sz="8" w:color="auto"/>
            </w:tcBorders>
            <w:shd w:val="clear" w:color="auto" w:fill="33CCCC"/>
          </w:tcPr>
          <w:p>
            <w:pPr>
              <w:jc w:val="center"/>
              <w:ind w:right="53"/>
              <w:spacing w:after="0"/>
              <w:rPr>
                <w:sz w:val="20"/>
                <w:szCs w:val="20"/>
                <w:color w:val="auto"/>
              </w:rPr>
            </w:pPr>
            <w:r>
              <w:rPr>
                <w:rFonts w:ascii="Calibri" w:cs="Calibri" w:eastAsia="Calibri" w:hAnsi="Calibri"/>
                <w:sz w:val="17"/>
                <w:szCs w:val="17"/>
                <w:b w:val="1"/>
                <w:bCs w:val="1"/>
                <w:color w:val="FFFFFF"/>
                <w:w w:val="99"/>
              </w:rPr>
              <w:t>BCP Stand-alone</w:t>
            </w:r>
          </w:p>
        </w:tc>
        <w:tc>
          <w:tcPr>
            <w:tcW w:w="1160" w:type="dxa"/>
            <w:vAlign w:val="bottom"/>
            <w:tcBorders>
              <w:top w:val="single" w:sz="8" w:color="auto"/>
              <w:bottom w:val="single" w:sz="8" w:color="auto"/>
            </w:tcBorders>
            <w:shd w:val="clear" w:color="auto" w:fill="33CCCC"/>
          </w:tcPr>
          <w:p>
            <w:pPr>
              <w:jc w:val="center"/>
              <w:ind w:right="13"/>
              <w:spacing w:after="0"/>
              <w:rPr>
                <w:sz w:val="20"/>
                <w:szCs w:val="20"/>
                <w:color w:val="auto"/>
              </w:rPr>
            </w:pPr>
            <w:r>
              <w:rPr>
                <w:rFonts w:ascii="Calibri" w:cs="Calibri" w:eastAsia="Calibri" w:hAnsi="Calibri"/>
                <w:sz w:val="17"/>
                <w:szCs w:val="17"/>
                <w:b w:val="1"/>
                <w:bCs w:val="1"/>
                <w:color w:val="FFFFFF"/>
              </w:rPr>
              <w:t>Mibanco</w:t>
            </w:r>
          </w:p>
        </w:tc>
        <w:tc>
          <w:tcPr>
            <w:tcW w:w="14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BCP Bolivia</w:t>
            </w:r>
          </w:p>
        </w:tc>
        <w:tc>
          <w:tcPr>
            <w:tcW w:w="13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9"/>
              </w:rPr>
              <w:t>Credicorp</w:t>
            </w:r>
          </w:p>
        </w:tc>
      </w:tr>
      <w:tr>
        <w:trPr>
          <w:trHeight w:val="181"/>
        </w:trPr>
        <w:tc>
          <w:tcPr>
            <w:tcW w:w="3600" w:type="dxa"/>
            <w:vAlign w:val="bottom"/>
            <w:tcBorders>
              <w:left w:val="single" w:sz="8" w:color="auto"/>
              <w:right w:val="single" w:sz="8" w:color="auto"/>
            </w:tcBorders>
          </w:tcPr>
          <w:p>
            <w:pPr>
              <w:jc w:val="center"/>
              <w:spacing w:after="0" w:line="181" w:lineRule="exact"/>
              <w:rPr>
                <w:sz w:val="20"/>
                <w:szCs w:val="20"/>
                <w:color w:val="auto"/>
              </w:rPr>
            </w:pPr>
            <w:r>
              <w:rPr>
                <w:rFonts w:ascii="Calibri" w:cs="Calibri" w:eastAsia="Calibri" w:hAnsi="Calibri"/>
                <w:sz w:val="17"/>
                <w:szCs w:val="17"/>
                <w:b w:val="1"/>
                <w:bCs w:val="1"/>
                <w:color w:val="auto"/>
              </w:rPr>
              <w:t>2Q24</w:t>
            </w:r>
          </w:p>
        </w:tc>
        <w:tc>
          <w:tcPr>
            <w:tcW w:w="1460" w:type="dxa"/>
            <w:vAlign w:val="bottom"/>
          </w:tcPr>
          <w:p>
            <w:pPr>
              <w:jc w:val="center"/>
              <w:ind w:right="73"/>
              <w:spacing w:after="0" w:line="181" w:lineRule="exact"/>
              <w:rPr>
                <w:sz w:val="20"/>
                <w:szCs w:val="20"/>
                <w:color w:val="auto"/>
              </w:rPr>
            </w:pPr>
            <w:r>
              <w:rPr>
                <w:rFonts w:ascii="Calibri" w:cs="Calibri" w:eastAsia="Calibri" w:hAnsi="Calibri"/>
                <w:sz w:val="17"/>
                <w:szCs w:val="17"/>
                <w:color w:val="auto"/>
                <w:w w:val="99"/>
              </w:rPr>
              <w:t>6.08%</w:t>
            </w:r>
          </w:p>
        </w:tc>
        <w:tc>
          <w:tcPr>
            <w:tcW w:w="1160" w:type="dxa"/>
            <w:vAlign w:val="bottom"/>
          </w:tcPr>
          <w:p>
            <w:pPr>
              <w:jc w:val="center"/>
              <w:ind w:right="13"/>
              <w:spacing w:after="0" w:line="181" w:lineRule="exact"/>
              <w:rPr>
                <w:sz w:val="20"/>
                <w:szCs w:val="20"/>
                <w:color w:val="auto"/>
              </w:rPr>
            </w:pPr>
            <w:r>
              <w:rPr>
                <w:rFonts w:ascii="Calibri" w:cs="Calibri" w:eastAsia="Calibri" w:hAnsi="Calibri"/>
                <w:sz w:val="17"/>
                <w:szCs w:val="17"/>
                <w:color w:val="auto"/>
                <w:w w:val="98"/>
              </w:rPr>
              <w:t>13.61%</w:t>
            </w:r>
          </w:p>
        </w:tc>
        <w:tc>
          <w:tcPr>
            <w:tcW w:w="142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color w:val="auto"/>
                <w:w w:val="99"/>
              </w:rPr>
              <w:t>3.03%</w:t>
            </w:r>
          </w:p>
        </w:tc>
        <w:tc>
          <w:tcPr>
            <w:tcW w:w="13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b w:val="1"/>
                <w:bCs w:val="1"/>
                <w:color w:val="auto"/>
              </w:rPr>
              <w:t>6.33%</w:t>
            </w:r>
          </w:p>
        </w:tc>
      </w:tr>
      <w:tr>
        <w:trPr>
          <w:trHeight w:val="206"/>
        </w:trPr>
        <w:tc>
          <w:tcPr>
            <w:tcW w:w="3600" w:type="dxa"/>
            <w:vAlign w:val="bottom"/>
            <w:tcBorders>
              <w:left w:val="single" w:sz="8" w:color="auto"/>
              <w:right w:val="single" w:sz="8" w:color="auto"/>
            </w:tcBorders>
          </w:tcPr>
          <w:p>
            <w:pPr>
              <w:jc w:val="center"/>
              <w:spacing w:after="0" w:line="206" w:lineRule="exact"/>
              <w:rPr>
                <w:sz w:val="20"/>
                <w:szCs w:val="20"/>
                <w:color w:val="auto"/>
              </w:rPr>
            </w:pPr>
            <w:r>
              <w:rPr>
                <w:rFonts w:ascii="Calibri" w:cs="Calibri" w:eastAsia="Calibri" w:hAnsi="Calibri"/>
                <w:sz w:val="17"/>
                <w:szCs w:val="17"/>
                <w:b w:val="1"/>
                <w:bCs w:val="1"/>
                <w:color w:val="auto"/>
              </w:rPr>
              <w:t>1Q25</w:t>
            </w:r>
          </w:p>
        </w:tc>
        <w:tc>
          <w:tcPr>
            <w:tcW w:w="1460" w:type="dxa"/>
            <w:vAlign w:val="bottom"/>
          </w:tcPr>
          <w:p>
            <w:pPr>
              <w:jc w:val="center"/>
              <w:ind w:right="73"/>
              <w:spacing w:after="0" w:line="206" w:lineRule="exact"/>
              <w:rPr>
                <w:sz w:val="20"/>
                <w:szCs w:val="20"/>
                <w:color w:val="auto"/>
              </w:rPr>
            </w:pPr>
            <w:r>
              <w:rPr>
                <w:rFonts w:ascii="Calibri" w:cs="Calibri" w:eastAsia="Calibri" w:hAnsi="Calibri"/>
                <w:sz w:val="17"/>
                <w:szCs w:val="17"/>
                <w:color w:val="auto"/>
                <w:w w:val="99"/>
              </w:rPr>
              <w:t>5.80%</w:t>
            </w:r>
          </w:p>
        </w:tc>
        <w:tc>
          <w:tcPr>
            <w:tcW w:w="1160" w:type="dxa"/>
            <w:vAlign w:val="bottom"/>
          </w:tcPr>
          <w:p>
            <w:pPr>
              <w:jc w:val="center"/>
              <w:ind w:right="13"/>
              <w:spacing w:after="0" w:line="206" w:lineRule="exact"/>
              <w:rPr>
                <w:sz w:val="20"/>
                <w:szCs w:val="20"/>
                <w:color w:val="auto"/>
              </w:rPr>
            </w:pPr>
            <w:r>
              <w:rPr>
                <w:rFonts w:ascii="Calibri" w:cs="Calibri" w:eastAsia="Calibri" w:hAnsi="Calibri"/>
                <w:sz w:val="17"/>
                <w:szCs w:val="17"/>
                <w:color w:val="auto"/>
                <w:w w:val="98"/>
              </w:rPr>
              <w:t>13.94%</w:t>
            </w:r>
          </w:p>
        </w:tc>
        <w:tc>
          <w:tcPr>
            <w:tcW w:w="142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9"/>
              </w:rPr>
              <w:t>2.85%</w:t>
            </w:r>
          </w:p>
        </w:tc>
        <w:tc>
          <w:tcPr>
            <w:tcW w:w="136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b w:val="1"/>
                <w:bCs w:val="1"/>
                <w:color w:val="auto"/>
              </w:rPr>
              <w:t>6.22%</w:t>
            </w:r>
          </w:p>
        </w:tc>
      </w:tr>
      <w:tr>
        <w:trPr>
          <w:trHeight w:val="208"/>
        </w:trPr>
        <w:tc>
          <w:tcPr>
            <w:tcW w:w="36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2Q25</w:t>
            </w:r>
          </w:p>
        </w:tc>
        <w:tc>
          <w:tcPr>
            <w:tcW w:w="1460" w:type="dxa"/>
            <w:vAlign w:val="bottom"/>
          </w:tcPr>
          <w:p>
            <w:pPr>
              <w:jc w:val="center"/>
              <w:ind w:right="73"/>
              <w:spacing w:after="0"/>
              <w:rPr>
                <w:sz w:val="20"/>
                <w:szCs w:val="20"/>
                <w:color w:val="auto"/>
              </w:rPr>
            </w:pPr>
            <w:r>
              <w:rPr>
                <w:rFonts w:ascii="Calibri" w:cs="Calibri" w:eastAsia="Calibri" w:hAnsi="Calibri"/>
                <w:sz w:val="17"/>
                <w:szCs w:val="17"/>
                <w:color w:val="auto"/>
                <w:w w:val="99"/>
              </w:rPr>
              <w:t>6.00%</w:t>
            </w:r>
          </w:p>
        </w:tc>
        <w:tc>
          <w:tcPr>
            <w:tcW w:w="1160" w:type="dxa"/>
            <w:vAlign w:val="bottom"/>
          </w:tcPr>
          <w:p>
            <w:pPr>
              <w:jc w:val="center"/>
              <w:ind w:right="13"/>
              <w:spacing w:after="0"/>
              <w:rPr>
                <w:sz w:val="20"/>
                <w:szCs w:val="20"/>
                <w:color w:val="auto"/>
              </w:rPr>
            </w:pPr>
            <w:r>
              <w:rPr>
                <w:rFonts w:ascii="Calibri" w:cs="Calibri" w:eastAsia="Calibri" w:hAnsi="Calibri"/>
                <w:sz w:val="17"/>
                <w:szCs w:val="17"/>
                <w:color w:val="auto"/>
                <w:w w:val="98"/>
              </w:rPr>
              <w:t>14.38%</w:t>
            </w: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2.57%</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6.42%</w:t>
            </w:r>
          </w:p>
        </w:tc>
      </w:tr>
      <w:tr>
        <w:trPr>
          <w:trHeight w:val="23"/>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131" w:lineRule="exact"/>
        <w:rPr>
          <w:sz w:val="20"/>
          <w:szCs w:val="20"/>
          <w:color w:val="auto"/>
        </w:rPr>
      </w:pPr>
    </w:p>
    <w:p>
      <w:pPr>
        <w:ind w:left="1400"/>
        <w:spacing w:after="0"/>
        <w:rPr>
          <w:sz w:val="20"/>
          <w:szCs w:val="20"/>
          <w:color w:val="auto"/>
        </w:rPr>
      </w:pPr>
      <w:r>
        <w:rPr>
          <w:rFonts w:ascii="Calibri" w:cs="Calibri" w:eastAsia="Calibri" w:hAnsi="Calibri"/>
          <w:sz w:val="12"/>
          <w:szCs w:val="12"/>
          <w:color w:val="auto"/>
        </w:rPr>
        <w:t>NIM: Annualized Net interest income (excluding Net Insurance Financial Expenses) / Average period end and period beginning interest-earning assets.</w:t>
      </w:r>
    </w:p>
    <w:p>
      <w:pPr>
        <w:spacing w:after="0" w:line="184" w:lineRule="exact"/>
        <w:rPr>
          <w:sz w:val="20"/>
          <w:szCs w:val="20"/>
          <w:color w:val="auto"/>
        </w:rPr>
      </w:pPr>
    </w:p>
    <w:tbl>
      <w:tblPr>
        <w:tblLayout w:type="fixed"/>
        <w:tblInd w:w="1150" w:type="dxa"/>
        <w:tblCellMar>
          <w:top w:w="0" w:type="dxa"/>
          <w:left w:w="0" w:type="dxa"/>
          <w:bottom w:w="0" w:type="dxa"/>
          <w:right w:w="0" w:type="dxa"/>
        </w:tblCellMar>
      </w:tblPr>
      <w:tr>
        <w:trPr>
          <w:trHeight w:val="200"/>
        </w:trPr>
        <w:tc>
          <w:tcPr>
            <w:tcW w:w="3600" w:type="dxa"/>
            <w:vAlign w:val="bottom"/>
            <w:tcBorders>
              <w:top w:val="single" w:sz="8" w:color="auto"/>
              <w:left w:val="single" w:sz="8" w:color="auto"/>
              <w:right w:val="single" w:sz="8" w:color="auto"/>
            </w:tcBorders>
            <w:shd w:val="clear" w:color="auto" w:fill="33CCCC"/>
          </w:tcPr>
          <w:p>
            <w:pPr>
              <w:jc w:val="center"/>
              <w:spacing w:after="0" w:line="200" w:lineRule="exact"/>
              <w:rPr>
                <w:sz w:val="20"/>
                <w:szCs w:val="20"/>
                <w:color w:val="auto"/>
              </w:rPr>
            </w:pPr>
            <w:r>
              <w:rPr>
                <w:rFonts w:ascii="Calibri" w:cs="Calibri" w:eastAsia="Calibri" w:hAnsi="Calibri"/>
                <w:sz w:val="17"/>
                <w:szCs w:val="17"/>
                <w:b w:val="1"/>
                <w:bCs w:val="1"/>
                <w:color w:val="FFFFFF"/>
                <w:w w:val="98"/>
              </w:rPr>
              <w:t>Risk-Adjusted NIM</w:t>
            </w:r>
          </w:p>
        </w:tc>
        <w:tc>
          <w:tcPr>
            <w:tcW w:w="1380" w:type="dxa"/>
            <w:vAlign w:val="bottom"/>
            <w:tcBorders>
              <w:top w:val="single" w:sz="8" w:color="auto"/>
            </w:tcBorders>
            <w:shd w:val="clear" w:color="auto" w:fill="33CCCC"/>
          </w:tcPr>
          <w:p>
            <w:pPr>
              <w:jc w:val="center"/>
              <w:spacing w:after="0" w:line="200" w:lineRule="exact"/>
              <w:rPr>
                <w:sz w:val="20"/>
                <w:szCs w:val="20"/>
                <w:color w:val="auto"/>
              </w:rPr>
            </w:pPr>
            <w:r>
              <w:rPr>
                <w:rFonts w:ascii="Calibri" w:cs="Calibri" w:eastAsia="Calibri" w:hAnsi="Calibri"/>
                <w:sz w:val="17"/>
                <w:szCs w:val="17"/>
                <w:b w:val="1"/>
                <w:bCs w:val="1"/>
                <w:color w:val="FFFFFF"/>
              </w:rPr>
              <w:t>BCP</w:t>
            </w:r>
          </w:p>
        </w:tc>
        <w:tc>
          <w:tcPr>
            <w:tcW w:w="1320" w:type="dxa"/>
            <w:vAlign w:val="bottom"/>
            <w:tcBorders>
              <w:top w:val="single" w:sz="8" w:color="auto"/>
            </w:tcBorders>
            <w:vMerge w:val="restart"/>
            <w:shd w:val="clear" w:color="auto" w:fill="33CCCC"/>
          </w:tcPr>
          <w:p>
            <w:pPr>
              <w:ind w:left="300"/>
              <w:spacing w:after="0"/>
              <w:rPr>
                <w:sz w:val="20"/>
                <w:szCs w:val="20"/>
                <w:color w:val="auto"/>
              </w:rPr>
            </w:pPr>
            <w:r>
              <w:rPr>
                <w:rFonts w:ascii="Calibri" w:cs="Calibri" w:eastAsia="Calibri" w:hAnsi="Calibri"/>
                <w:sz w:val="17"/>
                <w:szCs w:val="17"/>
                <w:b w:val="1"/>
                <w:bCs w:val="1"/>
                <w:color w:val="FFFFFF"/>
              </w:rPr>
              <w:t>Mibanco</w:t>
            </w:r>
          </w:p>
        </w:tc>
        <w:tc>
          <w:tcPr>
            <w:tcW w:w="1340" w:type="dxa"/>
            <w:vAlign w:val="bottom"/>
            <w:tcBorders>
              <w:top w:val="single" w:sz="8" w:color="auto"/>
              <w:right w:val="single" w:sz="8" w:color="auto"/>
            </w:tcBorders>
            <w:shd w:val="clear" w:color="auto" w:fill="33CCCC"/>
          </w:tcPr>
          <w:p>
            <w:pPr>
              <w:jc w:val="center"/>
              <w:spacing w:after="0" w:line="200" w:lineRule="exact"/>
              <w:rPr>
                <w:sz w:val="20"/>
                <w:szCs w:val="20"/>
                <w:color w:val="auto"/>
              </w:rPr>
            </w:pPr>
            <w:r>
              <w:rPr>
                <w:rFonts w:ascii="Calibri" w:cs="Calibri" w:eastAsia="Calibri" w:hAnsi="Calibri"/>
                <w:sz w:val="17"/>
                <w:szCs w:val="17"/>
                <w:b w:val="1"/>
                <w:bCs w:val="1"/>
                <w:color w:val="FFFFFF"/>
              </w:rPr>
              <w:t>BCP</w:t>
            </w:r>
          </w:p>
        </w:tc>
        <w:tc>
          <w:tcPr>
            <w:tcW w:w="1360" w:type="dxa"/>
            <w:vAlign w:val="bottom"/>
            <w:tcBorders>
              <w:top w:val="single" w:sz="8" w:color="auto"/>
              <w:right w:val="single" w:sz="8" w:color="auto"/>
            </w:tcBorders>
            <w:vMerge w:val="restart"/>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9"/>
              </w:rPr>
              <w:t>Credicorp</w:t>
            </w:r>
          </w:p>
        </w:tc>
        <w:tc>
          <w:tcPr>
            <w:tcW w:w="0" w:type="dxa"/>
            <w:vAlign w:val="bottom"/>
          </w:tcPr>
          <w:p>
            <w:pPr>
              <w:spacing w:after="0"/>
              <w:rPr>
                <w:sz w:val="1"/>
                <w:szCs w:val="1"/>
                <w:color w:val="auto"/>
              </w:rPr>
            </w:pPr>
          </w:p>
        </w:tc>
      </w:tr>
      <w:tr>
        <w:trPr>
          <w:trHeight w:val="102"/>
        </w:trPr>
        <w:tc>
          <w:tcPr>
            <w:tcW w:w="3600" w:type="dxa"/>
            <w:vAlign w:val="bottom"/>
            <w:tcBorders>
              <w:left w:val="single" w:sz="8" w:color="auto"/>
              <w:right w:val="single" w:sz="8" w:color="auto"/>
            </w:tcBorders>
            <w:vMerge w:val="restart"/>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w w:val="99"/>
              </w:rPr>
              <w:t>Breakdown</w:t>
            </w:r>
          </w:p>
        </w:tc>
        <w:tc>
          <w:tcPr>
            <w:tcW w:w="1380" w:type="dxa"/>
            <w:vAlign w:val="bottom"/>
            <w:vMerge w:val="restart"/>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w w:val="98"/>
              </w:rPr>
              <w:t>Stand-alone</w:t>
            </w:r>
          </w:p>
        </w:tc>
        <w:tc>
          <w:tcPr>
            <w:tcW w:w="1320" w:type="dxa"/>
            <w:vAlign w:val="bottom"/>
            <w:vMerge w:val="continue"/>
            <w:shd w:val="clear" w:color="auto" w:fill="33CCCC"/>
          </w:tcPr>
          <w:p>
            <w:pPr>
              <w:spacing w:after="0"/>
              <w:rPr>
                <w:sz w:val="8"/>
                <w:szCs w:val="8"/>
                <w:color w:val="auto"/>
              </w:rPr>
            </w:pPr>
          </w:p>
        </w:tc>
        <w:tc>
          <w:tcPr>
            <w:tcW w:w="1340" w:type="dxa"/>
            <w:vAlign w:val="bottom"/>
            <w:tcBorders>
              <w:right w:val="single" w:sz="8" w:color="auto"/>
            </w:tcBorders>
            <w:vMerge w:val="restart"/>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rPr>
              <w:t>Bolivia</w:t>
            </w:r>
          </w:p>
        </w:tc>
        <w:tc>
          <w:tcPr>
            <w:tcW w:w="1360" w:type="dxa"/>
            <w:vAlign w:val="bottom"/>
            <w:tcBorders>
              <w:right w:val="single" w:sz="8" w:color="auto"/>
            </w:tcBorders>
            <w:vMerge w:val="continue"/>
            <w:shd w:val="clear" w:color="auto" w:fill="33CCCC"/>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600" w:type="dxa"/>
            <w:vAlign w:val="bottom"/>
            <w:tcBorders>
              <w:left w:val="single" w:sz="8" w:color="auto"/>
              <w:bottom w:val="single" w:sz="8" w:color="33CCCC"/>
              <w:right w:val="single" w:sz="8" w:color="auto"/>
            </w:tcBorders>
            <w:vMerge w:val="continue"/>
            <w:shd w:val="clear" w:color="auto" w:fill="33CCCC"/>
          </w:tcPr>
          <w:p>
            <w:pPr>
              <w:spacing w:after="0"/>
              <w:rPr>
                <w:sz w:val="11"/>
                <w:szCs w:val="11"/>
                <w:color w:val="auto"/>
              </w:rPr>
            </w:pPr>
          </w:p>
        </w:tc>
        <w:tc>
          <w:tcPr>
            <w:tcW w:w="1380" w:type="dxa"/>
            <w:vAlign w:val="bottom"/>
            <w:tcBorders>
              <w:bottom w:val="single" w:sz="8" w:color="33CCCC"/>
            </w:tcBorders>
            <w:vMerge w:val="continue"/>
            <w:shd w:val="clear" w:color="auto" w:fill="33CCCC"/>
          </w:tcPr>
          <w:p>
            <w:pPr>
              <w:spacing w:after="0"/>
              <w:rPr>
                <w:sz w:val="11"/>
                <w:szCs w:val="11"/>
                <w:color w:val="auto"/>
              </w:rPr>
            </w:pPr>
          </w:p>
        </w:tc>
        <w:tc>
          <w:tcPr>
            <w:tcW w:w="1320" w:type="dxa"/>
            <w:vAlign w:val="bottom"/>
            <w:tcBorders>
              <w:bottom w:val="single" w:sz="8" w:color="33CCCC"/>
            </w:tcBorders>
            <w:shd w:val="clear" w:color="auto" w:fill="33CCCC"/>
          </w:tcPr>
          <w:p>
            <w:pPr>
              <w:spacing w:after="0"/>
              <w:rPr>
                <w:sz w:val="11"/>
                <w:szCs w:val="11"/>
                <w:color w:val="auto"/>
              </w:rPr>
            </w:pPr>
          </w:p>
        </w:tc>
        <w:tc>
          <w:tcPr>
            <w:tcW w:w="1340" w:type="dxa"/>
            <w:vAlign w:val="bottom"/>
            <w:tcBorders>
              <w:bottom w:val="single" w:sz="8" w:color="33CCCC"/>
              <w:right w:val="single" w:sz="8" w:color="auto"/>
            </w:tcBorders>
            <w:vMerge w:val="continue"/>
            <w:shd w:val="clear" w:color="auto" w:fill="33CCCC"/>
          </w:tcPr>
          <w:p>
            <w:pPr>
              <w:spacing w:after="0"/>
              <w:rPr>
                <w:sz w:val="11"/>
                <w:szCs w:val="11"/>
                <w:color w:val="auto"/>
              </w:rPr>
            </w:pPr>
          </w:p>
        </w:tc>
        <w:tc>
          <w:tcPr>
            <w:tcW w:w="1360" w:type="dxa"/>
            <w:vAlign w:val="bottom"/>
            <w:tcBorders>
              <w:bottom w:val="single" w:sz="8" w:color="33CCCC"/>
              <w:right w:val="single" w:sz="8" w:color="auto"/>
            </w:tcBorders>
            <w:shd w:val="clear" w:color="auto" w:fill="33CCC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00" w:type="dxa"/>
            <w:vAlign w:val="bottom"/>
            <w:tcBorders>
              <w:top w:val="single" w:sz="8" w:color="auto"/>
              <w:left w:val="single" w:sz="8" w:color="auto"/>
              <w:right w:val="single" w:sz="8" w:color="auto"/>
            </w:tcBorders>
          </w:tcPr>
          <w:p>
            <w:pPr>
              <w:jc w:val="center"/>
              <w:spacing w:after="0" w:line="180" w:lineRule="exact"/>
              <w:rPr>
                <w:sz w:val="20"/>
                <w:szCs w:val="20"/>
                <w:color w:val="auto"/>
              </w:rPr>
            </w:pPr>
            <w:r>
              <w:rPr>
                <w:rFonts w:ascii="Calibri" w:cs="Calibri" w:eastAsia="Calibri" w:hAnsi="Calibri"/>
                <w:sz w:val="17"/>
                <w:szCs w:val="17"/>
                <w:b w:val="1"/>
                <w:bCs w:val="1"/>
                <w:color w:val="auto"/>
              </w:rPr>
              <w:t>2Q24</w:t>
            </w:r>
          </w:p>
        </w:tc>
        <w:tc>
          <w:tcPr>
            <w:tcW w:w="138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7"/>
                <w:szCs w:val="17"/>
                <w:color w:val="auto"/>
                <w:w w:val="99"/>
              </w:rPr>
              <w:t>4.30%</w:t>
            </w:r>
          </w:p>
        </w:tc>
        <w:tc>
          <w:tcPr>
            <w:tcW w:w="1320" w:type="dxa"/>
            <w:vAlign w:val="bottom"/>
            <w:tcBorders>
              <w:top w:val="single" w:sz="8" w:color="auto"/>
            </w:tcBorders>
          </w:tcPr>
          <w:p>
            <w:pPr>
              <w:jc w:val="center"/>
              <w:ind w:right="13"/>
              <w:spacing w:after="0" w:line="180" w:lineRule="exact"/>
              <w:rPr>
                <w:sz w:val="20"/>
                <w:szCs w:val="20"/>
                <w:color w:val="auto"/>
              </w:rPr>
            </w:pPr>
            <w:r>
              <w:rPr>
                <w:rFonts w:ascii="Calibri" w:cs="Calibri" w:eastAsia="Calibri" w:hAnsi="Calibri"/>
                <w:sz w:val="17"/>
                <w:szCs w:val="17"/>
                <w:color w:val="auto"/>
                <w:w w:val="99"/>
              </w:rPr>
              <w:t>7.67%</w:t>
            </w:r>
          </w:p>
        </w:tc>
        <w:tc>
          <w:tcPr>
            <w:tcW w:w="134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7"/>
                <w:szCs w:val="17"/>
                <w:color w:val="auto"/>
                <w:w w:val="99"/>
              </w:rPr>
              <w:t>2.25%</w:t>
            </w:r>
          </w:p>
        </w:tc>
        <w:tc>
          <w:tcPr>
            <w:tcW w:w="136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7"/>
                <w:szCs w:val="17"/>
                <w:b w:val="1"/>
                <w:bCs w:val="1"/>
                <w:color w:val="auto"/>
              </w:rPr>
              <w:t>4.40%</w:t>
            </w:r>
          </w:p>
        </w:tc>
        <w:tc>
          <w:tcPr>
            <w:tcW w:w="0" w:type="dxa"/>
            <w:vAlign w:val="bottom"/>
          </w:tcPr>
          <w:p>
            <w:pPr>
              <w:spacing w:after="0"/>
              <w:rPr>
                <w:sz w:val="1"/>
                <w:szCs w:val="1"/>
                <w:color w:val="auto"/>
              </w:rPr>
            </w:pPr>
          </w:p>
        </w:tc>
      </w:tr>
      <w:tr>
        <w:trPr>
          <w:trHeight w:val="206"/>
        </w:trPr>
        <w:tc>
          <w:tcPr>
            <w:tcW w:w="3600" w:type="dxa"/>
            <w:vAlign w:val="bottom"/>
            <w:tcBorders>
              <w:left w:val="single" w:sz="8" w:color="auto"/>
              <w:right w:val="single" w:sz="8" w:color="auto"/>
            </w:tcBorders>
          </w:tcPr>
          <w:p>
            <w:pPr>
              <w:jc w:val="center"/>
              <w:spacing w:after="0" w:line="206" w:lineRule="exact"/>
              <w:rPr>
                <w:sz w:val="20"/>
                <w:szCs w:val="20"/>
                <w:color w:val="auto"/>
              </w:rPr>
            </w:pPr>
            <w:r>
              <w:rPr>
                <w:rFonts w:ascii="Calibri" w:cs="Calibri" w:eastAsia="Calibri" w:hAnsi="Calibri"/>
                <w:sz w:val="17"/>
                <w:szCs w:val="17"/>
                <w:b w:val="1"/>
                <w:bCs w:val="1"/>
                <w:color w:val="auto"/>
              </w:rPr>
              <w:t>1Q25</w:t>
            </w:r>
          </w:p>
        </w:tc>
        <w:tc>
          <w:tcPr>
            <w:tcW w:w="1380" w:type="dxa"/>
            <w:vAlign w:val="bottom"/>
          </w:tcPr>
          <w:p>
            <w:pPr>
              <w:jc w:val="center"/>
              <w:spacing w:after="0" w:line="206" w:lineRule="exact"/>
              <w:rPr>
                <w:sz w:val="20"/>
                <w:szCs w:val="20"/>
                <w:color w:val="auto"/>
              </w:rPr>
            </w:pPr>
            <w:r>
              <w:rPr>
                <w:rFonts w:ascii="Calibri" w:cs="Calibri" w:eastAsia="Calibri" w:hAnsi="Calibri"/>
                <w:sz w:val="17"/>
                <w:szCs w:val="17"/>
                <w:color w:val="auto"/>
                <w:w w:val="99"/>
              </w:rPr>
              <w:t>4.98%</w:t>
            </w:r>
          </w:p>
        </w:tc>
        <w:tc>
          <w:tcPr>
            <w:tcW w:w="1320" w:type="dxa"/>
            <w:vAlign w:val="bottom"/>
          </w:tcPr>
          <w:p>
            <w:pPr>
              <w:jc w:val="center"/>
              <w:ind w:right="13"/>
              <w:spacing w:after="0" w:line="206" w:lineRule="exact"/>
              <w:rPr>
                <w:sz w:val="20"/>
                <w:szCs w:val="20"/>
                <w:color w:val="auto"/>
              </w:rPr>
            </w:pPr>
            <w:r>
              <w:rPr>
                <w:rFonts w:ascii="Calibri" w:cs="Calibri" w:eastAsia="Calibri" w:hAnsi="Calibri"/>
                <w:sz w:val="17"/>
                <w:szCs w:val="17"/>
                <w:color w:val="auto"/>
                <w:w w:val="98"/>
              </w:rPr>
              <w:t>10.14%</w:t>
            </w:r>
          </w:p>
        </w:tc>
        <w:tc>
          <w:tcPr>
            <w:tcW w:w="134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9"/>
              </w:rPr>
              <w:t>2.62%</w:t>
            </w:r>
          </w:p>
        </w:tc>
        <w:tc>
          <w:tcPr>
            <w:tcW w:w="136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b w:val="1"/>
                <w:bCs w:val="1"/>
                <w:color w:val="auto"/>
              </w:rPr>
              <w:t>5.24%</w:t>
            </w: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2Q25</w:t>
            </w:r>
          </w:p>
        </w:tc>
        <w:tc>
          <w:tcPr>
            <w:tcW w:w="1380" w:type="dxa"/>
            <w:vAlign w:val="bottom"/>
          </w:tcPr>
          <w:p>
            <w:pPr>
              <w:jc w:val="center"/>
              <w:spacing w:after="0"/>
              <w:rPr>
                <w:sz w:val="20"/>
                <w:szCs w:val="20"/>
                <w:color w:val="auto"/>
              </w:rPr>
            </w:pPr>
            <w:r>
              <w:rPr>
                <w:rFonts w:ascii="Calibri" w:cs="Calibri" w:eastAsia="Calibri" w:hAnsi="Calibri"/>
                <w:sz w:val="17"/>
                <w:szCs w:val="17"/>
                <w:color w:val="auto"/>
                <w:w w:val="99"/>
              </w:rPr>
              <w:t>5.22%</w:t>
            </w:r>
          </w:p>
        </w:tc>
        <w:tc>
          <w:tcPr>
            <w:tcW w:w="1320" w:type="dxa"/>
            <w:vAlign w:val="bottom"/>
          </w:tcPr>
          <w:p>
            <w:pPr>
              <w:jc w:val="center"/>
              <w:ind w:right="13"/>
              <w:spacing w:after="0"/>
              <w:rPr>
                <w:sz w:val="20"/>
                <w:szCs w:val="20"/>
                <w:color w:val="auto"/>
              </w:rPr>
            </w:pPr>
            <w:r>
              <w:rPr>
                <w:rFonts w:ascii="Calibri" w:cs="Calibri" w:eastAsia="Calibri" w:hAnsi="Calibri"/>
                <w:sz w:val="17"/>
                <w:szCs w:val="17"/>
                <w:color w:val="auto"/>
                <w:w w:val="98"/>
              </w:rPr>
              <w:t>10.34%</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1.89%</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5.44%</w:t>
            </w:r>
          </w:p>
        </w:tc>
        <w:tc>
          <w:tcPr>
            <w:tcW w:w="0" w:type="dxa"/>
            <w:vAlign w:val="bottom"/>
          </w:tcPr>
          <w:p>
            <w:pPr>
              <w:spacing w:after="0"/>
              <w:rPr>
                <w:sz w:val="1"/>
                <w:szCs w:val="1"/>
                <w:color w:val="auto"/>
              </w:rPr>
            </w:pPr>
          </w:p>
        </w:tc>
      </w:tr>
      <w:tr>
        <w:trPr>
          <w:trHeight w:val="23"/>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400"/>
        <w:spacing w:after="0"/>
        <w:rPr>
          <w:sz w:val="20"/>
          <w:szCs w:val="20"/>
          <w:color w:val="auto"/>
        </w:rPr>
      </w:pPr>
      <w:r>
        <w:rPr>
          <w:rFonts w:ascii="Calibri" w:cs="Calibri" w:eastAsia="Calibri" w:hAnsi="Calibri"/>
          <w:sz w:val="12"/>
          <w:szCs w:val="12"/>
          <w:color w:val="auto"/>
        </w:rPr>
        <w:t>Risk-Adjusted NIM: (Annualized Net interest income (excluding Net Insurance Financial Expenses) - annualized provisions) / Average period end and period beginning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980440</wp:posOffset>
            </wp:positionV>
            <wp:extent cx="7137400"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253365</wp:posOffset>
            </wp:positionV>
            <wp:extent cx="7198360" cy="6280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8360" cy="628015"/>
                    </a:xfrm>
                    <a:prstGeom prst="rect">
                      <a:avLst/>
                    </a:prstGeom>
                    <a:noFill/>
                  </pic:spPr>
                </pic:pic>
              </a:graphicData>
            </a:graphic>
          </wp:anchor>
        </w:drawing>
      </w:r>
    </w:p>
    <w:p>
      <w:pPr>
        <w:sectPr>
          <w:pgSz w:w="11900" w:h="16838" w:orient="portrait"/>
          <w:cols w:equalWidth="0" w:num="1">
            <w:col w:w="11120"/>
          </w:cols>
          <w:pgMar w:left="320" w:top="458" w:right="459" w:bottom="1440" w:gutter="0" w:footer="0" w:header="0"/>
        </w:sectPr>
      </w:pPr>
    </w:p>
    <w:bookmarkStart w:id="55" w:name="page56"/>
    <w:bookmarkEnd w:id="55"/>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37400" cy="2311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12.5. Physical Point of contact</w:t>
      </w:r>
    </w:p>
    <w:p>
      <w:pPr>
        <w:spacing w:after="0" w:line="207" w:lineRule="exact"/>
        <w:rPr>
          <w:sz w:val="20"/>
          <w:szCs w:val="20"/>
          <w:color w:val="auto"/>
        </w:rPr>
      </w:pPr>
    </w:p>
    <w:tbl>
      <w:tblPr>
        <w:tblLayout w:type="fixed"/>
        <w:tblInd w:w="1150" w:type="dxa"/>
        <w:tblCellMar>
          <w:top w:w="0" w:type="dxa"/>
          <w:left w:w="0" w:type="dxa"/>
          <w:bottom w:w="0" w:type="dxa"/>
          <w:right w:w="0" w:type="dxa"/>
        </w:tblCellMar>
      </w:tblPr>
      <w:tr>
        <w:trPr>
          <w:trHeight w:val="221"/>
        </w:trPr>
        <w:tc>
          <w:tcPr>
            <w:tcW w:w="3380" w:type="dxa"/>
            <w:vAlign w:val="bottom"/>
            <w:tcBorders>
              <w:top w:val="single" w:sz="8" w:color="auto"/>
              <w:left w:val="single" w:sz="8" w:color="auto"/>
              <w:right w:val="single" w:sz="8" w:color="auto"/>
            </w:tcBorders>
            <w:shd w:val="clear" w:color="auto" w:fill="33CCCC"/>
          </w:tcPr>
          <w:p>
            <w:pPr>
              <w:spacing w:after="0" w:line="221" w:lineRule="exact"/>
              <w:rPr>
                <w:sz w:val="20"/>
                <w:szCs w:val="20"/>
                <w:color w:val="auto"/>
              </w:rPr>
            </w:pPr>
            <w:r>
              <w:rPr>
                <w:rFonts w:ascii="Calibri" w:cs="Calibri" w:eastAsia="Calibri" w:hAnsi="Calibri"/>
                <w:sz w:val="15"/>
                <w:szCs w:val="15"/>
                <w:b w:val="1"/>
                <w:bCs w:val="1"/>
                <w:color w:val="FFFFFF"/>
              </w:rPr>
              <w:t xml:space="preserve">Physical Point of Contact </w:t>
            </w:r>
            <w:r>
              <w:rPr>
                <w:rFonts w:ascii="Calibri" w:cs="Calibri" w:eastAsia="Calibri" w:hAnsi="Calibri"/>
                <w:sz w:val="24"/>
                <w:szCs w:val="24"/>
                <w:b w:val="1"/>
                <w:bCs w:val="1"/>
                <w:color w:val="FFFFFF"/>
                <w:vertAlign w:val="superscript"/>
              </w:rPr>
              <w:t>(1)</w:t>
            </w:r>
          </w:p>
        </w:tc>
        <w:tc>
          <w:tcPr>
            <w:tcW w:w="1080" w:type="dxa"/>
            <w:vAlign w:val="bottom"/>
            <w:tcBorders>
              <w:top w:val="single" w:sz="8" w:color="auto"/>
            </w:tcBorders>
            <w:shd w:val="clear" w:color="auto" w:fill="33CCCC"/>
          </w:tcPr>
          <w:p>
            <w:pPr>
              <w:spacing w:after="0"/>
              <w:rPr>
                <w:sz w:val="19"/>
                <w:szCs w:val="19"/>
                <w:color w:val="auto"/>
              </w:rPr>
            </w:pPr>
          </w:p>
        </w:tc>
        <w:tc>
          <w:tcPr>
            <w:tcW w:w="11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As of</w:t>
            </w:r>
          </w:p>
        </w:tc>
        <w:tc>
          <w:tcPr>
            <w:tcW w:w="1120" w:type="dxa"/>
            <w:vAlign w:val="bottom"/>
            <w:tcBorders>
              <w:top w:val="single" w:sz="8" w:color="auto"/>
              <w:right w:val="single" w:sz="8" w:color="auto"/>
            </w:tcBorders>
            <w:shd w:val="clear" w:color="auto" w:fill="33CCCC"/>
          </w:tcPr>
          <w:p>
            <w:pPr>
              <w:spacing w:after="0"/>
              <w:rPr>
                <w:sz w:val="19"/>
                <w:szCs w:val="19"/>
                <w:color w:val="auto"/>
              </w:rPr>
            </w:pPr>
          </w:p>
        </w:tc>
        <w:tc>
          <w:tcPr>
            <w:tcW w:w="2280" w:type="dxa"/>
            <w:vAlign w:val="bottom"/>
            <w:tcBorders>
              <w:top w:val="single" w:sz="8" w:color="auto"/>
              <w:right w:val="single" w:sz="8" w:color="auto"/>
            </w:tcBorders>
            <w:gridSpan w:val="2"/>
            <w:shd w:val="clear" w:color="auto" w:fill="33CCCC"/>
          </w:tcPr>
          <w:p>
            <w:pPr>
              <w:ind w:left="620"/>
              <w:spacing w:after="0"/>
              <w:rPr>
                <w:sz w:val="20"/>
                <w:szCs w:val="20"/>
                <w:color w:val="auto"/>
              </w:rPr>
            </w:pPr>
            <w:r>
              <w:rPr>
                <w:rFonts w:ascii="Calibri" w:cs="Calibri" w:eastAsia="Calibri" w:hAnsi="Calibri"/>
                <w:sz w:val="17"/>
                <w:szCs w:val="17"/>
                <w:b w:val="1"/>
                <w:bCs w:val="1"/>
                <w:color w:val="FFFFFF"/>
              </w:rPr>
              <w:t>Change (units)</w:t>
            </w:r>
          </w:p>
        </w:tc>
      </w:tr>
      <w:tr>
        <w:trPr>
          <w:trHeight w:val="207"/>
        </w:trPr>
        <w:tc>
          <w:tcPr>
            <w:tcW w:w="3380" w:type="dxa"/>
            <w:vAlign w:val="bottom"/>
            <w:tcBorders>
              <w:left w:val="single" w:sz="8" w:color="auto"/>
              <w:bottom w:val="single" w:sz="8" w:color="auto"/>
              <w:right w:val="single" w:sz="8" w:color="auto"/>
            </w:tcBorders>
            <w:shd w:val="clear" w:color="auto" w:fill="33CCCC"/>
          </w:tcPr>
          <w:p>
            <w:pPr>
              <w:spacing w:after="0" w:line="206" w:lineRule="exact"/>
              <w:rPr>
                <w:sz w:val="20"/>
                <w:szCs w:val="20"/>
                <w:color w:val="auto"/>
              </w:rPr>
            </w:pPr>
            <w:r>
              <w:rPr>
                <w:rFonts w:ascii="Calibri" w:cs="Calibri" w:eastAsia="Calibri" w:hAnsi="Calibri"/>
                <w:sz w:val="17"/>
                <w:szCs w:val="17"/>
                <w:b w:val="1"/>
                <w:bCs w:val="1"/>
                <w:color w:val="FFFFFF"/>
              </w:rPr>
              <w:t>(Units)</w:t>
            </w:r>
          </w:p>
        </w:tc>
        <w:tc>
          <w:tcPr>
            <w:tcW w:w="1080" w:type="dxa"/>
            <w:vAlign w:val="bottom"/>
            <w:tcBorders>
              <w:bottom w:val="single" w:sz="8" w:color="auto"/>
            </w:tcBorders>
            <w:shd w:val="clear" w:color="auto" w:fill="33CCCC"/>
          </w:tcPr>
          <w:p>
            <w:pPr>
              <w:ind w:left="300"/>
              <w:spacing w:after="0" w:line="206" w:lineRule="exact"/>
              <w:rPr>
                <w:sz w:val="20"/>
                <w:szCs w:val="20"/>
                <w:color w:val="auto"/>
              </w:rPr>
            </w:pPr>
            <w:r>
              <w:rPr>
                <w:rFonts w:ascii="Calibri" w:cs="Calibri" w:eastAsia="Calibri" w:hAnsi="Calibri"/>
                <w:sz w:val="17"/>
                <w:szCs w:val="17"/>
                <w:b w:val="1"/>
                <w:bCs w:val="1"/>
                <w:color w:val="FFFFFF"/>
              </w:rPr>
              <w:t>Jun 24</w:t>
            </w:r>
          </w:p>
        </w:tc>
        <w:tc>
          <w:tcPr>
            <w:tcW w:w="1140" w:type="dxa"/>
            <w:vAlign w:val="bottom"/>
            <w:tcBorders>
              <w:bottom w:val="single" w:sz="8" w:color="auto"/>
            </w:tcBorders>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w w:val="99"/>
              </w:rPr>
              <w:t>Mar 25</w:t>
            </w:r>
          </w:p>
        </w:tc>
        <w:tc>
          <w:tcPr>
            <w:tcW w:w="1120" w:type="dxa"/>
            <w:vAlign w:val="bottom"/>
            <w:tcBorders>
              <w:bottom w:val="single" w:sz="8" w:color="auto"/>
              <w:right w:val="single" w:sz="8" w:color="auto"/>
            </w:tcBorders>
            <w:shd w:val="clear" w:color="auto" w:fill="33CCCC"/>
          </w:tcPr>
          <w:p>
            <w:pPr>
              <w:ind w:left="320"/>
              <w:spacing w:after="0" w:line="206" w:lineRule="exact"/>
              <w:rPr>
                <w:sz w:val="20"/>
                <w:szCs w:val="20"/>
                <w:color w:val="auto"/>
              </w:rPr>
            </w:pPr>
            <w:r>
              <w:rPr>
                <w:rFonts w:ascii="Calibri" w:cs="Calibri" w:eastAsia="Calibri" w:hAnsi="Calibri"/>
                <w:sz w:val="17"/>
                <w:szCs w:val="17"/>
                <w:b w:val="1"/>
                <w:bCs w:val="1"/>
                <w:color w:val="FFFFFF"/>
              </w:rPr>
              <w:t>Jun 25</w:t>
            </w:r>
          </w:p>
        </w:tc>
        <w:tc>
          <w:tcPr>
            <w:tcW w:w="1140" w:type="dxa"/>
            <w:vAlign w:val="bottom"/>
            <w:tcBorders>
              <w:bottom w:val="single" w:sz="8" w:color="auto"/>
              <w:right w:val="single" w:sz="8" w:color="auto"/>
            </w:tcBorders>
            <w:shd w:val="clear" w:color="auto" w:fill="33CCCC"/>
          </w:tcPr>
          <w:p>
            <w:pPr>
              <w:ind w:left="400"/>
              <w:spacing w:after="0" w:line="206" w:lineRule="exact"/>
              <w:rPr>
                <w:sz w:val="20"/>
                <w:szCs w:val="20"/>
                <w:color w:val="auto"/>
              </w:rPr>
            </w:pPr>
            <w:r>
              <w:rPr>
                <w:rFonts w:ascii="Calibri" w:cs="Calibri" w:eastAsia="Calibri" w:hAnsi="Calibri"/>
                <w:sz w:val="17"/>
                <w:szCs w:val="17"/>
                <w:b w:val="1"/>
                <w:bCs w:val="1"/>
                <w:color w:val="FFFFFF"/>
              </w:rPr>
              <w:t>QoQ</w:t>
            </w:r>
          </w:p>
        </w:tc>
        <w:tc>
          <w:tcPr>
            <w:tcW w:w="1140" w:type="dxa"/>
            <w:vAlign w:val="bottom"/>
            <w:tcBorders>
              <w:bottom w:val="single" w:sz="8" w:color="auto"/>
              <w:right w:val="single" w:sz="8" w:color="auto"/>
            </w:tcBorders>
            <w:shd w:val="clear" w:color="auto" w:fill="33CCCC"/>
          </w:tcPr>
          <w:p>
            <w:pPr>
              <w:ind w:left="420"/>
              <w:spacing w:after="0" w:line="206" w:lineRule="exact"/>
              <w:rPr>
                <w:sz w:val="20"/>
                <w:szCs w:val="20"/>
                <w:color w:val="auto"/>
              </w:rPr>
            </w:pPr>
            <w:r>
              <w:rPr>
                <w:rFonts w:ascii="Calibri" w:cs="Calibri" w:eastAsia="Calibri" w:hAnsi="Calibri"/>
                <w:sz w:val="17"/>
                <w:szCs w:val="17"/>
                <w:b w:val="1"/>
                <w:bCs w:val="1"/>
                <w:color w:val="FFFFFF"/>
              </w:rPr>
              <w:t>YoY</w:t>
            </w:r>
          </w:p>
        </w:tc>
      </w:tr>
      <w:tr>
        <w:trPr>
          <w:trHeight w:val="181"/>
        </w:trPr>
        <w:tc>
          <w:tcPr>
            <w:tcW w:w="3380" w:type="dxa"/>
            <w:vAlign w:val="bottom"/>
            <w:tcBorders>
              <w:left w:val="single" w:sz="8" w:color="auto"/>
              <w:right w:val="single" w:sz="8" w:color="auto"/>
            </w:tcBorders>
          </w:tcPr>
          <w:p>
            <w:pPr>
              <w:spacing w:after="0" w:line="181" w:lineRule="exact"/>
              <w:rPr>
                <w:sz w:val="20"/>
                <w:szCs w:val="20"/>
                <w:color w:val="auto"/>
              </w:rPr>
            </w:pPr>
            <w:r>
              <w:rPr>
                <w:rFonts w:ascii="Calibri" w:cs="Calibri" w:eastAsia="Calibri" w:hAnsi="Calibri"/>
                <w:sz w:val="13"/>
                <w:szCs w:val="13"/>
                <w:color w:val="auto"/>
              </w:rPr>
              <w:t xml:space="preserve">Branches </w:t>
            </w:r>
            <w:r>
              <w:rPr>
                <w:rFonts w:ascii="Calibri" w:cs="Calibri" w:eastAsia="Calibri" w:hAnsi="Calibri"/>
                <w:sz w:val="19"/>
                <w:szCs w:val="19"/>
                <w:color w:val="auto"/>
                <w:vertAlign w:val="superscript"/>
              </w:rPr>
              <w:t>(2)</w:t>
            </w:r>
          </w:p>
        </w:tc>
        <w:tc>
          <w:tcPr>
            <w:tcW w:w="1080" w:type="dxa"/>
            <w:vAlign w:val="bottom"/>
          </w:tcPr>
          <w:p>
            <w:pPr>
              <w:jc w:val="center"/>
              <w:spacing w:after="0" w:line="181" w:lineRule="exact"/>
              <w:rPr>
                <w:sz w:val="20"/>
                <w:szCs w:val="20"/>
                <w:color w:val="auto"/>
              </w:rPr>
            </w:pPr>
            <w:r>
              <w:rPr>
                <w:rFonts w:ascii="Calibri" w:cs="Calibri" w:eastAsia="Calibri" w:hAnsi="Calibri"/>
                <w:sz w:val="17"/>
                <w:szCs w:val="17"/>
                <w:color w:val="auto"/>
              </w:rPr>
              <w:t>650</w:t>
            </w:r>
          </w:p>
        </w:tc>
        <w:tc>
          <w:tcPr>
            <w:tcW w:w="1140" w:type="dxa"/>
            <w:vAlign w:val="bottom"/>
          </w:tcPr>
          <w:p>
            <w:pPr>
              <w:jc w:val="center"/>
              <w:spacing w:after="0" w:line="181" w:lineRule="exact"/>
              <w:rPr>
                <w:sz w:val="20"/>
                <w:szCs w:val="20"/>
                <w:color w:val="auto"/>
              </w:rPr>
            </w:pPr>
            <w:r>
              <w:rPr>
                <w:rFonts w:ascii="Calibri" w:cs="Calibri" w:eastAsia="Calibri" w:hAnsi="Calibri"/>
                <w:sz w:val="17"/>
                <w:szCs w:val="17"/>
                <w:color w:val="auto"/>
              </w:rPr>
              <w:t>648</w:t>
            </w:r>
          </w:p>
        </w:tc>
        <w:tc>
          <w:tcPr>
            <w:tcW w:w="112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color w:val="auto"/>
              </w:rPr>
              <w:t>649</w:t>
            </w:r>
          </w:p>
        </w:tc>
        <w:tc>
          <w:tcPr>
            <w:tcW w:w="114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color w:val="auto"/>
                <w:w w:val="92"/>
              </w:rPr>
              <w:t>1</w:t>
            </w:r>
          </w:p>
        </w:tc>
        <w:tc>
          <w:tcPr>
            <w:tcW w:w="114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color w:val="auto"/>
              </w:rPr>
              <w:t>-1</w:t>
            </w:r>
          </w:p>
        </w:tc>
      </w:tr>
      <w:tr>
        <w:trPr>
          <w:trHeight w:val="206"/>
        </w:trPr>
        <w:tc>
          <w:tcPr>
            <w:tcW w:w="3380" w:type="dxa"/>
            <w:vAlign w:val="bottom"/>
            <w:tcBorders>
              <w:left w:val="single" w:sz="8" w:color="auto"/>
              <w:right w:val="single" w:sz="8" w:color="auto"/>
            </w:tcBorders>
          </w:tcPr>
          <w:p>
            <w:pPr>
              <w:spacing w:after="0" w:line="206" w:lineRule="exact"/>
              <w:rPr>
                <w:sz w:val="20"/>
                <w:szCs w:val="20"/>
                <w:color w:val="auto"/>
              </w:rPr>
            </w:pPr>
            <w:r>
              <w:rPr>
                <w:rFonts w:ascii="Calibri" w:cs="Calibri" w:eastAsia="Calibri" w:hAnsi="Calibri"/>
                <w:sz w:val="17"/>
                <w:szCs w:val="17"/>
                <w:color w:val="auto"/>
              </w:rPr>
              <w:t>ATMs</w:t>
            </w:r>
          </w:p>
        </w:tc>
        <w:tc>
          <w:tcPr>
            <w:tcW w:w="1080" w:type="dxa"/>
            <w:vAlign w:val="bottom"/>
          </w:tcPr>
          <w:p>
            <w:pPr>
              <w:jc w:val="center"/>
              <w:spacing w:after="0" w:line="206" w:lineRule="exact"/>
              <w:rPr>
                <w:sz w:val="20"/>
                <w:szCs w:val="20"/>
                <w:color w:val="auto"/>
              </w:rPr>
            </w:pPr>
            <w:r>
              <w:rPr>
                <w:rFonts w:ascii="Calibri" w:cs="Calibri" w:eastAsia="Calibri" w:hAnsi="Calibri"/>
                <w:sz w:val="17"/>
                <w:szCs w:val="17"/>
                <w:color w:val="auto"/>
                <w:w w:val="97"/>
              </w:rPr>
              <w:t>2,737</w:t>
            </w:r>
          </w:p>
        </w:tc>
        <w:tc>
          <w:tcPr>
            <w:tcW w:w="1140" w:type="dxa"/>
            <w:vAlign w:val="bottom"/>
          </w:tcPr>
          <w:p>
            <w:pPr>
              <w:jc w:val="center"/>
              <w:spacing w:after="0" w:line="206" w:lineRule="exact"/>
              <w:rPr>
                <w:sz w:val="20"/>
                <w:szCs w:val="20"/>
                <w:color w:val="auto"/>
              </w:rPr>
            </w:pPr>
            <w:r>
              <w:rPr>
                <w:rFonts w:ascii="Calibri" w:cs="Calibri" w:eastAsia="Calibri" w:hAnsi="Calibri"/>
                <w:sz w:val="17"/>
                <w:szCs w:val="17"/>
                <w:color w:val="auto"/>
                <w:w w:val="97"/>
              </w:rPr>
              <w:t>2,787</w:t>
            </w:r>
          </w:p>
        </w:tc>
        <w:tc>
          <w:tcPr>
            <w:tcW w:w="112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7"/>
              </w:rPr>
              <w:t>2,763</w:t>
            </w:r>
          </w:p>
        </w:tc>
        <w:tc>
          <w:tcPr>
            <w:tcW w:w="114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(24)</w:t>
            </w:r>
          </w:p>
        </w:tc>
        <w:tc>
          <w:tcPr>
            <w:tcW w:w="114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26</w:t>
            </w:r>
          </w:p>
        </w:tc>
      </w:tr>
      <w:tr>
        <w:trPr>
          <w:trHeight w:val="208"/>
        </w:trPr>
        <w:tc>
          <w:tcPr>
            <w:tcW w:w="338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7"/>
                <w:szCs w:val="17"/>
                <w:color w:val="auto"/>
              </w:rPr>
              <w:t>Agents</w:t>
            </w:r>
          </w:p>
        </w:tc>
        <w:tc>
          <w:tcPr>
            <w:tcW w:w="1080" w:type="dxa"/>
            <w:vAlign w:val="bottom"/>
          </w:tcPr>
          <w:p>
            <w:pPr>
              <w:jc w:val="center"/>
              <w:spacing w:after="0"/>
              <w:rPr>
                <w:sz w:val="20"/>
                <w:szCs w:val="20"/>
                <w:color w:val="auto"/>
              </w:rPr>
            </w:pPr>
            <w:r>
              <w:rPr>
                <w:rFonts w:ascii="Calibri" w:cs="Calibri" w:eastAsia="Calibri" w:hAnsi="Calibri"/>
                <w:sz w:val="17"/>
                <w:szCs w:val="17"/>
                <w:color w:val="auto"/>
                <w:w w:val="97"/>
              </w:rPr>
              <w:t>11,328</w:t>
            </w:r>
          </w:p>
        </w:tc>
        <w:tc>
          <w:tcPr>
            <w:tcW w:w="1140" w:type="dxa"/>
            <w:vAlign w:val="bottom"/>
          </w:tcPr>
          <w:p>
            <w:pPr>
              <w:jc w:val="center"/>
              <w:spacing w:after="0"/>
              <w:rPr>
                <w:sz w:val="20"/>
                <w:szCs w:val="20"/>
                <w:color w:val="auto"/>
              </w:rPr>
            </w:pPr>
            <w:r>
              <w:rPr>
                <w:rFonts w:ascii="Calibri" w:cs="Calibri" w:eastAsia="Calibri" w:hAnsi="Calibri"/>
                <w:sz w:val="17"/>
                <w:szCs w:val="17"/>
                <w:color w:val="auto"/>
              </w:rPr>
              <w:t>12,448</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12,386</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(62)</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1,058</w:t>
            </w:r>
          </w:p>
        </w:tc>
      </w:tr>
      <w:tr>
        <w:trPr>
          <w:trHeight w:val="23"/>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00"/>
        </w:trPr>
        <w:tc>
          <w:tcPr>
            <w:tcW w:w="3380" w:type="dxa"/>
            <w:vAlign w:val="bottom"/>
            <w:tcBorders>
              <w:left w:val="single" w:sz="8" w:color="auto"/>
              <w:bottom w:val="single" w:sz="8" w:color="auto"/>
              <w:right w:val="single" w:sz="8" w:color="auto"/>
            </w:tcBorders>
          </w:tcPr>
          <w:p>
            <w:pPr>
              <w:spacing w:after="0" w:line="200" w:lineRule="exact"/>
              <w:rPr>
                <w:sz w:val="20"/>
                <w:szCs w:val="20"/>
                <w:color w:val="auto"/>
              </w:rPr>
            </w:pPr>
            <w:r>
              <w:rPr>
                <w:rFonts w:ascii="Calibri" w:cs="Calibri" w:eastAsia="Calibri" w:hAnsi="Calibri"/>
                <w:sz w:val="17"/>
                <w:szCs w:val="17"/>
                <w:b w:val="1"/>
                <w:bCs w:val="1"/>
                <w:color w:val="auto"/>
              </w:rPr>
              <w:t>Total</w:t>
            </w:r>
          </w:p>
        </w:tc>
        <w:tc>
          <w:tcPr>
            <w:tcW w:w="108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14,715</w:t>
            </w:r>
          </w:p>
        </w:tc>
        <w:tc>
          <w:tcPr>
            <w:tcW w:w="114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15,883</w:t>
            </w:r>
          </w:p>
        </w:tc>
        <w:tc>
          <w:tcPr>
            <w:tcW w:w="112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15,798</w:t>
            </w:r>
          </w:p>
        </w:tc>
        <w:tc>
          <w:tcPr>
            <w:tcW w:w="114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(85)</w:t>
            </w:r>
          </w:p>
        </w:tc>
        <w:tc>
          <w:tcPr>
            <w:tcW w:w="114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7"/>
              </w:rPr>
              <w:t>1,083</w:t>
            </w:r>
          </w:p>
        </w:tc>
      </w:tr>
    </w:tbl>
    <w:p>
      <w:pPr>
        <w:spacing w:after="0" w:line="180" w:lineRule="exact"/>
        <w:rPr>
          <w:sz w:val="20"/>
          <w:szCs w:val="20"/>
          <w:color w:val="auto"/>
        </w:rPr>
      </w:pPr>
    </w:p>
    <w:p>
      <w:pPr>
        <w:ind w:left="2080" w:hanging="203"/>
        <w:spacing w:after="0"/>
        <w:tabs>
          <w:tab w:leader="none" w:pos="2080" w:val="left"/>
        </w:tabs>
        <w:numPr>
          <w:ilvl w:val="0"/>
          <w:numId w:val="55"/>
        </w:numPr>
        <w:rPr>
          <w:rFonts w:ascii="Calibri" w:cs="Calibri" w:eastAsia="Calibri" w:hAnsi="Calibri"/>
          <w:sz w:val="11"/>
          <w:szCs w:val="11"/>
          <w:color w:val="auto"/>
        </w:rPr>
      </w:pPr>
      <w:r>
        <w:rPr>
          <w:rFonts w:ascii="Calibri" w:cs="Calibri" w:eastAsia="Calibri" w:hAnsi="Calibri"/>
          <w:sz w:val="11"/>
          <w:szCs w:val="11"/>
          <w:color w:val="auto"/>
        </w:rPr>
        <w:t>Includes Physical Point of Contact of BCP Stand-Alone, Mibanco and BCP Bolivia</w:t>
      </w:r>
    </w:p>
    <w:p>
      <w:pPr>
        <w:ind w:left="2080" w:hanging="203"/>
        <w:spacing w:after="0" w:line="232" w:lineRule="auto"/>
        <w:tabs>
          <w:tab w:leader="none" w:pos="2080" w:val="left"/>
        </w:tabs>
        <w:numPr>
          <w:ilvl w:val="0"/>
          <w:numId w:val="55"/>
        </w:numPr>
        <w:rPr>
          <w:rFonts w:ascii="Calibri" w:cs="Calibri" w:eastAsia="Calibri" w:hAnsi="Calibri"/>
          <w:sz w:val="11"/>
          <w:szCs w:val="11"/>
          <w:color w:val="auto"/>
        </w:rPr>
      </w:pPr>
      <w:r>
        <w:rPr>
          <w:rFonts w:ascii="Calibri" w:cs="Calibri" w:eastAsia="Calibri" w:hAnsi="Calibri"/>
          <w:sz w:val="11"/>
          <w:szCs w:val="11"/>
          <w:color w:val="auto"/>
        </w:rPr>
        <w:t>Includes Banco de la Nacion branches, which in June 24 were 36, in March 25 were 36 and in June 25 were 36</w:t>
      </w:r>
    </w:p>
    <w:p>
      <w:pPr>
        <w:spacing w:after="0" w:line="22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12.6. Regulatory Capital</w:t>
      </w:r>
    </w:p>
    <w:p>
      <w:pPr>
        <w:spacing w:after="0" w:line="197"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Regulatory Capital and Capital Adequacy Ratos</w:t>
      </w:r>
    </w:p>
    <w:p>
      <w:pPr>
        <w:spacing w:after="0" w:line="2"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(IFRS)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540" w:type="dxa"/>
            <w:vAlign w:val="bottom"/>
            <w:tcBorders>
              <w:top w:val="single" w:sz="8" w:color="auto"/>
              <w:left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1"/>
                <w:szCs w:val="11"/>
                <w:b w:val="1"/>
                <w:bCs w:val="1"/>
                <w:i w:val="1"/>
                <w:iCs w:val="1"/>
                <w:color w:val="FFFFFF"/>
              </w:rPr>
              <w:t>Regulatory Capital and Capital Adequacy Ratos</w:t>
            </w:r>
          </w:p>
        </w:tc>
        <w:tc>
          <w:tcPr>
            <w:tcW w:w="1180" w:type="dxa"/>
            <w:vAlign w:val="bottom"/>
            <w:tcBorders>
              <w:top w:val="single" w:sz="8" w:color="auto"/>
            </w:tcBorders>
            <w:shd w:val="clear" w:color="auto" w:fill="33CCCC"/>
          </w:tcPr>
          <w:p>
            <w:pPr>
              <w:spacing w:after="0"/>
              <w:rPr>
                <w:sz w:val="12"/>
                <w:szCs w:val="12"/>
                <w:color w:val="auto"/>
              </w:rPr>
            </w:pPr>
          </w:p>
        </w:tc>
        <w:tc>
          <w:tcPr>
            <w:tcW w:w="126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5"/>
              </w:rPr>
              <w:t>As of</w:t>
            </w:r>
          </w:p>
        </w:tc>
        <w:tc>
          <w:tcPr>
            <w:tcW w:w="1280" w:type="dxa"/>
            <w:vAlign w:val="bottom"/>
            <w:tcBorders>
              <w:top w:val="single" w:sz="8" w:color="auto"/>
              <w:right w:val="single" w:sz="8" w:color="auto"/>
            </w:tcBorders>
            <w:shd w:val="clear" w:color="auto" w:fill="33CCCC"/>
          </w:tcPr>
          <w:p>
            <w:pPr>
              <w:spacing w:after="0"/>
              <w:rPr>
                <w:sz w:val="12"/>
                <w:szCs w:val="12"/>
                <w:color w:val="auto"/>
              </w:rPr>
            </w:pPr>
          </w:p>
        </w:tc>
        <w:tc>
          <w:tcPr>
            <w:tcW w:w="1020" w:type="dxa"/>
            <w:vAlign w:val="bottom"/>
            <w:tcBorders>
              <w:top w:val="single" w:sz="8" w:color="auto"/>
            </w:tcBorders>
            <w:shd w:val="clear" w:color="auto" w:fill="33CCCC"/>
          </w:tcPr>
          <w:p>
            <w:pPr>
              <w:spacing w:after="0"/>
              <w:rPr>
                <w:sz w:val="12"/>
                <w:szCs w:val="12"/>
                <w:color w:val="auto"/>
              </w:rPr>
            </w:pPr>
          </w:p>
        </w:tc>
        <w:tc>
          <w:tcPr>
            <w:tcW w:w="1960" w:type="dxa"/>
            <w:vAlign w:val="bottom"/>
            <w:tcBorders>
              <w:top w:val="single" w:sz="8" w:color="auto"/>
            </w:tcBorders>
            <w:shd w:val="clear" w:color="auto" w:fill="33CCCC"/>
          </w:tcPr>
          <w:p>
            <w:pPr>
              <w:ind w:left="260"/>
              <w:spacing w:after="0"/>
              <w:rPr>
                <w:sz w:val="20"/>
                <w:szCs w:val="20"/>
                <w:color w:val="auto"/>
              </w:rPr>
            </w:pPr>
            <w:r>
              <w:rPr>
                <w:rFonts w:ascii="Calibri" w:cs="Calibri" w:eastAsia="Calibri" w:hAnsi="Calibri"/>
                <w:sz w:val="11"/>
                <w:szCs w:val="11"/>
                <w:b w:val="1"/>
                <w:bCs w:val="1"/>
                <w:color w:val="FFFFFF"/>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54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1"/>
                <w:szCs w:val="11"/>
                <w:b w:val="1"/>
                <w:bCs w:val="1"/>
                <w:color w:val="FFFFFF"/>
              </w:rPr>
              <w:t>S(000)</w:t>
            </w:r>
          </w:p>
        </w:tc>
        <w:tc>
          <w:tcPr>
            <w:tcW w:w="1180" w:type="dxa"/>
            <w:vAlign w:val="bottom"/>
            <w:vMerge w:val="restart"/>
            <w:shd w:val="clear" w:color="auto" w:fill="33CCCC"/>
          </w:tcPr>
          <w:p>
            <w:pPr>
              <w:ind w:left="440"/>
              <w:spacing w:after="0"/>
              <w:rPr>
                <w:sz w:val="20"/>
                <w:szCs w:val="20"/>
                <w:color w:val="auto"/>
              </w:rPr>
            </w:pPr>
            <w:r>
              <w:rPr>
                <w:rFonts w:ascii="Calibri" w:cs="Calibri" w:eastAsia="Calibri" w:hAnsi="Calibri"/>
                <w:sz w:val="11"/>
                <w:szCs w:val="11"/>
                <w:b w:val="1"/>
                <w:bCs w:val="1"/>
                <w:color w:val="FFFFFF"/>
              </w:rPr>
              <w:t>Jun 24</w:t>
            </w:r>
          </w:p>
        </w:tc>
        <w:tc>
          <w:tcPr>
            <w:tcW w:w="1260" w:type="dxa"/>
            <w:vAlign w:val="bottom"/>
            <w:vMerge w:val="restart"/>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Mar 25</w:t>
            </w:r>
          </w:p>
        </w:tc>
        <w:tc>
          <w:tcPr>
            <w:tcW w:w="1280" w:type="dxa"/>
            <w:vAlign w:val="bottom"/>
            <w:tcBorders>
              <w:right w:val="single" w:sz="8" w:color="auto"/>
            </w:tcBorders>
            <w:vMerge w:val="restart"/>
            <w:shd w:val="clear" w:color="auto" w:fill="33CCCC"/>
          </w:tcPr>
          <w:p>
            <w:pPr>
              <w:ind w:left="480"/>
              <w:spacing w:after="0"/>
              <w:rPr>
                <w:sz w:val="20"/>
                <w:szCs w:val="20"/>
                <w:color w:val="auto"/>
              </w:rPr>
            </w:pPr>
            <w:r>
              <w:rPr>
                <w:rFonts w:ascii="Calibri" w:cs="Calibri" w:eastAsia="Calibri" w:hAnsi="Calibri"/>
                <w:sz w:val="11"/>
                <w:szCs w:val="11"/>
                <w:b w:val="1"/>
                <w:bCs w:val="1"/>
                <w:color w:val="FFFFFF"/>
              </w:rPr>
              <w:t>Jun 25</w:t>
            </w:r>
          </w:p>
        </w:tc>
        <w:tc>
          <w:tcPr>
            <w:tcW w:w="1020" w:type="dxa"/>
            <w:vAlign w:val="bottom"/>
            <w:vMerge w:val="restart"/>
            <w:shd w:val="clear" w:color="auto" w:fill="33CCCC"/>
          </w:tcPr>
          <w:p>
            <w:pPr>
              <w:ind w:left="500"/>
              <w:spacing w:after="0"/>
              <w:rPr>
                <w:sz w:val="20"/>
                <w:szCs w:val="20"/>
                <w:color w:val="auto"/>
              </w:rPr>
            </w:pPr>
            <w:r>
              <w:rPr>
                <w:rFonts w:ascii="Calibri" w:cs="Calibri" w:eastAsia="Calibri" w:hAnsi="Calibri"/>
                <w:sz w:val="11"/>
                <w:szCs w:val="11"/>
                <w:b w:val="1"/>
                <w:bCs w:val="1"/>
                <w:color w:val="FFFFFF"/>
              </w:rPr>
              <w:t>QoQ</w:t>
            </w:r>
          </w:p>
        </w:tc>
        <w:tc>
          <w:tcPr>
            <w:tcW w:w="1960" w:type="dxa"/>
            <w:vAlign w:val="bottom"/>
            <w:vMerge w:val="restart"/>
            <w:shd w:val="clear" w:color="auto" w:fill="33CCCC"/>
          </w:tcPr>
          <w:p>
            <w:pPr>
              <w:jc w:val="center"/>
              <w:ind w:left="164"/>
              <w:spacing w:after="0"/>
              <w:rPr>
                <w:sz w:val="20"/>
                <w:szCs w:val="20"/>
                <w:color w:val="auto"/>
              </w:rPr>
            </w:pPr>
            <w:r>
              <w:rPr>
                <w:rFonts w:ascii="Calibri" w:cs="Calibri" w:eastAsia="Calibri" w:hAnsi="Calibri"/>
                <w:sz w:val="11"/>
                <w:szCs w:val="11"/>
                <w:b w:val="1"/>
                <w:bCs w:val="1"/>
                <w:color w:val="FFFFFF"/>
              </w:rPr>
              <w:t>YoY</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540" w:type="dxa"/>
            <w:vAlign w:val="bottom"/>
            <w:tcBorders>
              <w:left w:val="single" w:sz="8" w:color="auto"/>
              <w:bottom w:val="single" w:sz="8" w:color="auto"/>
              <w:right w:val="single" w:sz="8" w:color="auto"/>
            </w:tcBorders>
            <w:vMerge w:val="continue"/>
            <w:shd w:val="clear" w:color="auto" w:fill="33CCCC"/>
          </w:tcPr>
          <w:p>
            <w:pPr>
              <w:spacing w:after="0"/>
              <w:rPr>
                <w:sz w:val="10"/>
                <w:szCs w:val="10"/>
                <w:color w:val="auto"/>
              </w:rPr>
            </w:pPr>
          </w:p>
        </w:tc>
        <w:tc>
          <w:tcPr>
            <w:tcW w:w="1180" w:type="dxa"/>
            <w:vAlign w:val="bottom"/>
            <w:tcBorders>
              <w:bottom w:val="single" w:sz="8" w:color="auto"/>
            </w:tcBorders>
            <w:vMerge w:val="continue"/>
            <w:shd w:val="clear" w:color="auto" w:fill="33CCCC"/>
          </w:tcPr>
          <w:p>
            <w:pPr>
              <w:spacing w:after="0"/>
              <w:rPr>
                <w:sz w:val="10"/>
                <w:szCs w:val="10"/>
                <w:color w:val="auto"/>
              </w:rPr>
            </w:pPr>
          </w:p>
        </w:tc>
        <w:tc>
          <w:tcPr>
            <w:tcW w:w="1260" w:type="dxa"/>
            <w:vAlign w:val="bottom"/>
            <w:tcBorders>
              <w:bottom w:val="single" w:sz="8" w:color="auto"/>
            </w:tcBorders>
            <w:vMerge w:val="continue"/>
            <w:shd w:val="clear" w:color="auto" w:fill="33CCCC"/>
          </w:tcPr>
          <w:p>
            <w:pPr>
              <w:spacing w:after="0"/>
              <w:rPr>
                <w:sz w:val="10"/>
                <w:szCs w:val="10"/>
                <w:color w:val="auto"/>
              </w:rPr>
            </w:pPr>
          </w:p>
        </w:tc>
        <w:tc>
          <w:tcPr>
            <w:tcW w:w="1280" w:type="dxa"/>
            <w:vAlign w:val="bottom"/>
            <w:tcBorders>
              <w:bottom w:val="single" w:sz="8" w:color="auto"/>
              <w:right w:val="single" w:sz="8" w:color="auto"/>
            </w:tcBorders>
            <w:vMerge w:val="continue"/>
            <w:shd w:val="clear" w:color="auto" w:fill="33CCCC"/>
          </w:tcPr>
          <w:p>
            <w:pPr>
              <w:spacing w:after="0"/>
              <w:rPr>
                <w:sz w:val="10"/>
                <w:szCs w:val="10"/>
                <w:color w:val="auto"/>
              </w:rPr>
            </w:pPr>
          </w:p>
        </w:tc>
        <w:tc>
          <w:tcPr>
            <w:tcW w:w="1020" w:type="dxa"/>
            <w:vAlign w:val="bottom"/>
            <w:tcBorders>
              <w:bottom w:val="single" w:sz="8" w:color="auto"/>
            </w:tcBorders>
            <w:vMerge w:val="continue"/>
            <w:shd w:val="clear" w:color="auto" w:fill="33CCCC"/>
          </w:tcPr>
          <w:p>
            <w:pPr>
              <w:spacing w:after="0"/>
              <w:rPr>
                <w:sz w:val="10"/>
                <w:szCs w:val="10"/>
                <w:color w:val="auto"/>
              </w:rPr>
            </w:pPr>
          </w:p>
        </w:tc>
        <w:tc>
          <w:tcPr>
            <w:tcW w:w="1960" w:type="dxa"/>
            <w:vAlign w:val="bottom"/>
            <w:tcBorders>
              <w:bottom w:val="single" w:sz="8" w:color="auto"/>
            </w:tcBorders>
            <w:vMerge w:val="continue"/>
            <w:shd w:val="clear" w:color="auto" w:fill="33CCCC"/>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540" w:type="dxa"/>
            <w:vAlign w:val="bottom"/>
            <w:tcBorders>
              <w:left w:val="single" w:sz="8" w:color="auto"/>
              <w:right w:val="single" w:sz="8" w:color="auto"/>
            </w:tcBorders>
          </w:tcPr>
          <w:p>
            <w:pPr>
              <w:ind w:left="180"/>
              <w:spacing w:after="0" w:line="114" w:lineRule="exact"/>
              <w:rPr>
                <w:sz w:val="20"/>
                <w:szCs w:val="20"/>
                <w:color w:val="auto"/>
              </w:rPr>
            </w:pPr>
            <w:r>
              <w:rPr>
                <w:rFonts w:ascii="Calibri" w:cs="Calibri" w:eastAsia="Calibri" w:hAnsi="Calibri"/>
                <w:sz w:val="11"/>
                <w:szCs w:val="11"/>
                <w:color w:val="auto"/>
              </w:rPr>
              <w:t>Capital Stock</w:t>
            </w:r>
          </w:p>
        </w:tc>
        <w:tc>
          <w:tcPr>
            <w:tcW w:w="1180" w:type="dxa"/>
            <w:vAlign w:val="bottom"/>
          </w:tcPr>
          <w:p>
            <w:pPr>
              <w:jc w:val="center"/>
              <w:spacing w:after="0" w:line="114" w:lineRule="exact"/>
              <w:rPr>
                <w:sz w:val="20"/>
                <w:szCs w:val="20"/>
                <w:color w:val="auto"/>
              </w:rPr>
            </w:pPr>
            <w:r>
              <w:rPr>
                <w:rFonts w:ascii="Calibri" w:cs="Calibri" w:eastAsia="Calibri" w:hAnsi="Calibri"/>
                <w:sz w:val="11"/>
                <w:szCs w:val="11"/>
                <w:color w:val="auto"/>
              </w:rPr>
              <w:t>1,318,993</w:t>
            </w:r>
          </w:p>
        </w:tc>
        <w:tc>
          <w:tcPr>
            <w:tcW w:w="1260" w:type="dxa"/>
            <w:vAlign w:val="bottom"/>
          </w:tcPr>
          <w:p>
            <w:pPr>
              <w:jc w:val="center"/>
              <w:spacing w:after="0" w:line="114" w:lineRule="exact"/>
              <w:rPr>
                <w:sz w:val="20"/>
                <w:szCs w:val="20"/>
                <w:color w:val="auto"/>
              </w:rPr>
            </w:pPr>
            <w:r>
              <w:rPr>
                <w:rFonts w:ascii="Calibri" w:cs="Calibri" w:eastAsia="Calibri" w:hAnsi="Calibri"/>
                <w:sz w:val="11"/>
                <w:szCs w:val="11"/>
                <w:color w:val="auto"/>
              </w:rPr>
              <w:t>1,318,993</w:t>
            </w:r>
          </w:p>
        </w:tc>
        <w:tc>
          <w:tcPr>
            <w:tcW w:w="128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1"/>
                <w:szCs w:val="11"/>
                <w:color w:val="auto"/>
              </w:rPr>
              <w:t>1,318,993</w:t>
            </w:r>
          </w:p>
        </w:tc>
        <w:tc>
          <w:tcPr>
            <w:tcW w:w="1020" w:type="dxa"/>
            <w:vAlign w:val="bottom"/>
          </w:tcPr>
          <w:p>
            <w:pPr>
              <w:jc w:val="center"/>
              <w:ind w:left="164"/>
              <w:spacing w:after="0" w:line="114" w:lineRule="exact"/>
              <w:rPr>
                <w:sz w:val="20"/>
                <w:szCs w:val="20"/>
                <w:color w:val="auto"/>
              </w:rPr>
            </w:pPr>
            <w:r>
              <w:rPr>
                <w:rFonts w:ascii="Calibri" w:cs="Calibri" w:eastAsia="Calibri" w:hAnsi="Calibri"/>
                <w:sz w:val="11"/>
                <w:szCs w:val="11"/>
                <w:color w:val="auto"/>
              </w:rPr>
              <w:t>-</w:t>
            </w:r>
          </w:p>
        </w:tc>
        <w:tc>
          <w:tcPr>
            <w:tcW w:w="1960" w:type="dxa"/>
            <w:vAlign w:val="bottom"/>
          </w:tcPr>
          <w:p>
            <w:pPr>
              <w:jc w:val="center"/>
              <w:ind w:left="164"/>
              <w:spacing w:after="0"/>
              <w:rPr>
                <w:sz w:val="20"/>
                <w:szCs w:val="20"/>
                <w:color w:val="auto"/>
              </w:rPr>
            </w:pPr>
            <w:r>
              <w:rPr>
                <w:rFonts w:ascii="Calibri" w:cs="Calibri" w:eastAsia="Calibri" w:hAnsi="Calibri"/>
                <w:sz w:val="9"/>
                <w:szCs w:val="9"/>
                <w:color w:val="auto"/>
                <w:w w:val="70"/>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Treasury Stocks</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(208,918)</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(209,845)</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(209,845)</w:t>
            </w:r>
          </w:p>
        </w:tc>
        <w:tc>
          <w:tcPr>
            <w:tcW w:w="102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0.0%</w:t>
            </w:r>
          </w:p>
        </w:tc>
        <w:tc>
          <w:tcPr>
            <w:tcW w:w="196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0.4%</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Capital Surplus</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172,303</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124,148</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133,387</w:t>
            </w:r>
          </w:p>
        </w:tc>
        <w:tc>
          <w:tcPr>
            <w:tcW w:w="102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7.4%</w:t>
            </w:r>
          </w:p>
        </w:tc>
        <w:tc>
          <w:tcPr>
            <w:tcW w:w="196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w w:val="97"/>
              </w:rPr>
              <w:t>-22.6%</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Legal and Other Capital reserves</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28,008,038</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32,792,830</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29,602,851</w:t>
            </w:r>
          </w:p>
        </w:tc>
        <w:tc>
          <w:tcPr>
            <w:tcW w:w="102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-9.7%</w:t>
            </w:r>
          </w:p>
        </w:tc>
        <w:tc>
          <w:tcPr>
            <w:tcW w:w="196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5.7%</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Minority interest</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518,838</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476,695</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474,990</w:t>
            </w:r>
          </w:p>
        </w:tc>
        <w:tc>
          <w:tcPr>
            <w:tcW w:w="102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-0.4%</w:t>
            </w:r>
          </w:p>
        </w:tc>
        <w:tc>
          <w:tcPr>
            <w:tcW w:w="196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-8.5%</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 xml:space="preserve">Current and Accumulated Earnings </w:t>
            </w:r>
            <w:r>
              <w:rPr>
                <w:rFonts w:ascii="Calibri" w:cs="Calibri" w:eastAsia="Calibri" w:hAnsi="Calibri"/>
                <w:sz w:val="9"/>
                <w:szCs w:val="9"/>
                <w:color w:val="auto"/>
              </w:rPr>
              <w:t>(1)</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3,914,339</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3,410,505</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5,123,469</w:t>
            </w:r>
          </w:p>
        </w:tc>
        <w:tc>
          <w:tcPr>
            <w:tcW w:w="102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50.2%</w:t>
            </w:r>
          </w:p>
        </w:tc>
        <w:tc>
          <w:tcPr>
            <w:tcW w:w="1960" w:type="dxa"/>
            <w:vAlign w:val="bottom"/>
          </w:tcPr>
          <w:p>
            <w:pPr>
              <w:jc w:val="center"/>
              <w:ind w:left="184"/>
              <w:spacing w:after="0" w:line="130" w:lineRule="exact"/>
              <w:rPr>
                <w:sz w:val="20"/>
                <w:szCs w:val="20"/>
                <w:color w:val="auto"/>
              </w:rPr>
            </w:pPr>
            <w:r>
              <w:rPr>
                <w:rFonts w:ascii="Calibri" w:cs="Calibri" w:eastAsia="Calibri" w:hAnsi="Calibri"/>
                <w:sz w:val="11"/>
                <w:szCs w:val="11"/>
                <w:color w:val="auto"/>
              </w:rPr>
              <w:t>30.9%</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 xml:space="preserve">Unrealized Gains or Losses </w:t>
            </w:r>
            <w:r>
              <w:rPr>
                <w:rFonts w:ascii="Calibri" w:cs="Calibri" w:eastAsia="Calibri" w:hAnsi="Calibri"/>
                <w:sz w:val="9"/>
                <w:szCs w:val="9"/>
                <w:color w:val="auto"/>
              </w:rPr>
              <w:t>(2)</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(936,472)</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(462,800)</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(246,716)</w:t>
            </w:r>
          </w:p>
        </w:tc>
        <w:tc>
          <w:tcPr>
            <w:tcW w:w="102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-46.7%</w:t>
            </w:r>
          </w:p>
        </w:tc>
        <w:tc>
          <w:tcPr>
            <w:tcW w:w="196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w w:val="97"/>
              </w:rPr>
              <w:t>-73.7%</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Goodwill</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(763,671)</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(1,698,492)</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(1,692,823)</w:t>
            </w:r>
          </w:p>
        </w:tc>
        <w:tc>
          <w:tcPr>
            <w:tcW w:w="102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-0.3%</w:t>
            </w:r>
          </w:p>
        </w:tc>
        <w:tc>
          <w:tcPr>
            <w:tcW w:w="196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121.7%</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 xml:space="preserve">Intangible Assets </w:t>
            </w:r>
            <w:r>
              <w:rPr>
                <w:rFonts w:ascii="Calibri" w:cs="Calibri" w:eastAsia="Calibri" w:hAnsi="Calibri"/>
                <w:sz w:val="9"/>
                <w:szCs w:val="9"/>
                <w:color w:val="auto"/>
              </w:rPr>
              <w:t>(3)</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(2,151,581)</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(2,590,377)</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(2,655,440)</w:t>
            </w:r>
          </w:p>
        </w:tc>
        <w:tc>
          <w:tcPr>
            <w:tcW w:w="102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2.5%</w:t>
            </w:r>
          </w:p>
        </w:tc>
        <w:tc>
          <w:tcPr>
            <w:tcW w:w="1960" w:type="dxa"/>
            <w:vAlign w:val="bottom"/>
          </w:tcPr>
          <w:p>
            <w:pPr>
              <w:jc w:val="center"/>
              <w:ind w:left="184"/>
              <w:spacing w:after="0" w:line="130" w:lineRule="exact"/>
              <w:rPr>
                <w:sz w:val="20"/>
                <w:szCs w:val="20"/>
                <w:color w:val="auto"/>
              </w:rPr>
            </w:pPr>
            <w:r>
              <w:rPr>
                <w:rFonts w:ascii="Calibri" w:cs="Calibri" w:eastAsia="Calibri" w:hAnsi="Calibri"/>
                <w:sz w:val="11"/>
                <w:szCs w:val="11"/>
                <w:color w:val="auto"/>
              </w:rPr>
              <w:t>23.4%</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 xml:space="preserve">Deductons in Common Equity Tier 1 instruments </w:t>
            </w:r>
            <w:r>
              <w:rPr>
                <w:rFonts w:ascii="Calibri" w:cs="Calibri" w:eastAsia="Calibri" w:hAnsi="Calibri"/>
                <w:sz w:val="9"/>
                <w:szCs w:val="9"/>
                <w:color w:val="auto"/>
              </w:rPr>
              <w:t>(4)</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(685,466)</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(38,573)</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(73,488)</w:t>
            </w:r>
          </w:p>
        </w:tc>
        <w:tc>
          <w:tcPr>
            <w:tcW w:w="102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90.5%</w:t>
            </w:r>
          </w:p>
        </w:tc>
        <w:tc>
          <w:tcPr>
            <w:tcW w:w="196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w w:val="97"/>
              </w:rPr>
              <w:t>-89.3%</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Subordinated Debt</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5,896,957</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7,892,454</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7,240,645</w:t>
            </w:r>
          </w:p>
        </w:tc>
        <w:tc>
          <w:tcPr>
            <w:tcW w:w="102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-8.3%</w:t>
            </w:r>
          </w:p>
        </w:tc>
        <w:tc>
          <w:tcPr>
            <w:tcW w:w="1960" w:type="dxa"/>
            <w:vAlign w:val="bottom"/>
          </w:tcPr>
          <w:p>
            <w:pPr>
              <w:jc w:val="center"/>
              <w:ind w:left="184"/>
              <w:spacing w:after="0" w:line="130" w:lineRule="exact"/>
              <w:rPr>
                <w:sz w:val="20"/>
                <w:szCs w:val="20"/>
                <w:color w:val="auto"/>
              </w:rPr>
            </w:pPr>
            <w:r>
              <w:rPr>
                <w:rFonts w:ascii="Calibri" w:cs="Calibri" w:eastAsia="Calibri" w:hAnsi="Calibri"/>
                <w:sz w:val="11"/>
                <w:szCs w:val="11"/>
                <w:color w:val="auto"/>
              </w:rPr>
              <w:t>22.8%</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4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 xml:space="preserve">Loan loss reserves </w:t>
            </w:r>
            <w:r>
              <w:rPr>
                <w:rFonts w:ascii="Calibri" w:cs="Calibri" w:eastAsia="Calibri" w:hAnsi="Calibri"/>
                <w:sz w:val="9"/>
                <w:szCs w:val="9"/>
                <w:color w:val="auto"/>
              </w:rPr>
              <w:t>(5)</w:t>
            </w:r>
          </w:p>
        </w:tc>
        <w:tc>
          <w:tcPr>
            <w:tcW w:w="1180" w:type="dxa"/>
            <w:vAlign w:val="bottom"/>
          </w:tcPr>
          <w:p>
            <w:pPr>
              <w:jc w:val="center"/>
              <w:spacing w:after="0" w:line="130" w:lineRule="exact"/>
              <w:rPr>
                <w:sz w:val="20"/>
                <w:szCs w:val="20"/>
                <w:color w:val="auto"/>
              </w:rPr>
            </w:pPr>
            <w:r>
              <w:rPr>
                <w:rFonts w:ascii="Calibri" w:cs="Calibri" w:eastAsia="Calibri" w:hAnsi="Calibri"/>
                <w:sz w:val="11"/>
                <w:szCs w:val="11"/>
                <w:color w:val="auto"/>
              </w:rPr>
              <w:t>2,041,564</w:t>
            </w:r>
          </w:p>
        </w:tc>
        <w:tc>
          <w:tcPr>
            <w:tcW w:w="1260" w:type="dxa"/>
            <w:vAlign w:val="bottom"/>
          </w:tcPr>
          <w:p>
            <w:pPr>
              <w:jc w:val="center"/>
              <w:spacing w:after="0" w:line="130" w:lineRule="exact"/>
              <w:rPr>
                <w:sz w:val="20"/>
                <w:szCs w:val="20"/>
                <w:color w:val="auto"/>
              </w:rPr>
            </w:pPr>
            <w:r>
              <w:rPr>
                <w:rFonts w:ascii="Calibri" w:cs="Calibri" w:eastAsia="Calibri" w:hAnsi="Calibri"/>
                <w:sz w:val="11"/>
                <w:szCs w:val="11"/>
                <w:color w:val="auto"/>
              </w:rPr>
              <w:t>1,972,285</w:t>
            </w:r>
          </w:p>
        </w:tc>
        <w:tc>
          <w:tcPr>
            <w:tcW w:w="12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1,972,667</w:t>
            </w:r>
          </w:p>
        </w:tc>
        <w:tc>
          <w:tcPr>
            <w:tcW w:w="1020" w:type="dxa"/>
            <w:vAlign w:val="bottom"/>
          </w:tcPr>
          <w:p>
            <w:pPr>
              <w:jc w:val="center"/>
              <w:ind w:left="144"/>
              <w:spacing w:after="0" w:line="130" w:lineRule="exact"/>
              <w:rPr>
                <w:sz w:val="20"/>
                <w:szCs w:val="20"/>
                <w:color w:val="auto"/>
              </w:rPr>
            </w:pPr>
            <w:r>
              <w:rPr>
                <w:rFonts w:ascii="Calibri" w:cs="Calibri" w:eastAsia="Calibri" w:hAnsi="Calibri"/>
                <w:sz w:val="11"/>
                <w:szCs w:val="11"/>
                <w:color w:val="auto"/>
              </w:rPr>
              <w:t>0.0%</w:t>
            </w:r>
          </w:p>
        </w:tc>
        <w:tc>
          <w:tcPr>
            <w:tcW w:w="1960" w:type="dxa"/>
            <w:vAlign w:val="bottom"/>
          </w:tcPr>
          <w:p>
            <w:pPr>
              <w:jc w:val="center"/>
              <w:ind w:left="164"/>
              <w:spacing w:after="0" w:line="130" w:lineRule="exact"/>
              <w:rPr>
                <w:sz w:val="20"/>
                <w:szCs w:val="20"/>
                <w:color w:val="auto"/>
              </w:rPr>
            </w:pPr>
            <w:r>
              <w:rPr>
                <w:rFonts w:ascii="Calibri" w:cs="Calibri" w:eastAsia="Calibri" w:hAnsi="Calibri"/>
                <w:sz w:val="11"/>
                <w:szCs w:val="11"/>
                <w:color w:val="auto"/>
              </w:rPr>
              <w:t>-3.4%</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40" w:type="dxa"/>
            <w:vAlign w:val="bottom"/>
            <w:tcBorders>
              <w:left w:val="single" w:sz="8" w:color="auto"/>
              <w:bottom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 xml:space="preserve">Deductons in Tier 2 instruments </w:t>
            </w:r>
            <w:r>
              <w:rPr>
                <w:rFonts w:ascii="Calibri" w:cs="Calibri" w:eastAsia="Calibri" w:hAnsi="Calibri"/>
                <w:sz w:val="9"/>
                <w:szCs w:val="9"/>
                <w:color w:val="auto"/>
              </w:rPr>
              <w:t>(6)</w:t>
            </w:r>
          </w:p>
        </w:tc>
        <w:tc>
          <w:tcPr>
            <w:tcW w:w="118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(973,281)</w:t>
            </w:r>
          </w:p>
        </w:tc>
        <w:tc>
          <w:tcPr>
            <w:tcW w:w="126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(751,236)</w:t>
            </w:r>
          </w:p>
        </w:tc>
        <w:tc>
          <w:tcPr>
            <w:tcW w:w="12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(1,289,380)</w:t>
            </w:r>
          </w:p>
        </w:tc>
        <w:tc>
          <w:tcPr>
            <w:tcW w:w="1020" w:type="dxa"/>
            <w:vAlign w:val="bottom"/>
            <w:tcBorders>
              <w:bottom w:val="single" w:sz="8" w:color="auto"/>
            </w:tcBorders>
          </w:tcPr>
          <w:p>
            <w:pPr>
              <w:jc w:val="center"/>
              <w:ind w:left="164"/>
              <w:spacing w:after="0"/>
              <w:rPr>
                <w:sz w:val="20"/>
                <w:szCs w:val="20"/>
                <w:color w:val="auto"/>
              </w:rPr>
            </w:pPr>
            <w:r>
              <w:rPr>
                <w:rFonts w:ascii="Calibri" w:cs="Calibri" w:eastAsia="Calibri" w:hAnsi="Calibri"/>
                <w:sz w:val="11"/>
                <w:szCs w:val="11"/>
                <w:color w:val="auto"/>
              </w:rPr>
              <w:t>71.6%</w:t>
            </w:r>
          </w:p>
        </w:tc>
        <w:tc>
          <w:tcPr>
            <w:tcW w:w="1960" w:type="dxa"/>
            <w:vAlign w:val="bottom"/>
            <w:tcBorders>
              <w:bottom w:val="single" w:sz="8" w:color="auto"/>
            </w:tcBorders>
          </w:tcPr>
          <w:p>
            <w:pPr>
              <w:jc w:val="center"/>
              <w:ind w:left="184"/>
              <w:spacing w:after="0"/>
              <w:rPr>
                <w:sz w:val="20"/>
                <w:szCs w:val="20"/>
                <w:color w:val="auto"/>
              </w:rPr>
            </w:pPr>
            <w:r>
              <w:rPr>
                <w:rFonts w:ascii="Calibri" w:cs="Calibri" w:eastAsia="Calibri" w:hAnsi="Calibri"/>
                <w:sz w:val="11"/>
                <w:szCs w:val="11"/>
                <w:color w:val="auto"/>
              </w:rPr>
              <w:t>32.5%</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Total Regulatory Capital (A)</w:t>
            </w:r>
          </w:p>
        </w:tc>
        <w:tc>
          <w:tcPr>
            <w:tcW w:w="118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36,151,641</w:t>
            </w:r>
          </w:p>
        </w:tc>
        <w:tc>
          <w:tcPr>
            <w:tcW w:w="126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42,236,587</w:t>
            </w:r>
          </w:p>
        </w:tc>
        <w:tc>
          <w:tcPr>
            <w:tcW w:w="128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39,699,311</w:t>
            </w:r>
          </w:p>
        </w:tc>
        <w:tc>
          <w:tcPr>
            <w:tcW w:w="1020" w:type="dxa"/>
            <w:vAlign w:val="bottom"/>
            <w:tcBorders>
              <w:bottom w:val="single" w:sz="8" w:color="auto"/>
            </w:tcBorders>
          </w:tcPr>
          <w:p>
            <w:pPr>
              <w:jc w:val="center"/>
              <w:ind w:left="144"/>
              <w:spacing w:after="0" w:line="129" w:lineRule="exact"/>
              <w:rPr>
                <w:sz w:val="20"/>
                <w:szCs w:val="20"/>
                <w:color w:val="auto"/>
              </w:rPr>
            </w:pPr>
            <w:r>
              <w:rPr>
                <w:rFonts w:ascii="Calibri" w:cs="Calibri" w:eastAsia="Calibri" w:hAnsi="Calibri"/>
                <w:sz w:val="11"/>
                <w:szCs w:val="11"/>
                <w:b w:val="1"/>
                <w:bCs w:val="1"/>
                <w:color w:val="auto"/>
              </w:rPr>
              <w:t>-6.0%</w:t>
            </w:r>
          </w:p>
        </w:tc>
        <w:tc>
          <w:tcPr>
            <w:tcW w:w="1960" w:type="dxa"/>
            <w:vAlign w:val="bottom"/>
            <w:tcBorders>
              <w:bottom w:val="single" w:sz="8" w:color="auto"/>
            </w:tcBorders>
          </w:tcPr>
          <w:p>
            <w:pPr>
              <w:jc w:val="center"/>
              <w:ind w:left="164"/>
              <w:spacing w:after="0" w:line="129" w:lineRule="exact"/>
              <w:rPr>
                <w:sz w:val="20"/>
                <w:szCs w:val="20"/>
                <w:color w:val="auto"/>
              </w:rPr>
            </w:pPr>
            <w:r>
              <w:rPr>
                <w:rFonts w:ascii="Calibri" w:cs="Calibri" w:eastAsia="Calibri" w:hAnsi="Calibri"/>
                <w:sz w:val="11"/>
                <w:szCs w:val="11"/>
                <w:b w:val="1"/>
                <w:bCs w:val="1"/>
                <w:color w:val="auto"/>
                <w:w w:val="99"/>
              </w:rPr>
              <w:t>9.8%</w:t>
            </w: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Total Regulatory Common Equity Tier 1 Capital (B)</w:t>
            </w:r>
          </w:p>
        </w:tc>
        <w:tc>
          <w:tcPr>
            <w:tcW w:w="11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29,186,401</w:t>
            </w:r>
          </w:p>
        </w:tc>
        <w:tc>
          <w:tcPr>
            <w:tcW w:w="126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33,123,084</w:t>
            </w:r>
          </w:p>
        </w:tc>
        <w:tc>
          <w:tcPr>
            <w:tcW w:w="12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31,775,379</w:t>
            </w:r>
          </w:p>
        </w:tc>
        <w:tc>
          <w:tcPr>
            <w:tcW w:w="1020" w:type="dxa"/>
            <w:vAlign w:val="bottom"/>
            <w:tcBorders>
              <w:bottom w:val="single" w:sz="8" w:color="auto"/>
            </w:tcBorders>
          </w:tcPr>
          <w:p>
            <w:pPr>
              <w:jc w:val="center"/>
              <w:ind w:left="144"/>
              <w:spacing w:after="0" w:line="124" w:lineRule="exact"/>
              <w:rPr>
                <w:sz w:val="20"/>
                <w:szCs w:val="20"/>
                <w:color w:val="auto"/>
              </w:rPr>
            </w:pPr>
            <w:r>
              <w:rPr>
                <w:rFonts w:ascii="Calibri" w:cs="Calibri" w:eastAsia="Calibri" w:hAnsi="Calibri"/>
                <w:sz w:val="11"/>
                <w:szCs w:val="11"/>
                <w:b w:val="1"/>
                <w:bCs w:val="1"/>
                <w:color w:val="auto"/>
              </w:rPr>
              <w:t>-4.1%</w:t>
            </w:r>
          </w:p>
        </w:tc>
        <w:tc>
          <w:tcPr>
            <w:tcW w:w="1960" w:type="dxa"/>
            <w:vAlign w:val="bottom"/>
            <w:tcBorders>
              <w:bottom w:val="single" w:sz="8" w:color="auto"/>
            </w:tcBorders>
          </w:tcPr>
          <w:p>
            <w:pPr>
              <w:jc w:val="center"/>
              <w:ind w:left="164"/>
              <w:spacing w:after="0" w:line="124" w:lineRule="exact"/>
              <w:rPr>
                <w:sz w:val="20"/>
                <w:szCs w:val="20"/>
                <w:color w:val="auto"/>
              </w:rPr>
            </w:pPr>
            <w:r>
              <w:rPr>
                <w:rFonts w:ascii="Calibri" w:cs="Calibri" w:eastAsia="Calibri" w:hAnsi="Calibri"/>
                <w:sz w:val="11"/>
                <w:szCs w:val="11"/>
                <w:b w:val="1"/>
                <w:bCs w:val="1"/>
                <w:color w:val="auto"/>
                <w:w w:val="99"/>
              </w:rPr>
              <w:t>8.9%</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Total Regulatory Tier 1 Capital (C)</w:t>
            </w:r>
          </w:p>
        </w:tc>
        <w:tc>
          <w:tcPr>
            <w:tcW w:w="11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29,186,145</w:t>
            </w:r>
          </w:p>
        </w:tc>
        <w:tc>
          <w:tcPr>
            <w:tcW w:w="126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33,123,084</w:t>
            </w:r>
          </w:p>
        </w:tc>
        <w:tc>
          <w:tcPr>
            <w:tcW w:w="12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31,775,379</w:t>
            </w:r>
          </w:p>
        </w:tc>
        <w:tc>
          <w:tcPr>
            <w:tcW w:w="1020" w:type="dxa"/>
            <w:vAlign w:val="bottom"/>
            <w:tcBorders>
              <w:bottom w:val="single" w:sz="8" w:color="auto"/>
            </w:tcBorders>
          </w:tcPr>
          <w:p>
            <w:pPr>
              <w:jc w:val="center"/>
              <w:ind w:left="144"/>
              <w:spacing w:after="0" w:line="124" w:lineRule="exact"/>
              <w:rPr>
                <w:sz w:val="20"/>
                <w:szCs w:val="20"/>
                <w:color w:val="auto"/>
              </w:rPr>
            </w:pPr>
            <w:r>
              <w:rPr>
                <w:rFonts w:ascii="Calibri" w:cs="Calibri" w:eastAsia="Calibri" w:hAnsi="Calibri"/>
                <w:sz w:val="11"/>
                <w:szCs w:val="11"/>
                <w:b w:val="1"/>
                <w:bCs w:val="1"/>
                <w:color w:val="auto"/>
              </w:rPr>
              <w:t>-4.1%</w:t>
            </w:r>
          </w:p>
        </w:tc>
        <w:tc>
          <w:tcPr>
            <w:tcW w:w="1960" w:type="dxa"/>
            <w:vAlign w:val="bottom"/>
            <w:tcBorders>
              <w:bottom w:val="single" w:sz="8" w:color="auto"/>
            </w:tcBorders>
          </w:tcPr>
          <w:p>
            <w:pPr>
              <w:jc w:val="center"/>
              <w:ind w:left="164"/>
              <w:spacing w:after="0" w:line="124" w:lineRule="exact"/>
              <w:rPr>
                <w:sz w:val="20"/>
                <w:szCs w:val="20"/>
                <w:color w:val="auto"/>
              </w:rPr>
            </w:pPr>
            <w:r>
              <w:rPr>
                <w:rFonts w:ascii="Calibri" w:cs="Calibri" w:eastAsia="Calibri" w:hAnsi="Calibri"/>
                <w:sz w:val="11"/>
                <w:szCs w:val="11"/>
                <w:b w:val="1"/>
                <w:bCs w:val="1"/>
                <w:color w:val="auto"/>
                <w:w w:val="99"/>
              </w:rPr>
              <w:t>8.9%</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bottom w:val="single" w:sz="8" w:color="auto"/>
              <w:right w:val="single" w:sz="8" w:color="auto"/>
            </w:tcBorders>
            <w:shd w:val="clear" w:color="auto" w:fill="C0C0C0"/>
          </w:tcPr>
          <w:p>
            <w:pPr>
              <w:ind w:left="20"/>
              <w:spacing w:after="0" w:line="124" w:lineRule="exact"/>
              <w:rPr>
                <w:sz w:val="20"/>
                <w:szCs w:val="20"/>
                <w:color w:val="auto"/>
              </w:rPr>
            </w:pPr>
            <w:r>
              <w:rPr>
                <w:rFonts w:ascii="Calibri" w:cs="Calibri" w:eastAsia="Calibri" w:hAnsi="Calibri"/>
                <w:sz w:val="11"/>
                <w:szCs w:val="11"/>
                <w:color w:val="auto"/>
              </w:rPr>
              <w:t>Total Regulatory Capital Requirement (D)</w:t>
            </w:r>
          </w:p>
        </w:tc>
        <w:tc>
          <w:tcPr>
            <w:tcW w:w="1180" w:type="dxa"/>
            <w:vAlign w:val="bottom"/>
            <w:tcBorders>
              <w:bottom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rPr>
              <w:t>27,146,595</w:t>
            </w:r>
          </w:p>
        </w:tc>
        <w:tc>
          <w:tcPr>
            <w:tcW w:w="1260" w:type="dxa"/>
            <w:vAlign w:val="bottom"/>
            <w:tcBorders>
              <w:bottom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w w:val="99"/>
              </w:rPr>
              <w:t>30,571,363</w:t>
            </w:r>
          </w:p>
        </w:tc>
        <w:tc>
          <w:tcPr>
            <w:tcW w:w="1280" w:type="dxa"/>
            <w:vAlign w:val="bottom"/>
            <w:tcBorders>
              <w:bottom w:val="single" w:sz="8" w:color="auto"/>
              <w:right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rPr>
              <w:t>29,484,940</w:t>
            </w:r>
          </w:p>
        </w:tc>
        <w:tc>
          <w:tcPr>
            <w:tcW w:w="1020" w:type="dxa"/>
            <w:vAlign w:val="bottom"/>
            <w:tcBorders>
              <w:bottom w:val="single" w:sz="8" w:color="auto"/>
            </w:tcBorders>
            <w:shd w:val="clear" w:color="auto" w:fill="C0C0C0"/>
          </w:tcPr>
          <w:p>
            <w:pPr>
              <w:jc w:val="center"/>
              <w:ind w:left="144"/>
              <w:spacing w:after="0" w:line="124" w:lineRule="exact"/>
              <w:rPr>
                <w:sz w:val="20"/>
                <w:szCs w:val="20"/>
                <w:color w:val="auto"/>
              </w:rPr>
            </w:pPr>
            <w:r>
              <w:rPr>
                <w:rFonts w:ascii="Calibri" w:cs="Calibri" w:eastAsia="Calibri" w:hAnsi="Calibri"/>
                <w:sz w:val="11"/>
                <w:szCs w:val="11"/>
                <w:b w:val="1"/>
                <w:bCs w:val="1"/>
                <w:color w:val="auto"/>
              </w:rPr>
              <w:t>-3.6%</w:t>
            </w:r>
          </w:p>
        </w:tc>
        <w:tc>
          <w:tcPr>
            <w:tcW w:w="1960" w:type="dxa"/>
            <w:vAlign w:val="bottom"/>
            <w:tcBorders>
              <w:bottom w:val="single" w:sz="8" w:color="auto"/>
            </w:tcBorders>
            <w:shd w:val="clear" w:color="auto" w:fill="C0C0C0"/>
          </w:tcPr>
          <w:p>
            <w:pPr>
              <w:jc w:val="center"/>
              <w:ind w:left="164"/>
              <w:spacing w:after="0" w:line="124" w:lineRule="exact"/>
              <w:rPr>
                <w:sz w:val="20"/>
                <w:szCs w:val="20"/>
                <w:color w:val="auto"/>
              </w:rPr>
            </w:pPr>
            <w:r>
              <w:rPr>
                <w:rFonts w:ascii="Calibri" w:cs="Calibri" w:eastAsia="Calibri" w:hAnsi="Calibri"/>
                <w:sz w:val="11"/>
                <w:szCs w:val="11"/>
                <w:b w:val="1"/>
                <w:bCs w:val="1"/>
                <w:color w:val="auto"/>
                <w:w w:val="99"/>
              </w:rPr>
              <w:t>8.6%</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bottom w:val="single" w:sz="8" w:color="auto"/>
              <w:right w:val="single" w:sz="8" w:color="auto"/>
            </w:tcBorders>
            <w:shd w:val="clear" w:color="auto" w:fill="C0C0C0"/>
          </w:tcPr>
          <w:p>
            <w:pPr>
              <w:ind w:left="20"/>
              <w:spacing w:after="0" w:line="124" w:lineRule="exact"/>
              <w:rPr>
                <w:sz w:val="20"/>
                <w:szCs w:val="20"/>
                <w:color w:val="auto"/>
              </w:rPr>
            </w:pPr>
            <w:r>
              <w:rPr>
                <w:rFonts w:ascii="Calibri" w:cs="Calibri" w:eastAsia="Calibri" w:hAnsi="Calibri"/>
                <w:sz w:val="11"/>
                <w:szCs w:val="11"/>
                <w:color w:val="auto"/>
              </w:rPr>
              <w:t>Total Regulatory Common Equity Tier 1 Capital Requirement (E)</w:t>
            </w:r>
          </w:p>
        </w:tc>
        <w:tc>
          <w:tcPr>
            <w:tcW w:w="1180" w:type="dxa"/>
            <w:vAlign w:val="bottom"/>
            <w:tcBorders>
              <w:bottom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rPr>
              <w:t>13,975,808</w:t>
            </w:r>
          </w:p>
        </w:tc>
        <w:tc>
          <w:tcPr>
            <w:tcW w:w="1260" w:type="dxa"/>
            <w:vAlign w:val="bottom"/>
            <w:tcBorders>
              <w:bottom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w w:val="99"/>
              </w:rPr>
              <w:t>15,997,614</w:t>
            </w:r>
          </w:p>
        </w:tc>
        <w:tc>
          <w:tcPr>
            <w:tcW w:w="1280" w:type="dxa"/>
            <w:vAlign w:val="bottom"/>
            <w:tcBorders>
              <w:bottom w:val="single" w:sz="8" w:color="auto"/>
              <w:right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rPr>
              <w:t>15,535,244</w:t>
            </w:r>
          </w:p>
        </w:tc>
        <w:tc>
          <w:tcPr>
            <w:tcW w:w="1020" w:type="dxa"/>
            <w:vAlign w:val="bottom"/>
            <w:tcBorders>
              <w:bottom w:val="single" w:sz="8" w:color="auto"/>
            </w:tcBorders>
            <w:shd w:val="clear" w:color="auto" w:fill="C0C0C0"/>
          </w:tcPr>
          <w:p>
            <w:pPr>
              <w:jc w:val="center"/>
              <w:ind w:left="144"/>
              <w:spacing w:after="0" w:line="124" w:lineRule="exact"/>
              <w:rPr>
                <w:sz w:val="20"/>
                <w:szCs w:val="20"/>
                <w:color w:val="auto"/>
              </w:rPr>
            </w:pPr>
            <w:r>
              <w:rPr>
                <w:rFonts w:ascii="Calibri" w:cs="Calibri" w:eastAsia="Calibri" w:hAnsi="Calibri"/>
                <w:sz w:val="11"/>
                <w:szCs w:val="11"/>
                <w:b w:val="1"/>
                <w:bCs w:val="1"/>
                <w:color w:val="auto"/>
              </w:rPr>
              <w:t>-2.9%</w:t>
            </w:r>
          </w:p>
        </w:tc>
        <w:tc>
          <w:tcPr>
            <w:tcW w:w="1960" w:type="dxa"/>
            <w:vAlign w:val="bottom"/>
            <w:tcBorders>
              <w:bottom w:val="single" w:sz="8" w:color="auto"/>
            </w:tcBorders>
            <w:shd w:val="clear" w:color="auto" w:fill="C0C0C0"/>
          </w:tcPr>
          <w:p>
            <w:pPr>
              <w:jc w:val="center"/>
              <w:ind w:left="184"/>
              <w:spacing w:after="0" w:line="124" w:lineRule="exact"/>
              <w:rPr>
                <w:sz w:val="20"/>
                <w:szCs w:val="20"/>
                <w:color w:val="auto"/>
              </w:rPr>
            </w:pPr>
            <w:r>
              <w:rPr>
                <w:rFonts w:ascii="Calibri" w:cs="Calibri" w:eastAsia="Calibri" w:hAnsi="Calibri"/>
                <w:sz w:val="11"/>
                <w:szCs w:val="11"/>
                <w:b w:val="1"/>
                <w:bCs w:val="1"/>
                <w:color w:val="auto"/>
              </w:rPr>
              <w:t>11.2%</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bottom w:val="single" w:sz="8" w:color="auto"/>
              <w:right w:val="single" w:sz="8" w:color="auto"/>
            </w:tcBorders>
            <w:shd w:val="clear" w:color="auto" w:fill="C0C0C0"/>
          </w:tcPr>
          <w:p>
            <w:pPr>
              <w:ind w:left="20"/>
              <w:spacing w:after="0" w:line="124" w:lineRule="exact"/>
              <w:rPr>
                <w:sz w:val="20"/>
                <w:szCs w:val="20"/>
                <w:color w:val="auto"/>
              </w:rPr>
            </w:pPr>
            <w:r>
              <w:rPr>
                <w:rFonts w:ascii="Calibri" w:cs="Calibri" w:eastAsia="Calibri" w:hAnsi="Calibri"/>
                <w:sz w:val="11"/>
                <w:szCs w:val="11"/>
                <w:color w:val="auto"/>
              </w:rPr>
              <w:t>Total Regulatory Tier 1 Capital Requirement (F)</w:t>
            </w:r>
          </w:p>
        </w:tc>
        <w:tc>
          <w:tcPr>
            <w:tcW w:w="1180" w:type="dxa"/>
            <w:vAlign w:val="bottom"/>
            <w:tcBorders>
              <w:bottom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rPr>
              <w:t>17,108,445</w:t>
            </w:r>
          </w:p>
        </w:tc>
        <w:tc>
          <w:tcPr>
            <w:tcW w:w="1260" w:type="dxa"/>
            <w:vAlign w:val="bottom"/>
            <w:tcBorders>
              <w:bottom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w w:val="99"/>
              </w:rPr>
              <w:t>19,424,645</w:t>
            </w:r>
          </w:p>
        </w:tc>
        <w:tc>
          <w:tcPr>
            <w:tcW w:w="1280" w:type="dxa"/>
            <w:vAlign w:val="bottom"/>
            <w:tcBorders>
              <w:bottom w:val="single" w:sz="8" w:color="auto"/>
              <w:right w:val="single" w:sz="8" w:color="auto"/>
            </w:tcBorders>
            <w:shd w:val="clear" w:color="auto" w:fill="C0C0C0"/>
          </w:tcPr>
          <w:p>
            <w:pPr>
              <w:jc w:val="center"/>
              <w:spacing w:after="0" w:line="124" w:lineRule="exact"/>
              <w:rPr>
                <w:sz w:val="20"/>
                <w:szCs w:val="20"/>
                <w:color w:val="auto"/>
              </w:rPr>
            </w:pPr>
            <w:r>
              <w:rPr>
                <w:rFonts w:ascii="Calibri" w:cs="Calibri" w:eastAsia="Calibri" w:hAnsi="Calibri"/>
                <w:sz w:val="11"/>
                <w:szCs w:val="11"/>
                <w:color w:val="auto"/>
              </w:rPr>
              <w:t>18,788,044</w:t>
            </w:r>
          </w:p>
        </w:tc>
        <w:tc>
          <w:tcPr>
            <w:tcW w:w="1020" w:type="dxa"/>
            <w:vAlign w:val="bottom"/>
            <w:tcBorders>
              <w:bottom w:val="single" w:sz="8" w:color="auto"/>
            </w:tcBorders>
            <w:shd w:val="clear" w:color="auto" w:fill="C0C0C0"/>
          </w:tcPr>
          <w:p>
            <w:pPr>
              <w:jc w:val="center"/>
              <w:ind w:left="144"/>
              <w:spacing w:after="0" w:line="124" w:lineRule="exact"/>
              <w:rPr>
                <w:sz w:val="20"/>
                <w:szCs w:val="20"/>
                <w:color w:val="auto"/>
              </w:rPr>
            </w:pPr>
            <w:r>
              <w:rPr>
                <w:rFonts w:ascii="Calibri" w:cs="Calibri" w:eastAsia="Calibri" w:hAnsi="Calibri"/>
                <w:sz w:val="11"/>
                <w:szCs w:val="11"/>
                <w:b w:val="1"/>
                <w:bCs w:val="1"/>
                <w:color w:val="auto"/>
              </w:rPr>
              <w:t>-3.3%</w:t>
            </w:r>
          </w:p>
        </w:tc>
        <w:tc>
          <w:tcPr>
            <w:tcW w:w="1960" w:type="dxa"/>
            <w:vAlign w:val="bottom"/>
            <w:tcBorders>
              <w:bottom w:val="single" w:sz="8" w:color="auto"/>
            </w:tcBorders>
            <w:shd w:val="clear" w:color="auto" w:fill="C0C0C0"/>
          </w:tcPr>
          <w:p>
            <w:pPr>
              <w:jc w:val="center"/>
              <w:ind w:left="164"/>
              <w:spacing w:after="0" w:line="124" w:lineRule="exact"/>
              <w:rPr>
                <w:sz w:val="20"/>
                <w:szCs w:val="20"/>
                <w:color w:val="auto"/>
              </w:rPr>
            </w:pPr>
            <w:r>
              <w:rPr>
                <w:rFonts w:ascii="Calibri" w:cs="Calibri" w:eastAsia="Calibri" w:hAnsi="Calibri"/>
                <w:sz w:val="11"/>
                <w:szCs w:val="11"/>
                <w:b w:val="1"/>
                <w:bCs w:val="1"/>
                <w:color w:val="auto"/>
                <w:w w:val="99"/>
              </w:rPr>
              <w:t>9.8%</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Regulatory Capital Rato (A) / (D)</w:t>
            </w:r>
          </w:p>
        </w:tc>
        <w:tc>
          <w:tcPr>
            <w:tcW w:w="11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6"/>
              </w:rPr>
              <w:t>133%</w:t>
            </w:r>
          </w:p>
        </w:tc>
        <w:tc>
          <w:tcPr>
            <w:tcW w:w="126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138%</w:t>
            </w:r>
          </w:p>
        </w:tc>
        <w:tc>
          <w:tcPr>
            <w:tcW w:w="12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135%</w:t>
            </w:r>
          </w:p>
        </w:tc>
        <w:tc>
          <w:tcPr>
            <w:tcW w:w="1020" w:type="dxa"/>
            <w:vAlign w:val="bottom"/>
            <w:tcBorders>
              <w:bottom w:val="single" w:sz="8" w:color="auto"/>
            </w:tcBorders>
          </w:tcPr>
          <w:p>
            <w:pPr>
              <w:jc w:val="center"/>
              <w:ind w:left="164"/>
              <w:spacing w:after="0" w:line="124" w:lineRule="exact"/>
              <w:rPr>
                <w:sz w:val="20"/>
                <w:szCs w:val="20"/>
                <w:color w:val="auto"/>
              </w:rPr>
            </w:pPr>
            <w:r>
              <w:rPr>
                <w:rFonts w:ascii="Calibri" w:cs="Calibri" w:eastAsia="Calibri" w:hAnsi="Calibri"/>
                <w:sz w:val="11"/>
                <w:szCs w:val="11"/>
                <w:b w:val="1"/>
                <w:bCs w:val="1"/>
                <w:color w:val="auto"/>
              </w:rPr>
              <w:t>(351)</w:t>
            </w:r>
          </w:p>
        </w:tc>
        <w:tc>
          <w:tcPr>
            <w:tcW w:w="1960" w:type="dxa"/>
            <w:vAlign w:val="bottom"/>
            <w:tcBorders>
              <w:bottom w:val="single" w:sz="8" w:color="auto"/>
            </w:tcBorders>
          </w:tcPr>
          <w:p>
            <w:pPr>
              <w:jc w:val="center"/>
              <w:ind w:left="184"/>
              <w:spacing w:after="0" w:line="124" w:lineRule="exact"/>
              <w:rPr>
                <w:sz w:val="20"/>
                <w:szCs w:val="20"/>
                <w:color w:val="auto"/>
              </w:rPr>
            </w:pPr>
            <w:r>
              <w:rPr>
                <w:rFonts w:ascii="Calibri" w:cs="Calibri" w:eastAsia="Calibri" w:hAnsi="Calibri"/>
                <w:sz w:val="11"/>
                <w:szCs w:val="11"/>
                <w:b w:val="1"/>
                <w:bCs w:val="1"/>
                <w:color w:val="auto"/>
              </w:rPr>
              <w:t>147 bps</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Regulatory Common Equity Tier 1 Capital Rato (B) / (E)</w:t>
            </w:r>
          </w:p>
        </w:tc>
        <w:tc>
          <w:tcPr>
            <w:tcW w:w="11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6"/>
              </w:rPr>
              <w:t>209%</w:t>
            </w:r>
          </w:p>
        </w:tc>
        <w:tc>
          <w:tcPr>
            <w:tcW w:w="126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207%</w:t>
            </w:r>
          </w:p>
        </w:tc>
        <w:tc>
          <w:tcPr>
            <w:tcW w:w="12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205%</w:t>
            </w:r>
          </w:p>
        </w:tc>
        <w:tc>
          <w:tcPr>
            <w:tcW w:w="1020" w:type="dxa"/>
            <w:vAlign w:val="bottom"/>
            <w:tcBorders>
              <w:bottom w:val="single" w:sz="8" w:color="auto"/>
            </w:tcBorders>
          </w:tcPr>
          <w:p>
            <w:pPr>
              <w:jc w:val="center"/>
              <w:ind w:left="164"/>
              <w:spacing w:after="0" w:line="124" w:lineRule="exact"/>
              <w:rPr>
                <w:sz w:val="20"/>
                <w:szCs w:val="20"/>
                <w:color w:val="auto"/>
              </w:rPr>
            </w:pPr>
            <w:r>
              <w:rPr>
                <w:rFonts w:ascii="Calibri" w:cs="Calibri" w:eastAsia="Calibri" w:hAnsi="Calibri"/>
                <w:sz w:val="11"/>
                <w:szCs w:val="11"/>
                <w:b w:val="1"/>
                <w:bCs w:val="1"/>
                <w:color w:val="auto"/>
              </w:rPr>
              <w:t>(251)</w:t>
            </w:r>
          </w:p>
        </w:tc>
        <w:tc>
          <w:tcPr>
            <w:tcW w:w="1960" w:type="dxa"/>
            <w:vAlign w:val="bottom"/>
            <w:tcBorders>
              <w:bottom w:val="single" w:sz="8" w:color="auto"/>
            </w:tcBorders>
          </w:tcPr>
          <w:p>
            <w:pPr>
              <w:jc w:val="center"/>
              <w:ind w:left="184"/>
              <w:spacing w:after="0" w:line="124" w:lineRule="exact"/>
              <w:rPr>
                <w:sz w:val="20"/>
                <w:szCs w:val="20"/>
                <w:color w:val="auto"/>
              </w:rPr>
            </w:pPr>
            <w:r>
              <w:rPr>
                <w:rFonts w:ascii="Calibri" w:cs="Calibri" w:eastAsia="Calibri" w:hAnsi="Calibri"/>
                <w:sz w:val="11"/>
                <w:szCs w:val="11"/>
                <w:b w:val="1"/>
                <w:bCs w:val="1"/>
                <w:color w:val="auto"/>
              </w:rPr>
              <w:t>-430 bps</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Regulatory Tier 1 Capital Rato (C) / (F)</w:t>
            </w:r>
          </w:p>
        </w:tc>
        <w:tc>
          <w:tcPr>
            <w:tcW w:w="118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6"/>
              </w:rPr>
              <w:t>171%</w:t>
            </w:r>
          </w:p>
        </w:tc>
        <w:tc>
          <w:tcPr>
            <w:tcW w:w="126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171%</w:t>
            </w:r>
          </w:p>
        </w:tc>
        <w:tc>
          <w:tcPr>
            <w:tcW w:w="128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169%</w:t>
            </w:r>
          </w:p>
        </w:tc>
        <w:tc>
          <w:tcPr>
            <w:tcW w:w="1020" w:type="dxa"/>
            <w:vAlign w:val="bottom"/>
            <w:tcBorders>
              <w:bottom w:val="single" w:sz="8" w:color="auto"/>
            </w:tcBorders>
          </w:tcPr>
          <w:p>
            <w:pPr>
              <w:jc w:val="center"/>
              <w:ind w:left="164"/>
              <w:spacing w:after="0" w:line="124" w:lineRule="exact"/>
              <w:rPr>
                <w:sz w:val="20"/>
                <w:szCs w:val="20"/>
                <w:color w:val="auto"/>
              </w:rPr>
            </w:pPr>
            <w:r>
              <w:rPr>
                <w:rFonts w:ascii="Calibri" w:cs="Calibri" w:eastAsia="Calibri" w:hAnsi="Calibri"/>
                <w:sz w:val="11"/>
                <w:szCs w:val="11"/>
                <w:b w:val="1"/>
                <w:bCs w:val="1"/>
                <w:color w:val="auto"/>
              </w:rPr>
              <w:t>(140)</w:t>
            </w:r>
          </w:p>
        </w:tc>
        <w:tc>
          <w:tcPr>
            <w:tcW w:w="1960" w:type="dxa"/>
            <w:vAlign w:val="bottom"/>
            <w:tcBorders>
              <w:bottom w:val="single" w:sz="8" w:color="auto"/>
            </w:tcBorders>
          </w:tcPr>
          <w:p>
            <w:pPr>
              <w:jc w:val="center"/>
              <w:ind w:left="184"/>
              <w:spacing w:after="0" w:line="124" w:lineRule="exact"/>
              <w:rPr>
                <w:sz w:val="20"/>
                <w:szCs w:val="20"/>
                <w:color w:val="auto"/>
              </w:rPr>
            </w:pPr>
            <w:r>
              <w:rPr>
                <w:rFonts w:ascii="Calibri" w:cs="Calibri" w:eastAsia="Calibri" w:hAnsi="Calibri"/>
                <w:sz w:val="11"/>
                <w:szCs w:val="11"/>
                <w:b w:val="1"/>
                <w:bCs w:val="1"/>
                <w:color w:val="auto"/>
              </w:rPr>
              <w:t>-147 bps</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60" w:hanging="156"/>
        <w:spacing w:after="0"/>
        <w:tabs>
          <w:tab w:leader="none" w:pos="16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Earnings include Banco de Crédito del Perú and Mibanco Perú. Losses include all subsidiaries.</w:t>
      </w:r>
    </w:p>
    <w:p>
      <w:pPr>
        <w:ind w:left="160" w:hanging="156"/>
        <w:spacing w:after="0" w:line="232" w:lineRule="auto"/>
        <w:tabs>
          <w:tab w:leader="none" w:pos="16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Gains include Investment Grade Government Bonds and Peruvian Central Bank Certfcates of Deposits. Losses include all bonds.</w:t>
      </w:r>
    </w:p>
    <w:p>
      <w:pPr>
        <w:ind w:left="160" w:hanging="156"/>
        <w:spacing w:after="0" w:line="232" w:lineRule="auto"/>
        <w:tabs>
          <w:tab w:leader="none" w:pos="16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Diferent to Goodwill. Includes Diferred Tax Assets.</w:t>
      </w:r>
    </w:p>
    <w:p>
      <w:pPr>
        <w:ind w:left="160" w:hanging="156"/>
        <w:spacing w:after="0" w:line="232" w:lineRule="auto"/>
        <w:tabs>
          <w:tab w:leader="none" w:pos="16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Investments in Equity.</w:t>
      </w:r>
    </w:p>
    <w:p>
      <w:pPr>
        <w:ind w:left="160" w:hanging="156"/>
        <w:spacing w:after="0" w:line="232" w:lineRule="auto"/>
        <w:tabs>
          <w:tab w:leader="none" w:pos="16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Up to 1.25% of total risk-weighted assets of Banco de Crédito del Perú, Solución Empresa Administradora Hipotecaria, Mibanco and Atlantc Security Bank.</w:t>
      </w:r>
    </w:p>
    <w:p>
      <w:pPr>
        <w:ind w:left="160" w:hanging="156"/>
        <w:spacing w:after="0" w:line="232" w:lineRule="auto"/>
        <w:tabs>
          <w:tab w:leader="none" w:pos="16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Investments in Tier 2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882650</wp:posOffset>
            </wp:positionV>
            <wp:extent cx="7137400"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wp:posOffset>
            </wp:positionV>
            <wp:extent cx="7195185" cy="6527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5185" cy="652780"/>
                    </a:xfrm>
                    <a:prstGeom prst="rect">
                      <a:avLst/>
                    </a:prstGeom>
                    <a:noFill/>
                  </pic:spPr>
                </pic:pic>
              </a:graphicData>
            </a:graphic>
          </wp:anchor>
        </w:drawing>
      </w:r>
    </w:p>
    <w:p>
      <w:pPr>
        <w:sectPr>
          <w:pgSz w:w="11900" w:h="16838" w:orient="portrait"/>
          <w:cols w:equalWidth="0" w:num="1">
            <w:col w:w="11260"/>
          </w:cols>
          <w:pgMar w:left="320" w:top="458" w:right="319" w:bottom="1440" w:gutter="0" w:footer="0" w:header="0"/>
        </w:sectPr>
      </w:pPr>
    </w:p>
    <w:bookmarkStart w:id="56" w:name="page57"/>
    <w:bookmarkEnd w:id="56"/>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37400" cy="2311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Regulatory and Capital Adequacy Ratos at BCP Stand-alone</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5660" w:type="dxa"/>
            <w:vAlign w:val="bottom"/>
            <w:tcBorders>
              <w:top w:val="single" w:sz="8" w:color="auto"/>
              <w:left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1"/>
                <w:szCs w:val="11"/>
                <w:b w:val="1"/>
                <w:bCs w:val="1"/>
                <w:color w:val="FFFFFF"/>
              </w:rPr>
              <w:t>Regulatory Capital</w:t>
            </w:r>
          </w:p>
        </w:tc>
        <w:tc>
          <w:tcPr>
            <w:tcW w:w="1220" w:type="dxa"/>
            <w:vAlign w:val="bottom"/>
            <w:tcBorders>
              <w:top w:val="single" w:sz="8" w:color="auto"/>
            </w:tcBorders>
            <w:shd w:val="clear" w:color="auto" w:fill="33CCCC"/>
          </w:tcPr>
          <w:p>
            <w:pPr>
              <w:spacing w:after="0"/>
              <w:rPr>
                <w:sz w:val="12"/>
                <w:szCs w:val="12"/>
                <w:color w:val="auto"/>
              </w:rPr>
            </w:pPr>
          </w:p>
        </w:tc>
        <w:tc>
          <w:tcPr>
            <w:tcW w:w="980" w:type="dxa"/>
            <w:vAlign w:val="bottom"/>
            <w:tcBorders>
              <w:top w:val="single" w:sz="8" w:color="auto"/>
            </w:tcBorders>
            <w:shd w:val="clear" w:color="auto" w:fill="33CCCC"/>
          </w:tcPr>
          <w:p>
            <w:pPr>
              <w:ind w:left="240"/>
              <w:spacing w:after="0"/>
              <w:rPr>
                <w:sz w:val="20"/>
                <w:szCs w:val="20"/>
                <w:color w:val="auto"/>
              </w:rPr>
            </w:pPr>
            <w:r>
              <w:rPr>
                <w:rFonts w:ascii="Calibri" w:cs="Calibri" w:eastAsia="Calibri" w:hAnsi="Calibri"/>
                <w:sz w:val="11"/>
                <w:szCs w:val="11"/>
                <w:b w:val="1"/>
                <w:bCs w:val="1"/>
                <w:color w:val="FFFFFF"/>
              </w:rPr>
              <w:t>Quarter</w:t>
            </w:r>
          </w:p>
        </w:tc>
        <w:tc>
          <w:tcPr>
            <w:tcW w:w="1120" w:type="dxa"/>
            <w:vAlign w:val="bottom"/>
            <w:tcBorders>
              <w:top w:val="single" w:sz="8" w:color="auto"/>
              <w:right w:val="single" w:sz="8" w:color="auto"/>
            </w:tcBorders>
            <w:shd w:val="clear" w:color="auto" w:fill="33CCCC"/>
          </w:tcPr>
          <w:p>
            <w:pPr>
              <w:spacing w:after="0"/>
              <w:rPr>
                <w:sz w:val="12"/>
                <w:szCs w:val="12"/>
                <w:color w:val="auto"/>
              </w:rPr>
            </w:pPr>
          </w:p>
        </w:tc>
        <w:tc>
          <w:tcPr>
            <w:tcW w:w="800" w:type="dxa"/>
            <w:vAlign w:val="bottom"/>
            <w:tcBorders>
              <w:top w:val="single" w:sz="8" w:color="auto"/>
            </w:tcBorders>
            <w:shd w:val="clear" w:color="auto" w:fill="33CCCC"/>
          </w:tcPr>
          <w:p>
            <w:pPr>
              <w:spacing w:after="0"/>
              <w:rPr>
                <w:sz w:val="12"/>
                <w:szCs w:val="12"/>
                <w:color w:val="auto"/>
              </w:rPr>
            </w:pPr>
          </w:p>
        </w:tc>
        <w:tc>
          <w:tcPr>
            <w:tcW w:w="1480" w:type="dxa"/>
            <w:vAlign w:val="bottom"/>
            <w:tcBorders>
              <w:top w:val="single" w:sz="8" w:color="auto"/>
              <w:right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Change %</w:t>
            </w:r>
          </w:p>
        </w:tc>
      </w:tr>
      <w:tr>
        <w:trPr>
          <w:trHeight w:val="146"/>
        </w:trPr>
        <w:tc>
          <w:tcPr>
            <w:tcW w:w="566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color w:val="FFFFFF"/>
              </w:rPr>
              <w:t>(S/ thousand)</w:t>
            </w:r>
          </w:p>
        </w:tc>
        <w:tc>
          <w:tcPr>
            <w:tcW w:w="1220" w:type="dxa"/>
            <w:vAlign w:val="bottom"/>
            <w:tcBorders>
              <w:bottom w:val="single" w:sz="8" w:color="auto"/>
            </w:tcBorders>
            <w:shd w:val="clear" w:color="auto" w:fill="33CCCC"/>
          </w:tcPr>
          <w:p>
            <w:pPr>
              <w:ind w:left="400"/>
              <w:spacing w:after="0"/>
              <w:rPr>
                <w:sz w:val="20"/>
                <w:szCs w:val="20"/>
                <w:color w:val="auto"/>
              </w:rPr>
            </w:pPr>
            <w:r>
              <w:rPr>
                <w:rFonts w:ascii="Calibri" w:cs="Calibri" w:eastAsia="Calibri" w:hAnsi="Calibri"/>
                <w:sz w:val="11"/>
                <w:szCs w:val="11"/>
                <w:b w:val="1"/>
                <w:bCs w:val="1"/>
                <w:color w:val="FFFFFF"/>
              </w:rPr>
              <w:t>Jun 24</w:t>
            </w:r>
          </w:p>
        </w:tc>
        <w:tc>
          <w:tcPr>
            <w:tcW w:w="980" w:type="dxa"/>
            <w:vAlign w:val="bottom"/>
            <w:tcBorders>
              <w:bottom w:val="single" w:sz="8" w:color="auto"/>
            </w:tcBorders>
            <w:shd w:val="clear" w:color="auto" w:fill="33CCCC"/>
          </w:tcPr>
          <w:p>
            <w:pPr>
              <w:ind w:left="260"/>
              <w:spacing w:after="0"/>
              <w:rPr>
                <w:sz w:val="20"/>
                <w:szCs w:val="20"/>
                <w:color w:val="auto"/>
              </w:rPr>
            </w:pPr>
            <w:r>
              <w:rPr>
                <w:rFonts w:ascii="Calibri" w:cs="Calibri" w:eastAsia="Calibri" w:hAnsi="Calibri"/>
                <w:sz w:val="11"/>
                <w:szCs w:val="11"/>
                <w:b w:val="1"/>
                <w:bCs w:val="1"/>
                <w:color w:val="FFFFFF"/>
              </w:rPr>
              <w:t>Mar 25</w:t>
            </w:r>
          </w:p>
        </w:tc>
        <w:tc>
          <w:tcPr>
            <w:tcW w:w="1120" w:type="dxa"/>
            <w:vAlign w:val="bottom"/>
            <w:tcBorders>
              <w:bottom w:val="single" w:sz="8" w:color="auto"/>
              <w:right w:val="single" w:sz="8" w:color="auto"/>
            </w:tcBorders>
            <w:shd w:val="clear" w:color="auto" w:fill="33CCCC"/>
          </w:tcPr>
          <w:p>
            <w:pPr>
              <w:ind w:left="400"/>
              <w:spacing w:after="0"/>
              <w:rPr>
                <w:sz w:val="20"/>
                <w:szCs w:val="20"/>
                <w:color w:val="auto"/>
              </w:rPr>
            </w:pPr>
            <w:r>
              <w:rPr>
                <w:rFonts w:ascii="Calibri" w:cs="Calibri" w:eastAsia="Calibri" w:hAnsi="Calibri"/>
                <w:sz w:val="11"/>
                <w:szCs w:val="11"/>
                <w:b w:val="1"/>
                <w:bCs w:val="1"/>
                <w:color w:val="FFFFFF"/>
              </w:rPr>
              <w:t>Jun 25</w:t>
            </w:r>
          </w:p>
        </w:tc>
        <w:tc>
          <w:tcPr>
            <w:tcW w:w="800" w:type="dxa"/>
            <w:vAlign w:val="bottom"/>
            <w:tcBorders>
              <w:bottom w:val="single" w:sz="8" w:color="auto"/>
            </w:tcBorders>
            <w:shd w:val="clear" w:color="auto" w:fill="33CCCC"/>
          </w:tcPr>
          <w:p>
            <w:pPr>
              <w:jc w:val="center"/>
              <w:ind w:left="264"/>
              <w:spacing w:after="0"/>
              <w:rPr>
                <w:sz w:val="20"/>
                <w:szCs w:val="20"/>
                <w:color w:val="auto"/>
              </w:rPr>
            </w:pPr>
            <w:r>
              <w:rPr>
                <w:rFonts w:ascii="Calibri" w:cs="Calibri" w:eastAsia="Calibri" w:hAnsi="Calibri"/>
                <w:sz w:val="11"/>
                <w:szCs w:val="11"/>
                <w:b w:val="1"/>
                <w:bCs w:val="1"/>
                <w:color w:val="FFFFFF"/>
                <w:w w:val="94"/>
              </w:rPr>
              <w:t>QoQ</w:t>
            </w:r>
          </w:p>
        </w:tc>
        <w:tc>
          <w:tcPr>
            <w:tcW w:w="1480" w:type="dxa"/>
            <w:vAlign w:val="bottom"/>
            <w:tcBorders>
              <w:bottom w:val="single" w:sz="8" w:color="auto"/>
              <w:right w:val="single" w:sz="8" w:color="auto"/>
            </w:tcBorders>
            <w:shd w:val="clear" w:color="auto" w:fill="33CCCC"/>
          </w:tcPr>
          <w:p>
            <w:pPr>
              <w:jc w:val="center"/>
              <w:ind w:left="224"/>
              <w:spacing w:after="0"/>
              <w:rPr>
                <w:sz w:val="20"/>
                <w:szCs w:val="20"/>
                <w:color w:val="auto"/>
              </w:rPr>
            </w:pPr>
            <w:r>
              <w:rPr>
                <w:rFonts w:ascii="Calibri" w:cs="Calibri" w:eastAsia="Calibri" w:hAnsi="Calibri"/>
                <w:sz w:val="11"/>
                <w:szCs w:val="11"/>
                <w:b w:val="1"/>
                <w:bCs w:val="1"/>
                <w:color w:val="FFFFFF"/>
                <w:w w:val="91"/>
              </w:rPr>
              <w:t>YoY</w:t>
            </w:r>
          </w:p>
        </w:tc>
      </w:tr>
      <w:tr>
        <w:trPr>
          <w:trHeight w:val="113"/>
        </w:trPr>
        <w:tc>
          <w:tcPr>
            <w:tcW w:w="5660" w:type="dxa"/>
            <w:vAlign w:val="bottom"/>
            <w:tcBorders>
              <w:left w:val="single" w:sz="8" w:color="auto"/>
              <w:right w:val="single" w:sz="8" w:color="auto"/>
            </w:tcBorders>
          </w:tcPr>
          <w:p>
            <w:pPr>
              <w:ind w:left="180"/>
              <w:spacing w:after="0" w:line="114" w:lineRule="exact"/>
              <w:rPr>
                <w:sz w:val="20"/>
                <w:szCs w:val="20"/>
                <w:color w:val="auto"/>
              </w:rPr>
            </w:pPr>
            <w:r>
              <w:rPr>
                <w:rFonts w:ascii="Calibri" w:cs="Calibri" w:eastAsia="Calibri" w:hAnsi="Calibri"/>
                <w:sz w:val="11"/>
                <w:szCs w:val="11"/>
                <w:color w:val="auto"/>
              </w:rPr>
              <w:t>Capital Stock</w:t>
            </w:r>
          </w:p>
        </w:tc>
        <w:tc>
          <w:tcPr>
            <w:tcW w:w="1220" w:type="dxa"/>
            <w:vAlign w:val="bottom"/>
          </w:tcPr>
          <w:p>
            <w:pPr>
              <w:jc w:val="center"/>
              <w:ind w:right="84"/>
              <w:spacing w:after="0" w:line="114" w:lineRule="exact"/>
              <w:rPr>
                <w:sz w:val="20"/>
                <w:szCs w:val="20"/>
                <w:color w:val="auto"/>
              </w:rPr>
            </w:pPr>
            <w:r>
              <w:rPr>
                <w:rFonts w:ascii="Calibri" w:cs="Calibri" w:eastAsia="Calibri" w:hAnsi="Calibri"/>
                <w:sz w:val="11"/>
                <w:szCs w:val="11"/>
                <w:color w:val="auto"/>
              </w:rPr>
              <w:t>12,973,175</w:t>
            </w:r>
          </w:p>
        </w:tc>
        <w:tc>
          <w:tcPr>
            <w:tcW w:w="980" w:type="dxa"/>
            <w:vAlign w:val="bottom"/>
          </w:tcPr>
          <w:p>
            <w:pPr>
              <w:jc w:val="center"/>
              <w:ind w:right="84"/>
              <w:spacing w:after="0" w:line="114" w:lineRule="exact"/>
              <w:rPr>
                <w:sz w:val="20"/>
                <w:szCs w:val="20"/>
                <w:color w:val="auto"/>
              </w:rPr>
            </w:pPr>
            <w:r>
              <w:rPr>
                <w:rFonts w:ascii="Calibri" w:cs="Calibri" w:eastAsia="Calibri" w:hAnsi="Calibri"/>
                <w:sz w:val="11"/>
                <w:szCs w:val="11"/>
                <w:color w:val="auto"/>
              </w:rPr>
              <w:t>12,973,175</w:t>
            </w:r>
          </w:p>
        </w:tc>
        <w:tc>
          <w:tcPr>
            <w:tcW w:w="112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1"/>
                <w:szCs w:val="11"/>
                <w:color w:val="auto"/>
                <w:w w:val="99"/>
              </w:rPr>
              <w:t>12,973,175</w:t>
            </w:r>
          </w:p>
        </w:tc>
        <w:tc>
          <w:tcPr>
            <w:tcW w:w="800" w:type="dxa"/>
            <w:vAlign w:val="bottom"/>
          </w:tcPr>
          <w:p>
            <w:pPr>
              <w:jc w:val="center"/>
              <w:ind w:left="264"/>
              <w:spacing w:after="0" w:line="114" w:lineRule="exact"/>
              <w:rPr>
                <w:sz w:val="20"/>
                <w:szCs w:val="20"/>
                <w:color w:val="auto"/>
              </w:rPr>
            </w:pPr>
            <w:r>
              <w:rPr>
                <w:rFonts w:ascii="Calibri" w:cs="Calibri" w:eastAsia="Calibri" w:hAnsi="Calibri"/>
                <w:sz w:val="11"/>
                <w:szCs w:val="11"/>
                <w:color w:val="auto"/>
              </w:rPr>
              <w:t>0.0%</w:t>
            </w:r>
          </w:p>
        </w:tc>
        <w:tc>
          <w:tcPr>
            <w:tcW w:w="1480" w:type="dxa"/>
            <w:vAlign w:val="bottom"/>
            <w:tcBorders>
              <w:right w:val="single" w:sz="8" w:color="auto"/>
            </w:tcBorders>
          </w:tcPr>
          <w:p>
            <w:pPr>
              <w:jc w:val="center"/>
              <w:ind w:left="244"/>
              <w:spacing w:after="0" w:line="114" w:lineRule="exact"/>
              <w:rPr>
                <w:sz w:val="20"/>
                <w:szCs w:val="20"/>
                <w:color w:val="auto"/>
              </w:rPr>
            </w:pPr>
            <w:r>
              <w:rPr>
                <w:rFonts w:ascii="Calibri" w:cs="Calibri" w:eastAsia="Calibri" w:hAnsi="Calibri"/>
                <w:sz w:val="11"/>
                <w:szCs w:val="11"/>
                <w:color w:val="auto"/>
              </w:rPr>
              <w:t>0.0%</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Reserves</w:t>
            </w:r>
          </w:p>
        </w:tc>
        <w:tc>
          <w:tcPr>
            <w:tcW w:w="122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6,591,330</w:t>
            </w:r>
          </w:p>
        </w:tc>
        <w:tc>
          <w:tcPr>
            <w:tcW w:w="98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6,124,302</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6,125,452</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0.0%</w:t>
            </w:r>
          </w:p>
        </w:tc>
        <w:tc>
          <w:tcPr>
            <w:tcW w:w="1480" w:type="dxa"/>
            <w:vAlign w:val="bottom"/>
            <w:tcBorders>
              <w:right w:val="single" w:sz="8" w:color="auto"/>
            </w:tcBorders>
          </w:tcPr>
          <w:p>
            <w:pPr>
              <w:jc w:val="center"/>
              <w:ind w:left="244"/>
              <w:spacing w:after="0" w:line="130" w:lineRule="exact"/>
              <w:rPr>
                <w:sz w:val="20"/>
                <w:szCs w:val="20"/>
                <w:color w:val="auto"/>
              </w:rPr>
            </w:pPr>
            <w:r>
              <w:rPr>
                <w:rFonts w:ascii="Calibri" w:cs="Calibri" w:eastAsia="Calibri" w:hAnsi="Calibri"/>
                <w:sz w:val="11"/>
                <w:szCs w:val="11"/>
                <w:color w:val="auto"/>
              </w:rPr>
              <w:t>-7.1%</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Accumulated earnings</w:t>
            </w:r>
          </w:p>
        </w:tc>
        <w:tc>
          <w:tcPr>
            <w:tcW w:w="122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3,920,795</w:t>
            </w:r>
          </w:p>
        </w:tc>
        <w:tc>
          <w:tcPr>
            <w:tcW w:w="98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3,418,149</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5,129,250</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50.1%</w:t>
            </w:r>
          </w:p>
        </w:tc>
        <w:tc>
          <w:tcPr>
            <w:tcW w:w="1480" w:type="dxa"/>
            <w:vAlign w:val="bottom"/>
            <w:tcBorders>
              <w:right w:val="single" w:sz="8" w:color="auto"/>
            </w:tcBorders>
          </w:tcPr>
          <w:p>
            <w:pPr>
              <w:jc w:val="center"/>
              <w:ind w:left="224"/>
              <w:spacing w:after="0" w:line="130" w:lineRule="exact"/>
              <w:rPr>
                <w:sz w:val="20"/>
                <w:szCs w:val="20"/>
                <w:color w:val="auto"/>
              </w:rPr>
            </w:pPr>
            <w:r>
              <w:rPr>
                <w:rFonts w:ascii="Calibri" w:cs="Calibri" w:eastAsia="Calibri" w:hAnsi="Calibri"/>
                <w:sz w:val="11"/>
                <w:szCs w:val="11"/>
                <w:color w:val="auto"/>
              </w:rPr>
              <w:t>30.8%</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 xml:space="preserve">Loan loss reserves </w:t>
            </w:r>
            <w:r>
              <w:rPr>
                <w:rFonts w:ascii="Calibri" w:cs="Calibri" w:eastAsia="Calibri" w:hAnsi="Calibri"/>
                <w:sz w:val="9"/>
                <w:szCs w:val="9"/>
                <w:color w:val="auto"/>
              </w:rPr>
              <w:t>(1)</w:t>
            </w:r>
          </w:p>
        </w:tc>
        <w:tc>
          <w:tcPr>
            <w:tcW w:w="122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1,749,878</w:t>
            </w:r>
          </w:p>
        </w:tc>
        <w:tc>
          <w:tcPr>
            <w:tcW w:w="98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1,740,158</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1,757,305</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1.0%</w:t>
            </w:r>
          </w:p>
        </w:tc>
        <w:tc>
          <w:tcPr>
            <w:tcW w:w="1480" w:type="dxa"/>
            <w:vAlign w:val="bottom"/>
            <w:tcBorders>
              <w:right w:val="single" w:sz="8" w:color="auto"/>
            </w:tcBorders>
          </w:tcPr>
          <w:p>
            <w:pPr>
              <w:jc w:val="center"/>
              <w:ind w:left="244"/>
              <w:spacing w:after="0" w:line="130" w:lineRule="exact"/>
              <w:rPr>
                <w:sz w:val="20"/>
                <w:szCs w:val="20"/>
                <w:color w:val="auto"/>
              </w:rPr>
            </w:pPr>
            <w:r>
              <w:rPr>
                <w:rFonts w:ascii="Calibri" w:cs="Calibri" w:eastAsia="Calibri" w:hAnsi="Calibri"/>
                <w:sz w:val="11"/>
                <w:szCs w:val="11"/>
                <w:color w:val="auto"/>
              </w:rPr>
              <w:t>0.4%</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Subordinated Debt</w:t>
            </w:r>
          </w:p>
        </w:tc>
        <w:tc>
          <w:tcPr>
            <w:tcW w:w="122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5,171,850</w:t>
            </w:r>
          </w:p>
        </w:tc>
        <w:tc>
          <w:tcPr>
            <w:tcW w:w="98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7,152,600</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6,552,700</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w w:val="95"/>
              </w:rPr>
              <w:t>-8.4%</w:t>
            </w:r>
          </w:p>
        </w:tc>
        <w:tc>
          <w:tcPr>
            <w:tcW w:w="1480" w:type="dxa"/>
            <w:vAlign w:val="bottom"/>
            <w:tcBorders>
              <w:right w:val="single" w:sz="8" w:color="auto"/>
            </w:tcBorders>
          </w:tcPr>
          <w:p>
            <w:pPr>
              <w:jc w:val="center"/>
              <w:ind w:left="224"/>
              <w:spacing w:after="0" w:line="130" w:lineRule="exact"/>
              <w:rPr>
                <w:sz w:val="20"/>
                <w:szCs w:val="20"/>
                <w:color w:val="auto"/>
              </w:rPr>
            </w:pPr>
            <w:r>
              <w:rPr>
                <w:rFonts w:ascii="Calibri" w:cs="Calibri" w:eastAsia="Calibri" w:hAnsi="Calibri"/>
                <w:sz w:val="11"/>
                <w:szCs w:val="11"/>
                <w:color w:val="auto"/>
              </w:rPr>
              <w:t>26.7%</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Unrealized Proft or Losses</w:t>
            </w:r>
          </w:p>
        </w:tc>
        <w:tc>
          <w:tcPr>
            <w:tcW w:w="122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(621,417)</w:t>
            </w:r>
          </w:p>
        </w:tc>
        <w:tc>
          <w:tcPr>
            <w:tcW w:w="98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(341,947)</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(200,969)</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-41.2%</w:t>
            </w:r>
          </w:p>
        </w:tc>
        <w:tc>
          <w:tcPr>
            <w:tcW w:w="1480" w:type="dxa"/>
            <w:vAlign w:val="bottom"/>
            <w:tcBorders>
              <w:right w:val="single" w:sz="8" w:color="auto"/>
            </w:tcBorders>
          </w:tcPr>
          <w:p>
            <w:pPr>
              <w:jc w:val="center"/>
              <w:ind w:left="224"/>
              <w:spacing w:after="0" w:line="130" w:lineRule="exact"/>
              <w:rPr>
                <w:sz w:val="20"/>
                <w:szCs w:val="20"/>
                <w:color w:val="auto"/>
              </w:rPr>
            </w:pPr>
            <w:r>
              <w:rPr>
                <w:rFonts w:ascii="Calibri" w:cs="Calibri" w:eastAsia="Calibri" w:hAnsi="Calibri"/>
                <w:sz w:val="11"/>
                <w:szCs w:val="11"/>
                <w:color w:val="auto"/>
              </w:rPr>
              <w:t>-67.7%</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Investment in subsidiaries and others, net of unrealized proft and net income in subsidiaries</w:t>
            </w:r>
          </w:p>
        </w:tc>
        <w:tc>
          <w:tcPr>
            <w:tcW w:w="122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(2,465,969)</w:t>
            </w:r>
          </w:p>
        </w:tc>
        <w:tc>
          <w:tcPr>
            <w:tcW w:w="98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(2,310,402)</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(2,380,842)</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3.0%</w:t>
            </w:r>
          </w:p>
        </w:tc>
        <w:tc>
          <w:tcPr>
            <w:tcW w:w="1480" w:type="dxa"/>
            <w:vAlign w:val="bottom"/>
            <w:tcBorders>
              <w:right w:val="single" w:sz="8" w:color="auto"/>
            </w:tcBorders>
          </w:tcPr>
          <w:p>
            <w:pPr>
              <w:jc w:val="center"/>
              <w:ind w:left="244"/>
              <w:spacing w:after="0" w:line="130" w:lineRule="exact"/>
              <w:rPr>
                <w:sz w:val="20"/>
                <w:szCs w:val="20"/>
                <w:color w:val="auto"/>
              </w:rPr>
            </w:pPr>
            <w:r>
              <w:rPr>
                <w:rFonts w:ascii="Calibri" w:cs="Calibri" w:eastAsia="Calibri" w:hAnsi="Calibri"/>
                <w:sz w:val="11"/>
                <w:szCs w:val="11"/>
                <w:color w:val="auto"/>
              </w:rPr>
              <w:t>-3.5%</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Intangibles</w:t>
            </w:r>
          </w:p>
        </w:tc>
        <w:tc>
          <w:tcPr>
            <w:tcW w:w="122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(1,303,792)</w:t>
            </w:r>
          </w:p>
        </w:tc>
        <w:tc>
          <w:tcPr>
            <w:tcW w:w="98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(1,509,701)</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(1,549,091)</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2.6%</w:t>
            </w:r>
          </w:p>
        </w:tc>
        <w:tc>
          <w:tcPr>
            <w:tcW w:w="1480" w:type="dxa"/>
            <w:vAlign w:val="bottom"/>
            <w:tcBorders>
              <w:right w:val="single" w:sz="8" w:color="auto"/>
            </w:tcBorders>
          </w:tcPr>
          <w:p>
            <w:pPr>
              <w:jc w:val="center"/>
              <w:ind w:left="224"/>
              <w:spacing w:after="0" w:line="130" w:lineRule="exact"/>
              <w:rPr>
                <w:sz w:val="20"/>
                <w:szCs w:val="20"/>
                <w:color w:val="auto"/>
              </w:rPr>
            </w:pPr>
            <w:r>
              <w:rPr>
                <w:rFonts w:ascii="Calibri" w:cs="Calibri" w:eastAsia="Calibri" w:hAnsi="Calibri"/>
                <w:sz w:val="11"/>
                <w:szCs w:val="11"/>
                <w:color w:val="auto"/>
              </w:rPr>
              <w:t>18.8%</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Goodwill</w:t>
            </w:r>
          </w:p>
        </w:tc>
        <w:tc>
          <w:tcPr>
            <w:tcW w:w="122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(122,083)</w:t>
            </w:r>
          </w:p>
        </w:tc>
        <w:tc>
          <w:tcPr>
            <w:tcW w:w="98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(122,083)</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(122,083)</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0.0%</w:t>
            </w:r>
          </w:p>
        </w:tc>
        <w:tc>
          <w:tcPr>
            <w:tcW w:w="1480" w:type="dxa"/>
            <w:vAlign w:val="bottom"/>
            <w:tcBorders>
              <w:right w:val="single" w:sz="8" w:color="auto"/>
            </w:tcBorders>
          </w:tcPr>
          <w:p>
            <w:pPr>
              <w:jc w:val="center"/>
              <w:ind w:left="244"/>
              <w:spacing w:after="0" w:line="130" w:lineRule="exact"/>
              <w:rPr>
                <w:sz w:val="20"/>
                <w:szCs w:val="20"/>
                <w:color w:val="auto"/>
              </w:rPr>
            </w:pPr>
            <w:r>
              <w:rPr>
                <w:rFonts w:ascii="Calibri" w:cs="Calibri" w:eastAsia="Calibri" w:hAnsi="Calibri"/>
                <w:sz w:val="11"/>
                <w:szCs w:val="11"/>
                <w:color w:val="auto"/>
              </w:rPr>
              <w:t>0.0%</w:t>
            </w:r>
          </w:p>
        </w:tc>
      </w:tr>
      <w:tr>
        <w:trPr>
          <w:trHeight w:val="14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Total Regulatory Capital</w:t>
            </w:r>
          </w:p>
        </w:tc>
        <w:tc>
          <w:tcPr>
            <w:tcW w:w="1220" w:type="dxa"/>
            <w:vAlign w:val="bottom"/>
            <w:tcBorders>
              <w:bottom w:val="single" w:sz="8" w:color="auto"/>
            </w:tcBorders>
          </w:tcPr>
          <w:p>
            <w:pPr>
              <w:jc w:val="center"/>
              <w:ind w:right="84"/>
              <w:spacing w:after="0"/>
              <w:rPr>
                <w:sz w:val="20"/>
                <w:szCs w:val="20"/>
                <w:color w:val="auto"/>
              </w:rPr>
            </w:pPr>
            <w:r>
              <w:rPr>
                <w:rFonts w:ascii="Calibri" w:cs="Calibri" w:eastAsia="Calibri" w:hAnsi="Calibri"/>
                <w:sz w:val="11"/>
                <w:szCs w:val="11"/>
                <w:b w:val="1"/>
                <w:bCs w:val="1"/>
                <w:color w:val="auto"/>
              </w:rPr>
              <w:t>25,893,766</w:t>
            </w:r>
          </w:p>
        </w:tc>
        <w:tc>
          <w:tcPr>
            <w:tcW w:w="980" w:type="dxa"/>
            <w:vAlign w:val="bottom"/>
            <w:tcBorders>
              <w:bottom w:val="single" w:sz="8" w:color="auto"/>
            </w:tcBorders>
          </w:tcPr>
          <w:p>
            <w:pPr>
              <w:jc w:val="center"/>
              <w:ind w:right="84"/>
              <w:spacing w:after="0"/>
              <w:rPr>
                <w:sz w:val="20"/>
                <w:szCs w:val="20"/>
                <w:color w:val="auto"/>
              </w:rPr>
            </w:pPr>
            <w:r>
              <w:rPr>
                <w:rFonts w:ascii="Calibri" w:cs="Calibri" w:eastAsia="Calibri" w:hAnsi="Calibri"/>
                <w:sz w:val="11"/>
                <w:szCs w:val="11"/>
                <w:b w:val="1"/>
                <w:bCs w:val="1"/>
                <w:color w:val="auto"/>
              </w:rPr>
              <w:t>27,124,251</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9"/>
              </w:rPr>
              <w:t>28,284,896</w:t>
            </w:r>
          </w:p>
        </w:tc>
        <w:tc>
          <w:tcPr>
            <w:tcW w:w="800" w:type="dxa"/>
            <w:vAlign w:val="bottom"/>
            <w:tcBorders>
              <w:bottom w:val="single" w:sz="8" w:color="auto"/>
            </w:tcBorders>
          </w:tcPr>
          <w:p>
            <w:pPr>
              <w:jc w:val="center"/>
              <w:ind w:left="264"/>
              <w:spacing w:after="0"/>
              <w:rPr>
                <w:sz w:val="20"/>
                <w:szCs w:val="20"/>
                <w:color w:val="auto"/>
              </w:rPr>
            </w:pPr>
            <w:r>
              <w:rPr>
                <w:rFonts w:ascii="Calibri" w:cs="Calibri" w:eastAsia="Calibri" w:hAnsi="Calibri"/>
                <w:sz w:val="11"/>
                <w:szCs w:val="11"/>
                <w:b w:val="1"/>
                <w:bCs w:val="1"/>
                <w:color w:val="auto"/>
              </w:rPr>
              <w:t>4.3%</w:t>
            </w:r>
          </w:p>
        </w:tc>
        <w:tc>
          <w:tcPr>
            <w:tcW w:w="1480" w:type="dxa"/>
            <w:vAlign w:val="bottom"/>
            <w:tcBorders>
              <w:bottom w:val="single" w:sz="8" w:color="auto"/>
              <w:right w:val="single" w:sz="8" w:color="auto"/>
            </w:tcBorders>
          </w:tcPr>
          <w:p>
            <w:pPr>
              <w:jc w:val="center"/>
              <w:ind w:left="244"/>
              <w:spacing w:after="0"/>
              <w:rPr>
                <w:sz w:val="20"/>
                <w:szCs w:val="20"/>
                <w:color w:val="auto"/>
              </w:rPr>
            </w:pPr>
            <w:r>
              <w:rPr>
                <w:rFonts w:ascii="Calibri" w:cs="Calibri" w:eastAsia="Calibri" w:hAnsi="Calibri"/>
                <w:sz w:val="11"/>
                <w:szCs w:val="11"/>
                <w:b w:val="1"/>
                <w:bCs w:val="1"/>
                <w:color w:val="auto"/>
                <w:w w:val="99"/>
              </w:rPr>
              <w:t>9.2%</w:t>
            </w:r>
          </w:p>
        </w:tc>
      </w:tr>
      <w:tr>
        <w:trPr>
          <w:trHeight w:val="129"/>
        </w:trPr>
        <w:tc>
          <w:tcPr>
            <w:tcW w:w="56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 xml:space="preserve">Tier 1 Common Equity </w:t>
            </w:r>
            <w:r>
              <w:rPr>
                <w:rFonts w:ascii="Calibri" w:cs="Calibri" w:eastAsia="Calibri" w:hAnsi="Calibri"/>
                <w:sz w:val="9"/>
                <w:szCs w:val="9"/>
                <w:b w:val="1"/>
                <w:bCs w:val="1"/>
                <w:color w:val="auto"/>
              </w:rPr>
              <w:t>(2)</w:t>
            </w:r>
          </w:p>
        </w:tc>
        <w:tc>
          <w:tcPr>
            <w:tcW w:w="1220" w:type="dxa"/>
            <w:vAlign w:val="bottom"/>
            <w:tcBorders>
              <w:bottom w:val="single" w:sz="8" w:color="auto"/>
            </w:tcBorders>
          </w:tcPr>
          <w:p>
            <w:pPr>
              <w:jc w:val="center"/>
              <w:ind w:right="84"/>
              <w:spacing w:after="0" w:line="129" w:lineRule="exact"/>
              <w:rPr>
                <w:sz w:val="20"/>
                <w:szCs w:val="20"/>
                <w:color w:val="auto"/>
              </w:rPr>
            </w:pPr>
            <w:r>
              <w:rPr>
                <w:rFonts w:ascii="Calibri" w:cs="Calibri" w:eastAsia="Calibri" w:hAnsi="Calibri"/>
                <w:sz w:val="11"/>
                <w:szCs w:val="11"/>
                <w:b w:val="1"/>
                <w:bCs w:val="1"/>
                <w:color w:val="auto"/>
              </w:rPr>
              <w:t>18,972,038</w:t>
            </w:r>
          </w:p>
        </w:tc>
        <w:tc>
          <w:tcPr>
            <w:tcW w:w="980" w:type="dxa"/>
            <w:vAlign w:val="bottom"/>
            <w:tcBorders>
              <w:bottom w:val="single" w:sz="8" w:color="auto"/>
            </w:tcBorders>
          </w:tcPr>
          <w:p>
            <w:pPr>
              <w:jc w:val="center"/>
              <w:ind w:right="84"/>
              <w:spacing w:after="0" w:line="129" w:lineRule="exact"/>
              <w:rPr>
                <w:sz w:val="20"/>
                <w:szCs w:val="20"/>
                <w:color w:val="auto"/>
              </w:rPr>
            </w:pPr>
            <w:r>
              <w:rPr>
                <w:rFonts w:ascii="Calibri" w:cs="Calibri" w:eastAsia="Calibri" w:hAnsi="Calibri"/>
                <w:sz w:val="11"/>
                <w:szCs w:val="11"/>
                <w:b w:val="1"/>
                <w:bCs w:val="1"/>
                <w:color w:val="auto"/>
              </w:rPr>
              <w:t>18,231,493</w:t>
            </w:r>
          </w:p>
        </w:tc>
        <w:tc>
          <w:tcPr>
            <w:tcW w:w="112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19,974,891</w:t>
            </w:r>
          </w:p>
        </w:tc>
        <w:tc>
          <w:tcPr>
            <w:tcW w:w="800" w:type="dxa"/>
            <w:vAlign w:val="bottom"/>
            <w:tcBorders>
              <w:bottom w:val="single" w:sz="8" w:color="auto"/>
            </w:tcBorders>
          </w:tcPr>
          <w:p>
            <w:pPr>
              <w:jc w:val="center"/>
              <w:ind w:left="264"/>
              <w:spacing w:after="0" w:line="129" w:lineRule="exact"/>
              <w:rPr>
                <w:sz w:val="20"/>
                <w:szCs w:val="20"/>
                <w:color w:val="auto"/>
              </w:rPr>
            </w:pPr>
            <w:r>
              <w:rPr>
                <w:rFonts w:ascii="Calibri" w:cs="Calibri" w:eastAsia="Calibri" w:hAnsi="Calibri"/>
                <w:sz w:val="11"/>
                <w:szCs w:val="11"/>
                <w:b w:val="1"/>
                <w:bCs w:val="1"/>
                <w:color w:val="auto"/>
              </w:rPr>
              <w:t>9.6%</w:t>
            </w:r>
          </w:p>
        </w:tc>
        <w:tc>
          <w:tcPr>
            <w:tcW w:w="1480" w:type="dxa"/>
            <w:vAlign w:val="bottom"/>
            <w:tcBorders>
              <w:bottom w:val="single" w:sz="8" w:color="auto"/>
              <w:right w:val="single" w:sz="8" w:color="auto"/>
            </w:tcBorders>
          </w:tcPr>
          <w:p>
            <w:pPr>
              <w:jc w:val="center"/>
              <w:ind w:left="244"/>
              <w:spacing w:after="0" w:line="129" w:lineRule="exact"/>
              <w:rPr>
                <w:sz w:val="20"/>
                <w:szCs w:val="20"/>
                <w:color w:val="auto"/>
              </w:rPr>
            </w:pPr>
            <w:r>
              <w:rPr>
                <w:rFonts w:ascii="Calibri" w:cs="Calibri" w:eastAsia="Calibri" w:hAnsi="Calibri"/>
                <w:sz w:val="11"/>
                <w:szCs w:val="11"/>
                <w:b w:val="1"/>
                <w:bCs w:val="1"/>
                <w:color w:val="auto"/>
                <w:w w:val="99"/>
              </w:rPr>
              <w:t>5.3%</w:t>
            </w:r>
          </w:p>
        </w:tc>
      </w:tr>
      <w:tr>
        <w:trPr>
          <w:trHeight w:val="123"/>
        </w:trPr>
        <w:tc>
          <w:tcPr>
            <w:tcW w:w="566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 xml:space="preserve">Regulatory Tier 1 Capital </w:t>
            </w:r>
            <w:r>
              <w:rPr>
                <w:rFonts w:ascii="Calibri" w:cs="Calibri" w:eastAsia="Calibri" w:hAnsi="Calibri"/>
                <w:sz w:val="9"/>
                <w:szCs w:val="9"/>
                <w:b w:val="1"/>
                <w:bCs w:val="1"/>
                <w:color w:val="auto"/>
              </w:rPr>
              <w:t>(3)</w:t>
            </w:r>
          </w:p>
        </w:tc>
        <w:tc>
          <w:tcPr>
            <w:tcW w:w="1220" w:type="dxa"/>
            <w:vAlign w:val="bottom"/>
            <w:tcBorders>
              <w:bottom w:val="single" w:sz="8" w:color="auto"/>
            </w:tcBorders>
          </w:tcPr>
          <w:p>
            <w:pPr>
              <w:jc w:val="center"/>
              <w:ind w:right="84"/>
              <w:spacing w:after="0" w:line="124" w:lineRule="exact"/>
              <w:rPr>
                <w:sz w:val="20"/>
                <w:szCs w:val="20"/>
                <w:color w:val="auto"/>
              </w:rPr>
            </w:pPr>
            <w:r>
              <w:rPr>
                <w:rFonts w:ascii="Calibri" w:cs="Calibri" w:eastAsia="Calibri" w:hAnsi="Calibri"/>
                <w:sz w:val="11"/>
                <w:szCs w:val="11"/>
                <w:b w:val="1"/>
                <w:bCs w:val="1"/>
                <w:color w:val="auto"/>
              </w:rPr>
              <w:t>18,972,038</w:t>
            </w:r>
          </w:p>
        </w:tc>
        <w:tc>
          <w:tcPr>
            <w:tcW w:w="980" w:type="dxa"/>
            <w:vAlign w:val="bottom"/>
            <w:tcBorders>
              <w:bottom w:val="single" w:sz="8" w:color="auto"/>
            </w:tcBorders>
          </w:tcPr>
          <w:p>
            <w:pPr>
              <w:jc w:val="center"/>
              <w:ind w:right="84"/>
              <w:spacing w:after="0" w:line="124" w:lineRule="exact"/>
              <w:rPr>
                <w:sz w:val="20"/>
                <w:szCs w:val="20"/>
                <w:color w:val="auto"/>
              </w:rPr>
            </w:pPr>
            <w:r>
              <w:rPr>
                <w:rFonts w:ascii="Calibri" w:cs="Calibri" w:eastAsia="Calibri" w:hAnsi="Calibri"/>
                <w:sz w:val="11"/>
                <w:szCs w:val="11"/>
                <w:b w:val="1"/>
                <w:bCs w:val="1"/>
                <w:color w:val="auto"/>
              </w:rPr>
              <w:t>18,231,493</w:t>
            </w:r>
          </w:p>
        </w:tc>
        <w:tc>
          <w:tcPr>
            <w:tcW w:w="112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19,974,891</w:t>
            </w:r>
          </w:p>
        </w:tc>
        <w:tc>
          <w:tcPr>
            <w:tcW w:w="800" w:type="dxa"/>
            <w:vAlign w:val="bottom"/>
            <w:tcBorders>
              <w:bottom w:val="single" w:sz="8" w:color="auto"/>
            </w:tcBorders>
          </w:tcPr>
          <w:p>
            <w:pPr>
              <w:jc w:val="center"/>
              <w:ind w:left="264"/>
              <w:spacing w:after="0" w:line="124" w:lineRule="exact"/>
              <w:rPr>
                <w:sz w:val="20"/>
                <w:szCs w:val="20"/>
                <w:color w:val="auto"/>
              </w:rPr>
            </w:pPr>
            <w:r>
              <w:rPr>
                <w:rFonts w:ascii="Calibri" w:cs="Calibri" w:eastAsia="Calibri" w:hAnsi="Calibri"/>
                <w:sz w:val="11"/>
                <w:szCs w:val="11"/>
                <w:b w:val="1"/>
                <w:bCs w:val="1"/>
                <w:color w:val="auto"/>
              </w:rPr>
              <w:t>9.6%</w:t>
            </w:r>
          </w:p>
        </w:tc>
        <w:tc>
          <w:tcPr>
            <w:tcW w:w="1480" w:type="dxa"/>
            <w:vAlign w:val="bottom"/>
            <w:tcBorders>
              <w:bottom w:val="single" w:sz="8" w:color="auto"/>
              <w:right w:val="single" w:sz="8" w:color="auto"/>
            </w:tcBorders>
          </w:tcPr>
          <w:p>
            <w:pPr>
              <w:jc w:val="center"/>
              <w:ind w:left="244"/>
              <w:spacing w:after="0" w:line="124" w:lineRule="exact"/>
              <w:rPr>
                <w:sz w:val="20"/>
                <w:szCs w:val="20"/>
                <w:color w:val="auto"/>
              </w:rPr>
            </w:pPr>
            <w:r>
              <w:rPr>
                <w:rFonts w:ascii="Calibri" w:cs="Calibri" w:eastAsia="Calibri" w:hAnsi="Calibri"/>
                <w:sz w:val="11"/>
                <w:szCs w:val="11"/>
                <w:b w:val="1"/>
                <w:bCs w:val="1"/>
                <w:color w:val="auto"/>
                <w:w w:val="99"/>
              </w:rPr>
              <w:t>5.3%</w:t>
            </w:r>
          </w:p>
        </w:tc>
      </w:tr>
      <w:tr>
        <w:trPr>
          <w:trHeight w:val="123"/>
        </w:trPr>
        <w:tc>
          <w:tcPr>
            <w:tcW w:w="566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 xml:space="preserve">Regulatory Tier 2 Capital </w:t>
            </w:r>
            <w:r>
              <w:rPr>
                <w:rFonts w:ascii="Calibri" w:cs="Calibri" w:eastAsia="Calibri" w:hAnsi="Calibri"/>
                <w:sz w:val="9"/>
                <w:szCs w:val="9"/>
                <w:b w:val="1"/>
                <w:bCs w:val="1"/>
                <w:color w:val="auto"/>
              </w:rPr>
              <w:t>(4)</w:t>
            </w:r>
          </w:p>
        </w:tc>
        <w:tc>
          <w:tcPr>
            <w:tcW w:w="1220" w:type="dxa"/>
            <w:vAlign w:val="bottom"/>
            <w:tcBorders>
              <w:bottom w:val="single" w:sz="8" w:color="auto"/>
            </w:tcBorders>
          </w:tcPr>
          <w:p>
            <w:pPr>
              <w:jc w:val="center"/>
              <w:ind w:right="64"/>
              <w:spacing w:after="0" w:line="124" w:lineRule="exact"/>
              <w:rPr>
                <w:sz w:val="20"/>
                <w:szCs w:val="20"/>
                <w:color w:val="auto"/>
              </w:rPr>
            </w:pPr>
            <w:r>
              <w:rPr>
                <w:rFonts w:ascii="Calibri" w:cs="Calibri" w:eastAsia="Calibri" w:hAnsi="Calibri"/>
                <w:sz w:val="11"/>
                <w:szCs w:val="11"/>
                <w:b w:val="1"/>
                <w:bCs w:val="1"/>
                <w:color w:val="auto"/>
              </w:rPr>
              <w:t>6,921,728</w:t>
            </w:r>
          </w:p>
        </w:tc>
        <w:tc>
          <w:tcPr>
            <w:tcW w:w="980" w:type="dxa"/>
            <w:vAlign w:val="bottom"/>
            <w:tcBorders>
              <w:bottom w:val="single" w:sz="8" w:color="auto"/>
            </w:tcBorders>
          </w:tcPr>
          <w:p>
            <w:pPr>
              <w:jc w:val="center"/>
              <w:ind w:right="64"/>
              <w:spacing w:after="0" w:line="124" w:lineRule="exact"/>
              <w:rPr>
                <w:sz w:val="20"/>
                <w:szCs w:val="20"/>
                <w:color w:val="auto"/>
              </w:rPr>
            </w:pPr>
            <w:r>
              <w:rPr>
                <w:rFonts w:ascii="Calibri" w:cs="Calibri" w:eastAsia="Calibri" w:hAnsi="Calibri"/>
                <w:sz w:val="11"/>
                <w:szCs w:val="11"/>
                <w:b w:val="1"/>
                <w:bCs w:val="1"/>
                <w:color w:val="auto"/>
              </w:rPr>
              <w:t>8,892,758</w:t>
            </w:r>
          </w:p>
        </w:tc>
        <w:tc>
          <w:tcPr>
            <w:tcW w:w="112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8,310,005</w:t>
            </w:r>
          </w:p>
        </w:tc>
        <w:tc>
          <w:tcPr>
            <w:tcW w:w="800" w:type="dxa"/>
            <w:vAlign w:val="bottom"/>
            <w:tcBorders>
              <w:bottom w:val="single" w:sz="8" w:color="auto"/>
            </w:tcBorders>
          </w:tcPr>
          <w:p>
            <w:pPr>
              <w:jc w:val="center"/>
              <w:ind w:left="264"/>
              <w:spacing w:after="0" w:line="124" w:lineRule="exact"/>
              <w:rPr>
                <w:sz w:val="20"/>
                <w:szCs w:val="20"/>
                <w:color w:val="auto"/>
              </w:rPr>
            </w:pPr>
            <w:r>
              <w:rPr>
                <w:rFonts w:ascii="Calibri" w:cs="Calibri" w:eastAsia="Calibri" w:hAnsi="Calibri"/>
                <w:sz w:val="11"/>
                <w:szCs w:val="11"/>
                <w:b w:val="1"/>
                <w:bCs w:val="1"/>
                <w:color w:val="auto"/>
              </w:rPr>
              <w:t>-6.6%</w:t>
            </w:r>
          </w:p>
        </w:tc>
        <w:tc>
          <w:tcPr>
            <w:tcW w:w="1480" w:type="dxa"/>
            <w:vAlign w:val="bottom"/>
            <w:tcBorders>
              <w:bottom w:val="single" w:sz="8" w:color="auto"/>
              <w:right w:val="single" w:sz="8" w:color="auto"/>
            </w:tcBorders>
          </w:tcPr>
          <w:p>
            <w:pPr>
              <w:jc w:val="center"/>
              <w:ind w:left="224"/>
              <w:spacing w:after="0" w:line="124" w:lineRule="exact"/>
              <w:rPr>
                <w:sz w:val="20"/>
                <w:szCs w:val="20"/>
                <w:color w:val="auto"/>
              </w:rPr>
            </w:pPr>
            <w:r>
              <w:rPr>
                <w:rFonts w:ascii="Calibri" w:cs="Calibri" w:eastAsia="Calibri" w:hAnsi="Calibri"/>
                <w:sz w:val="11"/>
                <w:szCs w:val="11"/>
                <w:b w:val="1"/>
                <w:bCs w:val="1"/>
                <w:color w:val="auto"/>
              </w:rPr>
              <w:t>20.1%</w:t>
            </w:r>
          </w:p>
        </w:tc>
      </w:tr>
      <w:tr>
        <w:trPr>
          <w:trHeight w:val="188"/>
        </w:trPr>
        <w:tc>
          <w:tcPr>
            <w:tcW w:w="5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23"/>
        </w:trPr>
        <w:tc>
          <w:tcPr>
            <w:tcW w:w="5660" w:type="dxa"/>
            <w:vAlign w:val="bottom"/>
            <w:tcBorders>
              <w:left w:val="single" w:sz="8" w:color="auto"/>
              <w:right w:val="single" w:sz="8" w:color="auto"/>
            </w:tcBorders>
            <w:shd w:val="clear" w:color="auto" w:fill="33CCCC"/>
          </w:tcPr>
          <w:p>
            <w:pPr>
              <w:ind w:left="20"/>
              <w:spacing w:after="0" w:line="124" w:lineRule="exact"/>
              <w:rPr>
                <w:sz w:val="20"/>
                <w:szCs w:val="20"/>
                <w:color w:val="auto"/>
              </w:rPr>
            </w:pPr>
            <w:r>
              <w:rPr>
                <w:rFonts w:ascii="Calibri" w:cs="Calibri" w:eastAsia="Calibri" w:hAnsi="Calibri"/>
                <w:sz w:val="11"/>
                <w:szCs w:val="11"/>
                <w:b w:val="1"/>
                <w:bCs w:val="1"/>
                <w:color w:val="FFFFFF"/>
              </w:rPr>
              <w:t>Total risk-weighted assets</w:t>
            </w:r>
          </w:p>
        </w:tc>
        <w:tc>
          <w:tcPr>
            <w:tcW w:w="1220" w:type="dxa"/>
            <w:vAlign w:val="bottom"/>
            <w:shd w:val="clear" w:color="auto" w:fill="33CCCC"/>
          </w:tcPr>
          <w:p>
            <w:pPr>
              <w:spacing w:after="0"/>
              <w:rPr>
                <w:sz w:val="10"/>
                <w:szCs w:val="10"/>
                <w:color w:val="auto"/>
              </w:rPr>
            </w:pPr>
          </w:p>
        </w:tc>
        <w:tc>
          <w:tcPr>
            <w:tcW w:w="980" w:type="dxa"/>
            <w:vAlign w:val="bottom"/>
            <w:shd w:val="clear" w:color="auto" w:fill="33CCCC"/>
          </w:tcPr>
          <w:p>
            <w:pPr>
              <w:ind w:left="240"/>
              <w:spacing w:after="0" w:line="124" w:lineRule="exact"/>
              <w:rPr>
                <w:sz w:val="20"/>
                <w:szCs w:val="20"/>
                <w:color w:val="auto"/>
              </w:rPr>
            </w:pPr>
            <w:r>
              <w:rPr>
                <w:rFonts w:ascii="Calibri" w:cs="Calibri" w:eastAsia="Calibri" w:hAnsi="Calibri"/>
                <w:sz w:val="11"/>
                <w:szCs w:val="11"/>
                <w:b w:val="1"/>
                <w:bCs w:val="1"/>
                <w:color w:val="FFFFFF"/>
              </w:rPr>
              <w:t>Quarter</w:t>
            </w:r>
          </w:p>
        </w:tc>
        <w:tc>
          <w:tcPr>
            <w:tcW w:w="1120" w:type="dxa"/>
            <w:vAlign w:val="bottom"/>
            <w:tcBorders>
              <w:right w:val="single" w:sz="8" w:color="auto"/>
            </w:tcBorders>
            <w:shd w:val="clear" w:color="auto" w:fill="33CCCC"/>
          </w:tcPr>
          <w:p>
            <w:pPr>
              <w:spacing w:after="0"/>
              <w:rPr>
                <w:sz w:val="10"/>
                <w:szCs w:val="10"/>
                <w:color w:val="auto"/>
              </w:rPr>
            </w:pPr>
          </w:p>
        </w:tc>
        <w:tc>
          <w:tcPr>
            <w:tcW w:w="800" w:type="dxa"/>
            <w:vAlign w:val="bottom"/>
            <w:shd w:val="clear" w:color="auto" w:fill="33CCCC"/>
          </w:tcPr>
          <w:p>
            <w:pPr>
              <w:spacing w:after="0"/>
              <w:rPr>
                <w:sz w:val="10"/>
                <w:szCs w:val="10"/>
                <w:color w:val="auto"/>
              </w:rPr>
            </w:pPr>
          </w:p>
        </w:tc>
        <w:tc>
          <w:tcPr>
            <w:tcW w:w="1480" w:type="dxa"/>
            <w:vAlign w:val="bottom"/>
            <w:tcBorders>
              <w:right w:val="single" w:sz="8" w:color="auto"/>
            </w:tcBorders>
            <w:shd w:val="clear" w:color="auto" w:fill="33CCCC"/>
          </w:tcPr>
          <w:p>
            <w:pPr>
              <w:ind w:left="100"/>
              <w:spacing w:after="0" w:line="124" w:lineRule="exact"/>
              <w:rPr>
                <w:sz w:val="20"/>
                <w:szCs w:val="20"/>
                <w:color w:val="auto"/>
              </w:rPr>
            </w:pPr>
            <w:r>
              <w:rPr>
                <w:rFonts w:ascii="Calibri" w:cs="Calibri" w:eastAsia="Calibri" w:hAnsi="Calibri"/>
                <w:sz w:val="11"/>
                <w:szCs w:val="11"/>
                <w:b w:val="1"/>
                <w:bCs w:val="1"/>
                <w:color w:val="FFFFFF"/>
              </w:rPr>
              <w:t>% Change</w:t>
            </w:r>
          </w:p>
        </w:tc>
      </w:tr>
      <w:tr>
        <w:trPr>
          <w:trHeight w:val="130"/>
        </w:trPr>
        <w:tc>
          <w:tcPr>
            <w:tcW w:w="5660" w:type="dxa"/>
            <w:vAlign w:val="bottom"/>
            <w:tcBorders>
              <w:left w:val="single" w:sz="8" w:color="auto"/>
              <w:bottom w:val="single" w:sz="8" w:color="auto"/>
              <w:right w:val="single" w:sz="8" w:color="auto"/>
            </w:tcBorders>
            <w:shd w:val="clear" w:color="auto" w:fill="33CCCC"/>
          </w:tcPr>
          <w:p>
            <w:pPr>
              <w:ind w:left="40"/>
              <w:spacing w:after="0" w:line="130" w:lineRule="exact"/>
              <w:rPr>
                <w:sz w:val="20"/>
                <w:szCs w:val="20"/>
                <w:color w:val="auto"/>
              </w:rPr>
            </w:pPr>
            <w:r>
              <w:rPr>
                <w:rFonts w:ascii="Calibri" w:cs="Calibri" w:eastAsia="Calibri" w:hAnsi="Calibri"/>
                <w:sz w:val="11"/>
                <w:szCs w:val="11"/>
                <w:color w:val="FFFFFF"/>
              </w:rPr>
              <w:t>(S/ thousand)</w:t>
            </w:r>
          </w:p>
        </w:tc>
        <w:tc>
          <w:tcPr>
            <w:tcW w:w="1220" w:type="dxa"/>
            <w:vAlign w:val="bottom"/>
            <w:tcBorders>
              <w:bottom w:val="single" w:sz="8" w:color="auto"/>
            </w:tcBorders>
            <w:shd w:val="clear" w:color="auto" w:fill="33CCCC"/>
          </w:tcPr>
          <w:p>
            <w:pPr>
              <w:ind w:left="400"/>
              <w:spacing w:after="0" w:line="130" w:lineRule="exact"/>
              <w:rPr>
                <w:sz w:val="20"/>
                <w:szCs w:val="20"/>
                <w:color w:val="auto"/>
              </w:rPr>
            </w:pPr>
            <w:r>
              <w:rPr>
                <w:rFonts w:ascii="Calibri" w:cs="Calibri" w:eastAsia="Calibri" w:hAnsi="Calibri"/>
                <w:sz w:val="11"/>
                <w:szCs w:val="11"/>
                <w:b w:val="1"/>
                <w:bCs w:val="1"/>
                <w:color w:val="FFFFFF"/>
              </w:rPr>
              <w:t>Jun 24</w:t>
            </w:r>
          </w:p>
        </w:tc>
        <w:tc>
          <w:tcPr>
            <w:tcW w:w="980" w:type="dxa"/>
            <w:vAlign w:val="bottom"/>
            <w:tcBorders>
              <w:bottom w:val="single" w:sz="8" w:color="auto"/>
            </w:tcBorders>
            <w:shd w:val="clear" w:color="auto" w:fill="33CCCC"/>
          </w:tcPr>
          <w:p>
            <w:pPr>
              <w:ind w:left="260"/>
              <w:spacing w:after="0" w:line="130" w:lineRule="exact"/>
              <w:rPr>
                <w:sz w:val="20"/>
                <w:szCs w:val="20"/>
                <w:color w:val="auto"/>
              </w:rPr>
            </w:pPr>
            <w:r>
              <w:rPr>
                <w:rFonts w:ascii="Calibri" w:cs="Calibri" w:eastAsia="Calibri" w:hAnsi="Calibri"/>
                <w:sz w:val="11"/>
                <w:szCs w:val="11"/>
                <w:b w:val="1"/>
                <w:bCs w:val="1"/>
                <w:color w:val="FFFFFF"/>
              </w:rPr>
              <w:t>Mar 25</w:t>
            </w:r>
          </w:p>
        </w:tc>
        <w:tc>
          <w:tcPr>
            <w:tcW w:w="1120" w:type="dxa"/>
            <w:vAlign w:val="bottom"/>
            <w:tcBorders>
              <w:bottom w:val="single" w:sz="8" w:color="auto"/>
              <w:right w:val="single" w:sz="8" w:color="auto"/>
            </w:tcBorders>
            <w:shd w:val="clear" w:color="auto" w:fill="33CCCC"/>
          </w:tcPr>
          <w:p>
            <w:pPr>
              <w:ind w:left="400"/>
              <w:spacing w:after="0" w:line="130" w:lineRule="exact"/>
              <w:rPr>
                <w:sz w:val="20"/>
                <w:szCs w:val="20"/>
                <w:color w:val="auto"/>
              </w:rPr>
            </w:pPr>
            <w:r>
              <w:rPr>
                <w:rFonts w:ascii="Calibri" w:cs="Calibri" w:eastAsia="Calibri" w:hAnsi="Calibri"/>
                <w:sz w:val="11"/>
                <w:szCs w:val="11"/>
                <w:b w:val="1"/>
                <w:bCs w:val="1"/>
                <w:color w:val="FFFFFF"/>
              </w:rPr>
              <w:t>Jun 25</w:t>
            </w:r>
          </w:p>
        </w:tc>
        <w:tc>
          <w:tcPr>
            <w:tcW w:w="800" w:type="dxa"/>
            <w:vAlign w:val="bottom"/>
            <w:tcBorders>
              <w:bottom w:val="single" w:sz="8" w:color="auto"/>
            </w:tcBorders>
            <w:shd w:val="clear" w:color="auto" w:fill="33CCCC"/>
          </w:tcPr>
          <w:p>
            <w:pPr>
              <w:jc w:val="center"/>
              <w:ind w:left="264"/>
              <w:spacing w:after="0" w:line="130" w:lineRule="exact"/>
              <w:rPr>
                <w:sz w:val="20"/>
                <w:szCs w:val="20"/>
                <w:color w:val="auto"/>
              </w:rPr>
            </w:pPr>
            <w:r>
              <w:rPr>
                <w:rFonts w:ascii="Calibri" w:cs="Calibri" w:eastAsia="Calibri" w:hAnsi="Calibri"/>
                <w:sz w:val="11"/>
                <w:szCs w:val="11"/>
                <w:b w:val="1"/>
                <w:bCs w:val="1"/>
                <w:color w:val="FFFFFF"/>
                <w:w w:val="94"/>
              </w:rPr>
              <w:t>QoQ</w:t>
            </w:r>
          </w:p>
        </w:tc>
        <w:tc>
          <w:tcPr>
            <w:tcW w:w="1480" w:type="dxa"/>
            <w:vAlign w:val="bottom"/>
            <w:tcBorders>
              <w:bottom w:val="single" w:sz="8" w:color="auto"/>
              <w:right w:val="single" w:sz="8" w:color="auto"/>
            </w:tcBorders>
            <w:shd w:val="clear" w:color="auto" w:fill="33CCCC"/>
          </w:tcPr>
          <w:p>
            <w:pPr>
              <w:jc w:val="center"/>
              <w:ind w:left="224"/>
              <w:spacing w:after="0" w:line="130" w:lineRule="exact"/>
              <w:rPr>
                <w:sz w:val="20"/>
                <w:szCs w:val="20"/>
                <w:color w:val="auto"/>
              </w:rPr>
            </w:pPr>
            <w:r>
              <w:rPr>
                <w:rFonts w:ascii="Calibri" w:cs="Calibri" w:eastAsia="Calibri" w:hAnsi="Calibri"/>
                <w:sz w:val="11"/>
                <w:szCs w:val="11"/>
                <w:b w:val="1"/>
                <w:bCs w:val="1"/>
                <w:color w:val="FFFFFF"/>
                <w:w w:val="91"/>
              </w:rPr>
              <w:t>YoY</w:t>
            </w:r>
          </w:p>
        </w:tc>
      </w:tr>
      <w:tr>
        <w:trPr>
          <w:trHeight w:val="108"/>
        </w:trPr>
        <w:tc>
          <w:tcPr>
            <w:tcW w:w="5660" w:type="dxa"/>
            <w:vAlign w:val="bottom"/>
            <w:tcBorders>
              <w:left w:val="single" w:sz="8" w:color="auto"/>
              <w:right w:val="single" w:sz="8" w:color="auto"/>
            </w:tcBorders>
          </w:tcPr>
          <w:p>
            <w:pPr>
              <w:ind w:left="180"/>
              <w:spacing w:after="0" w:line="108" w:lineRule="exact"/>
              <w:rPr>
                <w:sz w:val="20"/>
                <w:szCs w:val="20"/>
                <w:color w:val="auto"/>
              </w:rPr>
            </w:pPr>
            <w:r>
              <w:rPr>
                <w:rFonts w:ascii="Calibri" w:cs="Calibri" w:eastAsia="Calibri" w:hAnsi="Calibri"/>
                <w:sz w:val="11"/>
                <w:szCs w:val="11"/>
                <w:color w:val="auto"/>
              </w:rPr>
              <w:t>Market risk-weighted assets</w:t>
            </w:r>
          </w:p>
        </w:tc>
        <w:tc>
          <w:tcPr>
            <w:tcW w:w="1220" w:type="dxa"/>
            <w:vAlign w:val="bottom"/>
          </w:tcPr>
          <w:p>
            <w:pPr>
              <w:jc w:val="center"/>
              <w:ind w:right="64"/>
              <w:spacing w:after="0" w:line="108" w:lineRule="exact"/>
              <w:rPr>
                <w:sz w:val="20"/>
                <w:szCs w:val="20"/>
                <w:color w:val="auto"/>
              </w:rPr>
            </w:pPr>
            <w:r>
              <w:rPr>
                <w:rFonts w:ascii="Calibri" w:cs="Calibri" w:eastAsia="Calibri" w:hAnsi="Calibri"/>
                <w:sz w:val="11"/>
                <w:szCs w:val="11"/>
                <w:color w:val="auto"/>
              </w:rPr>
              <w:t>3,300,703</w:t>
            </w:r>
          </w:p>
        </w:tc>
        <w:tc>
          <w:tcPr>
            <w:tcW w:w="980" w:type="dxa"/>
            <w:vAlign w:val="bottom"/>
          </w:tcPr>
          <w:p>
            <w:pPr>
              <w:jc w:val="center"/>
              <w:ind w:right="64"/>
              <w:spacing w:after="0" w:line="108" w:lineRule="exact"/>
              <w:rPr>
                <w:sz w:val="20"/>
                <w:szCs w:val="20"/>
                <w:color w:val="auto"/>
              </w:rPr>
            </w:pPr>
            <w:r>
              <w:rPr>
                <w:rFonts w:ascii="Calibri" w:cs="Calibri" w:eastAsia="Calibri" w:hAnsi="Calibri"/>
                <w:sz w:val="11"/>
                <w:szCs w:val="11"/>
                <w:color w:val="auto"/>
              </w:rPr>
              <w:t>3,903,493</w:t>
            </w:r>
          </w:p>
        </w:tc>
        <w:tc>
          <w:tcPr>
            <w:tcW w:w="112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4,400,226</w:t>
            </w:r>
          </w:p>
        </w:tc>
        <w:tc>
          <w:tcPr>
            <w:tcW w:w="800" w:type="dxa"/>
            <w:vAlign w:val="bottom"/>
          </w:tcPr>
          <w:p>
            <w:pPr>
              <w:jc w:val="center"/>
              <w:ind w:left="264"/>
              <w:spacing w:after="0" w:line="108" w:lineRule="exact"/>
              <w:rPr>
                <w:sz w:val="20"/>
                <w:szCs w:val="20"/>
                <w:color w:val="auto"/>
              </w:rPr>
            </w:pPr>
            <w:r>
              <w:rPr>
                <w:rFonts w:ascii="Calibri" w:cs="Calibri" w:eastAsia="Calibri" w:hAnsi="Calibri"/>
                <w:sz w:val="11"/>
                <w:szCs w:val="11"/>
                <w:color w:val="auto"/>
              </w:rPr>
              <w:t>12.7%</w:t>
            </w:r>
          </w:p>
        </w:tc>
        <w:tc>
          <w:tcPr>
            <w:tcW w:w="1480" w:type="dxa"/>
            <w:vAlign w:val="bottom"/>
            <w:tcBorders>
              <w:right w:val="single" w:sz="8" w:color="auto"/>
            </w:tcBorders>
          </w:tcPr>
          <w:p>
            <w:pPr>
              <w:jc w:val="center"/>
              <w:ind w:left="224"/>
              <w:spacing w:after="0" w:line="108" w:lineRule="exact"/>
              <w:rPr>
                <w:sz w:val="20"/>
                <w:szCs w:val="20"/>
                <w:color w:val="auto"/>
              </w:rPr>
            </w:pPr>
            <w:r>
              <w:rPr>
                <w:rFonts w:ascii="Calibri" w:cs="Calibri" w:eastAsia="Calibri" w:hAnsi="Calibri"/>
                <w:sz w:val="11"/>
                <w:szCs w:val="11"/>
                <w:color w:val="auto"/>
              </w:rPr>
              <w:t>33.3%</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Credit risk-weighted assets</w:t>
            </w:r>
          </w:p>
        </w:tc>
        <w:tc>
          <w:tcPr>
            <w:tcW w:w="122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138,806,587</w:t>
            </w:r>
          </w:p>
        </w:tc>
        <w:tc>
          <w:tcPr>
            <w:tcW w:w="98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138,028,766</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139,386,096</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1.0%</w:t>
            </w:r>
          </w:p>
        </w:tc>
        <w:tc>
          <w:tcPr>
            <w:tcW w:w="1480" w:type="dxa"/>
            <w:vAlign w:val="bottom"/>
            <w:tcBorders>
              <w:right w:val="single" w:sz="8" w:color="auto"/>
            </w:tcBorders>
          </w:tcPr>
          <w:p>
            <w:pPr>
              <w:jc w:val="center"/>
              <w:ind w:left="244"/>
              <w:spacing w:after="0" w:line="130" w:lineRule="exact"/>
              <w:rPr>
                <w:sz w:val="20"/>
                <w:szCs w:val="20"/>
                <w:color w:val="auto"/>
              </w:rPr>
            </w:pPr>
            <w:r>
              <w:rPr>
                <w:rFonts w:ascii="Calibri" w:cs="Calibri" w:eastAsia="Calibri" w:hAnsi="Calibri"/>
                <w:sz w:val="11"/>
                <w:szCs w:val="11"/>
                <w:color w:val="auto"/>
              </w:rPr>
              <w:t>0.4%</w:t>
            </w:r>
          </w:p>
        </w:tc>
      </w:tr>
      <w:tr>
        <w:trPr>
          <w:trHeight w:val="140"/>
        </w:trPr>
        <w:tc>
          <w:tcPr>
            <w:tcW w:w="5660" w:type="dxa"/>
            <w:vAlign w:val="bottom"/>
            <w:tcBorders>
              <w:left w:val="single" w:sz="8" w:color="auto"/>
              <w:bottom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Operatonal risk-weighted assets</w:t>
            </w:r>
          </w:p>
        </w:tc>
        <w:tc>
          <w:tcPr>
            <w:tcW w:w="1220" w:type="dxa"/>
            <w:vAlign w:val="bottom"/>
            <w:tcBorders>
              <w:bottom w:val="single" w:sz="8" w:color="auto"/>
            </w:tcBorders>
          </w:tcPr>
          <w:p>
            <w:pPr>
              <w:jc w:val="center"/>
              <w:ind w:right="84"/>
              <w:spacing w:after="0"/>
              <w:rPr>
                <w:sz w:val="20"/>
                <w:szCs w:val="20"/>
                <w:color w:val="auto"/>
              </w:rPr>
            </w:pPr>
            <w:r>
              <w:rPr>
                <w:rFonts w:ascii="Calibri" w:cs="Calibri" w:eastAsia="Calibri" w:hAnsi="Calibri"/>
                <w:sz w:val="11"/>
                <w:szCs w:val="11"/>
                <w:color w:val="auto"/>
              </w:rPr>
              <w:t>17,335,423</w:t>
            </w:r>
          </w:p>
        </w:tc>
        <w:tc>
          <w:tcPr>
            <w:tcW w:w="980" w:type="dxa"/>
            <w:vAlign w:val="bottom"/>
            <w:tcBorders>
              <w:bottom w:val="single" w:sz="8" w:color="auto"/>
            </w:tcBorders>
          </w:tcPr>
          <w:p>
            <w:pPr>
              <w:jc w:val="center"/>
              <w:ind w:right="84"/>
              <w:spacing w:after="0"/>
              <w:rPr>
                <w:sz w:val="20"/>
                <w:szCs w:val="20"/>
                <w:color w:val="auto"/>
              </w:rPr>
            </w:pPr>
            <w:r>
              <w:rPr>
                <w:rFonts w:ascii="Calibri" w:cs="Calibri" w:eastAsia="Calibri" w:hAnsi="Calibri"/>
                <w:sz w:val="11"/>
                <w:szCs w:val="11"/>
                <w:color w:val="auto"/>
              </w:rPr>
              <w:t>18,895,091</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9"/>
              </w:rPr>
              <w:t>19,384,021</w:t>
            </w:r>
          </w:p>
        </w:tc>
        <w:tc>
          <w:tcPr>
            <w:tcW w:w="800" w:type="dxa"/>
            <w:vAlign w:val="bottom"/>
            <w:tcBorders>
              <w:bottom w:val="single" w:sz="8" w:color="auto"/>
            </w:tcBorders>
          </w:tcPr>
          <w:p>
            <w:pPr>
              <w:jc w:val="center"/>
              <w:ind w:left="264"/>
              <w:spacing w:after="0"/>
              <w:rPr>
                <w:sz w:val="20"/>
                <w:szCs w:val="20"/>
                <w:color w:val="auto"/>
              </w:rPr>
            </w:pPr>
            <w:r>
              <w:rPr>
                <w:rFonts w:ascii="Calibri" w:cs="Calibri" w:eastAsia="Calibri" w:hAnsi="Calibri"/>
                <w:sz w:val="11"/>
                <w:szCs w:val="11"/>
                <w:color w:val="auto"/>
              </w:rPr>
              <w:t>2.6%</w:t>
            </w:r>
          </w:p>
        </w:tc>
        <w:tc>
          <w:tcPr>
            <w:tcW w:w="1480" w:type="dxa"/>
            <w:vAlign w:val="bottom"/>
            <w:tcBorders>
              <w:bottom w:val="single" w:sz="8" w:color="auto"/>
              <w:right w:val="single" w:sz="8" w:color="auto"/>
            </w:tcBorders>
          </w:tcPr>
          <w:p>
            <w:pPr>
              <w:jc w:val="center"/>
              <w:ind w:left="224"/>
              <w:spacing w:after="0"/>
              <w:rPr>
                <w:sz w:val="20"/>
                <w:szCs w:val="20"/>
                <w:color w:val="auto"/>
              </w:rPr>
            </w:pPr>
            <w:r>
              <w:rPr>
                <w:rFonts w:ascii="Calibri" w:cs="Calibri" w:eastAsia="Calibri" w:hAnsi="Calibri"/>
                <w:sz w:val="11"/>
                <w:szCs w:val="11"/>
                <w:color w:val="auto"/>
              </w:rPr>
              <w:t>11.8%</w:t>
            </w:r>
          </w:p>
        </w:tc>
      </w:tr>
      <w:tr>
        <w:trPr>
          <w:trHeight w:val="129"/>
        </w:trPr>
        <w:tc>
          <w:tcPr>
            <w:tcW w:w="56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Total</w:t>
            </w:r>
          </w:p>
        </w:tc>
        <w:tc>
          <w:tcPr>
            <w:tcW w:w="1220" w:type="dxa"/>
            <w:vAlign w:val="bottom"/>
            <w:tcBorders>
              <w:bottom w:val="single" w:sz="8" w:color="auto"/>
            </w:tcBorders>
          </w:tcPr>
          <w:p>
            <w:pPr>
              <w:jc w:val="center"/>
              <w:ind w:right="84"/>
              <w:spacing w:after="0" w:line="129" w:lineRule="exact"/>
              <w:rPr>
                <w:sz w:val="20"/>
                <w:szCs w:val="20"/>
                <w:color w:val="auto"/>
              </w:rPr>
            </w:pPr>
            <w:r>
              <w:rPr>
                <w:rFonts w:ascii="Calibri" w:cs="Calibri" w:eastAsia="Calibri" w:hAnsi="Calibri"/>
                <w:sz w:val="11"/>
                <w:szCs w:val="11"/>
                <w:b w:val="1"/>
                <w:bCs w:val="1"/>
                <w:color w:val="auto"/>
              </w:rPr>
              <w:t>159,442,714</w:t>
            </w:r>
          </w:p>
        </w:tc>
        <w:tc>
          <w:tcPr>
            <w:tcW w:w="980" w:type="dxa"/>
            <w:vAlign w:val="bottom"/>
            <w:tcBorders>
              <w:bottom w:val="single" w:sz="8" w:color="auto"/>
            </w:tcBorders>
          </w:tcPr>
          <w:p>
            <w:pPr>
              <w:jc w:val="center"/>
              <w:ind w:right="84"/>
              <w:spacing w:after="0" w:line="129" w:lineRule="exact"/>
              <w:rPr>
                <w:sz w:val="20"/>
                <w:szCs w:val="20"/>
                <w:color w:val="auto"/>
              </w:rPr>
            </w:pPr>
            <w:r>
              <w:rPr>
                <w:rFonts w:ascii="Calibri" w:cs="Calibri" w:eastAsia="Calibri" w:hAnsi="Calibri"/>
                <w:sz w:val="11"/>
                <w:szCs w:val="11"/>
                <w:b w:val="1"/>
                <w:bCs w:val="1"/>
                <w:color w:val="auto"/>
              </w:rPr>
              <w:t>160,827,350</w:t>
            </w:r>
          </w:p>
        </w:tc>
        <w:tc>
          <w:tcPr>
            <w:tcW w:w="112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163,170,343</w:t>
            </w:r>
          </w:p>
        </w:tc>
        <w:tc>
          <w:tcPr>
            <w:tcW w:w="800" w:type="dxa"/>
            <w:vAlign w:val="bottom"/>
            <w:tcBorders>
              <w:bottom w:val="single" w:sz="8" w:color="auto"/>
            </w:tcBorders>
          </w:tcPr>
          <w:p>
            <w:pPr>
              <w:jc w:val="center"/>
              <w:ind w:left="264"/>
              <w:spacing w:after="0" w:line="129" w:lineRule="exact"/>
              <w:rPr>
                <w:sz w:val="20"/>
                <w:szCs w:val="20"/>
                <w:color w:val="auto"/>
              </w:rPr>
            </w:pPr>
            <w:r>
              <w:rPr>
                <w:rFonts w:ascii="Calibri" w:cs="Calibri" w:eastAsia="Calibri" w:hAnsi="Calibri"/>
                <w:sz w:val="11"/>
                <w:szCs w:val="11"/>
                <w:b w:val="1"/>
                <w:bCs w:val="1"/>
                <w:color w:val="auto"/>
              </w:rPr>
              <w:t>1.5%</w:t>
            </w:r>
          </w:p>
        </w:tc>
        <w:tc>
          <w:tcPr>
            <w:tcW w:w="1480" w:type="dxa"/>
            <w:vAlign w:val="bottom"/>
            <w:tcBorders>
              <w:bottom w:val="single" w:sz="8" w:color="auto"/>
            </w:tcBorders>
          </w:tcPr>
          <w:p>
            <w:pPr>
              <w:jc w:val="center"/>
              <w:ind w:left="244"/>
              <w:spacing w:after="0" w:line="129" w:lineRule="exact"/>
              <w:rPr>
                <w:sz w:val="20"/>
                <w:szCs w:val="20"/>
                <w:color w:val="auto"/>
              </w:rPr>
            </w:pPr>
            <w:r>
              <w:rPr>
                <w:rFonts w:ascii="Calibri" w:cs="Calibri" w:eastAsia="Calibri" w:hAnsi="Calibri"/>
                <w:sz w:val="11"/>
                <w:szCs w:val="11"/>
                <w:b w:val="1"/>
                <w:bCs w:val="1"/>
                <w:color w:val="auto"/>
                <w:w w:val="99"/>
              </w:rPr>
              <w:t>2.3%</w:t>
            </w:r>
          </w:p>
        </w:tc>
      </w:tr>
      <w:tr>
        <w:trPr>
          <w:trHeight w:val="188"/>
        </w:trPr>
        <w:tc>
          <w:tcPr>
            <w:tcW w:w="5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23"/>
        </w:trPr>
        <w:tc>
          <w:tcPr>
            <w:tcW w:w="5660" w:type="dxa"/>
            <w:vAlign w:val="bottom"/>
            <w:tcBorders>
              <w:left w:val="single" w:sz="8" w:color="auto"/>
              <w:right w:val="single" w:sz="8" w:color="auto"/>
            </w:tcBorders>
            <w:shd w:val="clear" w:color="auto" w:fill="33CCCC"/>
          </w:tcPr>
          <w:p>
            <w:pPr>
              <w:ind w:left="20"/>
              <w:spacing w:after="0" w:line="124" w:lineRule="exact"/>
              <w:rPr>
                <w:sz w:val="20"/>
                <w:szCs w:val="20"/>
                <w:color w:val="auto"/>
              </w:rPr>
            </w:pPr>
            <w:r>
              <w:rPr>
                <w:rFonts w:ascii="Calibri" w:cs="Calibri" w:eastAsia="Calibri" w:hAnsi="Calibri"/>
                <w:sz w:val="11"/>
                <w:szCs w:val="11"/>
                <w:b w:val="1"/>
                <w:bCs w:val="1"/>
                <w:color w:val="FFFFFF"/>
              </w:rPr>
              <w:t>Capital requirement</w:t>
            </w:r>
          </w:p>
        </w:tc>
        <w:tc>
          <w:tcPr>
            <w:tcW w:w="1220" w:type="dxa"/>
            <w:vAlign w:val="bottom"/>
            <w:shd w:val="clear" w:color="auto" w:fill="33CCCC"/>
          </w:tcPr>
          <w:p>
            <w:pPr>
              <w:spacing w:after="0"/>
              <w:rPr>
                <w:sz w:val="10"/>
                <w:szCs w:val="10"/>
                <w:color w:val="auto"/>
              </w:rPr>
            </w:pPr>
          </w:p>
        </w:tc>
        <w:tc>
          <w:tcPr>
            <w:tcW w:w="980" w:type="dxa"/>
            <w:vAlign w:val="bottom"/>
            <w:shd w:val="clear" w:color="auto" w:fill="33CCCC"/>
          </w:tcPr>
          <w:p>
            <w:pPr>
              <w:ind w:left="240"/>
              <w:spacing w:after="0" w:line="124" w:lineRule="exact"/>
              <w:rPr>
                <w:sz w:val="20"/>
                <w:szCs w:val="20"/>
                <w:color w:val="auto"/>
              </w:rPr>
            </w:pPr>
            <w:r>
              <w:rPr>
                <w:rFonts w:ascii="Calibri" w:cs="Calibri" w:eastAsia="Calibri" w:hAnsi="Calibri"/>
                <w:sz w:val="11"/>
                <w:szCs w:val="11"/>
                <w:b w:val="1"/>
                <w:bCs w:val="1"/>
                <w:color w:val="FFFFFF"/>
              </w:rPr>
              <w:t>Quarter</w:t>
            </w:r>
          </w:p>
        </w:tc>
        <w:tc>
          <w:tcPr>
            <w:tcW w:w="1120" w:type="dxa"/>
            <w:vAlign w:val="bottom"/>
            <w:tcBorders>
              <w:right w:val="single" w:sz="8" w:color="auto"/>
            </w:tcBorders>
            <w:shd w:val="clear" w:color="auto" w:fill="33CCCC"/>
          </w:tcPr>
          <w:p>
            <w:pPr>
              <w:spacing w:after="0"/>
              <w:rPr>
                <w:sz w:val="10"/>
                <w:szCs w:val="10"/>
                <w:color w:val="auto"/>
              </w:rPr>
            </w:pPr>
          </w:p>
        </w:tc>
        <w:tc>
          <w:tcPr>
            <w:tcW w:w="800" w:type="dxa"/>
            <w:vAlign w:val="bottom"/>
            <w:shd w:val="clear" w:color="auto" w:fill="33CCCC"/>
          </w:tcPr>
          <w:p>
            <w:pPr>
              <w:spacing w:after="0"/>
              <w:rPr>
                <w:sz w:val="10"/>
                <w:szCs w:val="10"/>
                <w:color w:val="auto"/>
              </w:rPr>
            </w:pPr>
          </w:p>
        </w:tc>
        <w:tc>
          <w:tcPr>
            <w:tcW w:w="1480" w:type="dxa"/>
            <w:vAlign w:val="bottom"/>
            <w:tcBorders>
              <w:right w:val="single" w:sz="8" w:color="auto"/>
            </w:tcBorders>
            <w:shd w:val="clear" w:color="auto" w:fill="33CCCC"/>
          </w:tcPr>
          <w:p>
            <w:pPr>
              <w:ind w:left="100"/>
              <w:spacing w:after="0" w:line="124" w:lineRule="exact"/>
              <w:rPr>
                <w:sz w:val="20"/>
                <w:szCs w:val="20"/>
                <w:color w:val="auto"/>
              </w:rPr>
            </w:pPr>
            <w:r>
              <w:rPr>
                <w:rFonts w:ascii="Calibri" w:cs="Calibri" w:eastAsia="Calibri" w:hAnsi="Calibri"/>
                <w:sz w:val="11"/>
                <w:szCs w:val="11"/>
                <w:b w:val="1"/>
                <w:bCs w:val="1"/>
                <w:color w:val="FFFFFF"/>
              </w:rPr>
              <w:t>% Change</w:t>
            </w:r>
          </w:p>
        </w:tc>
      </w:tr>
      <w:tr>
        <w:trPr>
          <w:trHeight w:val="130"/>
        </w:trPr>
        <w:tc>
          <w:tcPr>
            <w:tcW w:w="5660" w:type="dxa"/>
            <w:vAlign w:val="bottom"/>
            <w:tcBorders>
              <w:left w:val="single" w:sz="8" w:color="auto"/>
              <w:bottom w:val="single" w:sz="8" w:color="auto"/>
              <w:right w:val="single" w:sz="8" w:color="auto"/>
            </w:tcBorders>
            <w:shd w:val="clear" w:color="auto" w:fill="33CCCC"/>
          </w:tcPr>
          <w:p>
            <w:pPr>
              <w:ind w:left="40"/>
              <w:spacing w:after="0" w:line="130" w:lineRule="exact"/>
              <w:rPr>
                <w:sz w:val="20"/>
                <w:szCs w:val="20"/>
                <w:color w:val="auto"/>
              </w:rPr>
            </w:pPr>
            <w:r>
              <w:rPr>
                <w:rFonts w:ascii="Calibri" w:cs="Calibri" w:eastAsia="Calibri" w:hAnsi="Calibri"/>
                <w:sz w:val="11"/>
                <w:szCs w:val="11"/>
                <w:color w:val="FFFFFF"/>
              </w:rPr>
              <w:t>(S/ thousand)</w:t>
            </w:r>
          </w:p>
        </w:tc>
        <w:tc>
          <w:tcPr>
            <w:tcW w:w="1220" w:type="dxa"/>
            <w:vAlign w:val="bottom"/>
            <w:tcBorders>
              <w:bottom w:val="single" w:sz="8" w:color="auto"/>
            </w:tcBorders>
            <w:shd w:val="clear" w:color="auto" w:fill="33CCCC"/>
          </w:tcPr>
          <w:p>
            <w:pPr>
              <w:ind w:left="400"/>
              <w:spacing w:after="0" w:line="130" w:lineRule="exact"/>
              <w:rPr>
                <w:sz w:val="20"/>
                <w:szCs w:val="20"/>
                <w:color w:val="auto"/>
              </w:rPr>
            </w:pPr>
            <w:r>
              <w:rPr>
                <w:rFonts w:ascii="Calibri" w:cs="Calibri" w:eastAsia="Calibri" w:hAnsi="Calibri"/>
                <w:sz w:val="11"/>
                <w:szCs w:val="11"/>
                <w:b w:val="1"/>
                <w:bCs w:val="1"/>
                <w:color w:val="FFFFFF"/>
              </w:rPr>
              <w:t>Jun 24</w:t>
            </w:r>
          </w:p>
        </w:tc>
        <w:tc>
          <w:tcPr>
            <w:tcW w:w="980" w:type="dxa"/>
            <w:vAlign w:val="bottom"/>
            <w:tcBorders>
              <w:bottom w:val="single" w:sz="8" w:color="auto"/>
            </w:tcBorders>
            <w:shd w:val="clear" w:color="auto" w:fill="33CCCC"/>
          </w:tcPr>
          <w:p>
            <w:pPr>
              <w:ind w:left="260"/>
              <w:spacing w:after="0" w:line="130" w:lineRule="exact"/>
              <w:rPr>
                <w:sz w:val="20"/>
                <w:szCs w:val="20"/>
                <w:color w:val="auto"/>
              </w:rPr>
            </w:pPr>
            <w:r>
              <w:rPr>
                <w:rFonts w:ascii="Calibri" w:cs="Calibri" w:eastAsia="Calibri" w:hAnsi="Calibri"/>
                <w:sz w:val="11"/>
                <w:szCs w:val="11"/>
                <w:b w:val="1"/>
                <w:bCs w:val="1"/>
                <w:color w:val="FFFFFF"/>
              </w:rPr>
              <w:t>Mar 25</w:t>
            </w:r>
          </w:p>
        </w:tc>
        <w:tc>
          <w:tcPr>
            <w:tcW w:w="1120" w:type="dxa"/>
            <w:vAlign w:val="bottom"/>
            <w:tcBorders>
              <w:bottom w:val="single" w:sz="8" w:color="auto"/>
              <w:right w:val="single" w:sz="8" w:color="auto"/>
            </w:tcBorders>
            <w:shd w:val="clear" w:color="auto" w:fill="33CCCC"/>
          </w:tcPr>
          <w:p>
            <w:pPr>
              <w:ind w:left="400"/>
              <w:spacing w:after="0" w:line="130" w:lineRule="exact"/>
              <w:rPr>
                <w:sz w:val="20"/>
                <w:szCs w:val="20"/>
                <w:color w:val="auto"/>
              </w:rPr>
            </w:pPr>
            <w:r>
              <w:rPr>
                <w:rFonts w:ascii="Calibri" w:cs="Calibri" w:eastAsia="Calibri" w:hAnsi="Calibri"/>
                <w:sz w:val="11"/>
                <w:szCs w:val="11"/>
                <w:b w:val="1"/>
                <w:bCs w:val="1"/>
                <w:color w:val="FFFFFF"/>
              </w:rPr>
              <w:t>Jun 25</w:t>
            </w:r>
          </w:p>
        </w:tc>
        <w:tc>
          <w:tcPr>
            <w:tcW w:w="800" w:type="dxa"/>
            <w:vAlign w:val="bottom"/>
            <w:tcBorders>
              <w:bottom w:val="single" w:sz="8" w:color="auto"/>
            </w:tcBorders>
            <w:shd w:val="clear" w:color="auto" w:fill="33CCCC"/>
          </w:tcPr>
          <w:p>
            <w:pPr>
              <w:jc w:val="center"/>
              <w:ind w:left="264"/>
              <w:spacing w:after="0" w:line="130" w:lineRule="exact"/>
              <w:rPr>
                <w:sz w:val="20"/>
                <w:szCs w:val="20"/>
                <w:color w:val="auto"/>
              </w:rPr>
            </w:pPr>
            <w:r>
              <w:rPr>
                <w:rFonts w:ascii="Calibri" w:cs="Calibri" w:eastAsia="Calibri" w:hAnsi="Calibri"/>
                <w:sz w:val="11"/>
                <w:szCs w:val="11"/>
                <w:b w:val="1"/>
                <w:bCs w:val="1"/>
                <w:color w:val="FFFFFF"/>
                <w:w w:val="94"/>
              </w:rPr>
              <w:t>QoQ</w:t>
            </w:r>
          </w:p>
        </w:tc>
        <w:tc>
          <w:tcPr>
            <w:tcW w:w="1480" w:type="dxa"/>
            <w:vAlign w:val="bottom"/>
            <w:tcBorders>
              <w:bottom w:val="single" w:sz="8" w:color="auto"/>
              <w:right w:val="single" w:sz="8" w:color="auto"/>
            </w:tcBorders>
            <w:shd w:val="clear" w:color="auto" w:fill="33CCCC"/>
          </w:tcPr>
          <w:p>
            <w:pPr>
              <w:jc w:val="center"/>
              <w:ind w:left="224"/>
              <w:spacing w:after="0" w:line="130" w:lineRule="exact"/>
              <w:rPr>
                <w:sz w:val="20"/>
                <w:szCs w:val="20"/>
                <w:color w:val="auto"/>
              </w:rPr>
            </w:pPr>
            <w:r>
              <w:rPr>
                <w:rFonts w:ascii="Calibri" w:cs="Calibri" w:eastAsia="Calibri" w:hAnsi="Calibri"/>
                <w:sz w:val="11"/>
                <w:szCs w:val="11"/>
                <w:b w:val="1"/>
                <w:bCs w:val="1"/>
                <w:color w:val="FFFFFF"/>
                <w:w w:val="91"/>
              </w:rPr>
              <w:t>YoY</w:t>
            </w:r>
          </w:p>
        </w:tc>
      </w:tr>
      <w:tr>
        <w:trPr>
          <w:trHeight w:val="108"/>
        </w:trPr>
        <w:tc>
          <w:tcPr>
            <w:tcW w:w="5660" w:type="dxa"/>
            <w:vAlign w:val="bottom"/>
            <w:tcBorders>
              <w:left w:val="single" w:sz="8" w:color="auto"/>
              <w:right w:val="single" w:sz="8" w:color="auto"/>
            </w:tcBorders>
          </w:tcPr>
          <w:p>
            <w:pPr>
              <w:ind w:left="180"/>
              <w:spacing w:after="0" w:line="108" w:lineRule="exact"/>
              <w:rPr>
                <w:sz w:val="20"/>
                <w:szCs w:val="20"/>
                <w:color w:val="auto"/>
              </w:rPr>
            </w:pPr>
            <w:r>
              <w:rPr>
                <w:rFonts w:ascii="Calibri" w:cs="Calibri" w:eastAsia="Calibri" w:hAnsi="Calibri"/>
                <w:sz w:val="11"/>
                <w:szCs w:val="11"/>
                <w:color w:val="auto"/>
              </w:rPr>
              <w:t>Market risk capital requirement</w:t>
            </w:r>
          </w:p>
        </w:tc>
        <w:tc>
          <w:tcPr>
            <w:tcW w:w="1220" w:type="dxa"/>
            <w:vAlign w:val="bottom"/>
          </w:tcPr>
          <w:p>
            <w:pPr>
              <w:jc w:val="center"/>
              <w:ind w:right="84"/>
              <w:spacing w:after="0" w:line="108" w:lineRule="exact"/>
              <w:rPr>
                <w:sz w:val="20"/>
                <w:szCs w:val="20"/>
                <w:color w:val="auto"/>
              </w:rPr>
            </w:pPr>
            <w:r>
              <w:rPr>
                <w:rFonts w:ascii="Calibri" w:cs="Calibri" w:eastAsia="Calibri" w:hAnsi="Calibri"/>
                <w:sz w:val="11"/>
                <w:szCs w:val="11"/>
                <w:color w:val="auto"/>
                <w:w w:val="99"/>
              </w:rPr>
              <w:t>330,070</w:t>
            </w:r>
          </w:p>
        </w:tc>
        <w:tc>
          <w:tcPr>
            <w:tcW w:w="980" w:type="dxa"/>
            <w:vAlign w:val="bottom"/>
          </w:tcPr>
          <w:p>
            <w:pPr>
              <w:jc w:val="center"/>
              <w:ind w:right="84"/>
              <w:spacing w:after="0" w:line="108" w:lineRule="exact"/>
              <w:rPr>
                <w:sz w:val="20"/>
                <w:szCs w:val="20"/>
                <w:color w:val="auto"/>
              </w:rPr>
            </w:pPr>
            <w:r>
              <w:rPr>
                <w:rFonts w:ascii="Calibri" w:cs="Calibri" w:eastAsia="Calibri" w:hAnsi="Calibri"/>
                <w:sz w:val="11"/>
                <w:szCs w:val="11"/>
                <w:color w:val="auto"/>
                <w:w w:val="99"/>
              </w:rPr>
              <w:t>390,349</w:t>
            </w:r>
          </w:p>
        </w:tc>
        <w:tc>
          <w:tcPr>
            <w:tcW w:w="112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440,023</w:t>
            </w:r>
          </w:p>
        </w:tc>
        <w:tc>
          <w:tcPr>
            <w:tcW w:w="800" w:type="dxa"/>
            <w:vAlign w:val="bottom"/>
          </w:tcPr>
          <w:p>
            <w:pPr>
              <w:jc w:val="center"/>
              <w:ind w:left="264"/>
              <w:spacing w:after="0" w:line="108" w:lineRule="exact"/>
              <w:rPr>
                <w:sz w:val="20"/>
                <w:szCs w:val="20"/>
                <w:color w:val="auto"/>
              </w:rPr>
            </w:pPr>
            <w:r>
              <w:rPr>
                <w:rFonts w:ascii="Calibri" w:cs="Calibri" w:eastAsia="Calibri" w:hAnsi="Calibri"/>
                <w:sz w:val="11"/>
                <w:szCs w:val="11"/>
                <w:color w:val="auto"/>
              </w:rPr>
              <w:t>12.7%</w:t>
            </w:r>
          </w:p>
        </w:tc>
        <w:tc>
          <w:tcPr>
            <w:tcW w:w="1480" w:type="dxa"/>
            <w:vAlign w:val="bottom"/>
            <w:tcBorders>
              <w:right w:val="single" w:sz="8" w:color="auto"/>
            </w:tcBorders>
          </w:tcPr>
          <w:p>
            <w:pPr>
              <w:jc w:val="center"/>
              <w:ind w:left="224"/>
              <w:spacing w:after="0" w:line="108" w:lineRule="exact"/>
              <w:rPr>
                <w:sz w:val="20"/>
                <w:szCs w:val="20"/>
                <w:color w:val="auto"/>
              </w:rPr>
            </w:pPr>
            <w:r>
              <w:rPr>
                <w:rFonts w:ascii="Calibri" w:cs="Calibri" w:eastAsia="Calibri" w:hAnsi="Calibri"/>
                <w:sz w:val="11"/>
                <w:szCs w:val="11"/>
                <w:color w:val="auto"/>
              </w:rPr>
              <w:t>33.3%</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Credit risk capital requirement</w:t>
            </w:r>
          </w:p>
        </w:tc>
        <w:tc>
          <w:tcPr>
            <w:tcW w:w="122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12,492,593</w:t>
            </w:r>
          </w:p>
        </w:tc>
        <w:tc>
          <w:tcPr>
            <w:tcW w:w="98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13,802,877</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9"/>
              </w:rPr>
              <w:t>13,938,610</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1.0%</w:t>
            </w:r>
          </w:p>
        </w:tc>
        <w:tc>
          <w:tcPr>
            <w:tcW w:w="1480" w:type="dxa"/>
            <w:vAlign w:val="bottom"/>
            <w:tcBorders>
              <w:right w:val="single" w:sz="8" w:color="auto"/>
            </w:tcBorders>
          </w:tcPr>
          <w:p>
            <w:pPr>
              <w:jc w:val="center"/>
              <w:ind w:left="224"/>
              <w:spacing w:after="0" w:line="130" w:lineRule="exact"/>
              <w:rPr>
                <w:sz w:val="20"/>
                <w:szCs w:val="20"/>
                <w:color w:val="auto"/>
              </w:rPr>
            </w:pPr>
            <w:r>
              <w:rPr>
                <w:rFonts w:ascii="Calibri" w:cs="Calibri" w:eastAsia="Calibri" w:hAnsi="Calibri"/>
                <w:sz w:val="11"/>
                <w:szCs w:val="11"/>
                <w:color w:val="auto"/>
              </w:rPr>
              <w:t>11.6%</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Operatonal risk capital requirement</w:t>
            </w:r>
          </w:p>
        </w:tc>
        <w:tc>
          <w:tcPr>
            <w:tcW w:w="122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1,733,542</w:t>
            </w:r>
          </w:p>
        </w:tc>
        <w:tc>
          <w:tcPr>
            <w:tcW w:w="98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1,889,509</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1,938,402</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2.6%</w:t>
            </w:r>
          </w:p>
        </w:tc>
        <w:tc>
          <w:tcPr>
            <w:tcW w:w="1480" w:type="dxa"/>
            <w:vAlign w:val="bottom"/>
            <w:tcBorders>
              <w:right w:val="single" w:sz="8" w:color="auto"/>
            </w:tcBorders>
          </w:tcPr>
          <w:p>
            <w:pPr>
              <w:jc w:val="center"/>
              <w:ind w:left="224"/>
              <w:spacing w:after="0" w:line="130" w:lineRule="exact"/>
              <w:rPr>
                <w:sz w:val="20"/>
                <w:szCs w:val="20"/>
                <w:color w:val="auto"/>
              </w:rPr>
            </w:pPr>
            <w:r>
              <w:rPr>
                <w:rFonts w:ascii="Calibri" w:cs="Calibri" w:eastAsia="Calibri" w:hAnsi="Calibri"/>
                <w:sz w:val="11"/>
                <w:szCs w:val="11"/>
                <w:color w:val="auto"/>
              </w:rPr>
              <w:t>11.8%</w:t>
            </w:r>
          </w:p>
        </w:tc>
      </w:tr>
      <w:tr>
        <w:trPr>
          <w:trHeight w:val="140"/>
        </w:trPr>
        <w:tc>
          <w:tcPr>
            <w:tcW w:w="5660" w:type="dxa"/>
            <w:vAlign w:val="bottom"/>
            <w:tcBorders>
              <w:left w:val="single" w:sz="8" w:color="auto"/>
              <w:bottom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Additonal capital requirements</w:t>
            </w:r>
          </w:p>
        </w:tc>
        <w:tc>
          <w:tcPr>
            <w:tcW w:w="1220" w:type="dxa"/>
            <w:vAlign w:val="bottom"/>
            <w:tcBorders>
              <w:bottom w:val="single" w:sz="8" w:color="auto"/>
            </w:tcBorders>
          </w:tcPr>
          <w:p>
            <w:pPr>
              <w:jc w:val="center"/>
              <w:ind w:right="64"/>
              <w:spacing w:after="0"/>
              <w:rPr>
                <w:sz w:val="20"/>
                <w:szCs w:val="20"/>
                <w:color w:val="auto"/>
              </w:rPr>
            </w:pPr>
            <w:r>
              <w:rPr>
                <w:rFonts w:ascii="Calibri" w:cs="Calibri" w:eastAsia="Calibri" w:hAnsi="Calibri"/>
                <w:sz w:val="11"/>
                <w:szCs w:val="11"/>
                <w:color w:val="auto"/>
              </w:rPr>
              <w:t>5,709,468</w:t>
            </w:r>
          </w:p>
        </w:tc>
        <w:tc>
          <w:tcPr>
            <w:tcW w:w="980" w:type="dxa"/>
            <w:vAlign w:val="bottom"/>
            <w:tcBorders>
              <w:bottom w:val="single" w:sz="8" w:color="auto"/>
            </w:tcBorders>
          </w:tcPr>
          <w:p>
            <w:pPr>
              <w:jc w:val="center"/>
              <w:ind w:right="64"/>
              <w:spacing w:after="0"/>
              <w:rPr>
                <w:sz w:val="20"/>
                <w:szCs w:val="20"/>
                <w:color w:val="auto"/>
              </w:rPr>
            </w:pPr>
            <w:r>
              <w:rPr>
                <w:rFonts w:ascii="Calibri" w:cs="Calibri" w:eastAsia="Calibri" w:hAnsi="Calibri"/>
                <w:sz w:val="11"/>
                <w:szCs w:val="11"/>
                <w:color w:val="auto"/>
              </w:rPr>
              <w:t>7,057,150</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7,142,933</w:t>
            </w:r>
          </w:p>
        </w:tc>
        <w:tc>
          <w:tcPr>
            <w:tcW w:w="800" w:type="dxa"/>
            <w:vAlign w:val="bottom"/>
            <w:tcBorders>
              <w:bottom w:val="single" w:sz="8" w:color="auto"/>
            </w:tcBorders>
          </w:tcPr>
          <w:p>
            <w:pPr>
              <w:jc w:val="center"/>
              <w:ind w:left="264"/>
              <w:spacing w:after="0"/>
              <w:rPr>
                <w:sz w:val="20"/>
                <w:szCs w:val="20"/>
                <w:color w:val="auto"/>
              </w:rPr>
            </w:pPr>
            <w:r>
              <w:rPr>
                <w:rFonts w:ascii="Calibri" w:cs="Calibri" w:eastAsia="Calibri" w:hAnsi="Calibri"/>
                <w:sz w:val="11"/>
                <w:szCs w:val="11"/>
                <w:color w:val="auto"/>
              </w:rPr>
              <w:t>1.2%</w:t>
            </w:r>
          </w:p>
        </w:tc>
        <w:tc>
          <w:tcPr>
            <w:tcW w:w="1480" w:type="dxa"/>
            <w:vAlign w:val="bottom"/>
            <w:tcBorders>
              <w:bottom w:val="single" w:sz="8" w:color="auto"/>
              <w:right w:val="single" w:sz="8" w:color="auto"/>
            </w:tcBorders>
          </w:tcPr>
          <w:p>
            <w:pPr>
              <w:jc w:val="center"/>
              <w:ind w:left="224"/>
              <w:spacing w:after="0"/>
              <w:rPr>
                <w:sz w:val="20"/>
                <w:szCs w:val="20"/>
                <w:color w:val="auto"/>
              </w:rPr>
            </w:pPr>
            <w:r>
              <w:rPr>
                <w:rFonts w:ascii="Calibri" w:cs="Calibri" w:eastAsia="Calibri" w:hAnsi="Calibri"/>
                <w:sz w:val="11"/>
                <w:szCs w:val="11"/>
                <w:color w:val="auto"/>
              </w:rPr>
              <w:t>25.1%</w:t>
            </w:r>
          </w:p>
        </w:tc>
      </w:tr>
      <w:tr>
        <w:trPr>
          <w:trHeight w:val="129"/>
        </w:trPr>
        <w:tc>
          <w:tcPr>
            <w:tcW w:w="56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Total</w:t>
            </w:r>
          </w:p>
        </w:tc>
        <w:tc>
          <w:tcPr>
            <w:tcW w:w="1220" w:type="dxa"/>
            <w:vAlign w:val="bottom"/>
            <w:tcBorders>
              <w:bottom w:val="single" w:sz="8" w:color="auto"/>
            </w:tcBorders>
          </w:tcPr>
          <w:p>
            <w:pPr>
              <w:jc w:val="center"/>
              <w:ind w:right="84"/>
              <w:spacing w:after="0" w:line="129" w:lineRule="exact"/>
              <w:rPr>
                <w:sz w:val="20"/>
                <w:szCs w:val="20"/>
                <w:color w:val="auto"/>
              </w:rPr>
            </w:pPr>
            <w:r>
              <w:rPr>
                <w:rFonts w:ascii="Calibri" w:cs="Calibri" w:eastAsia="Calibri" w:hAnsi="Calibri"/>
                <w:sz w:val="11"/>
                <w:szCs w:val="11"/>
                <w:b w:val="1"/>
                <w:bCs w:val="1"/>
                <w:color w:val="auto"/>
              </w:rPr>
              <w:t>20,265,673</w:t>
            </w:r>
          </w:p>
        </w:tc>
        <w:tc>
          <w:tcPr>
            <w:tcW w:w="980" w:type="dxa"/>
            <w:vAlign w:val="bottom"/>
            <w:tcBorders>
              <w:bottom w:val="single" w:sz="8" w:color="auto"/>
            </w:tcBorders>
          </w:tcPr>
          <w:p>
            <w:pPr>
              <w:jc w:val="center"/>
              <w:ind w:right="84"/>
              <w:spacing w:after="0" w:line="129" w:lineRule="exact"/>
              <w:rPr>
                <w:sz w:val="20"/>
                <w:szCs w:val="20"/>
                <w:color w:val="auto"/>
              </w:rPr>
            </w:pPr>
            <w:r>
              <w:rPr>
                <w:rFonts w:ascii="Calibri" w:cs="Calibri" w:eastAsia="Calibri" w:hAnsi="Calibri"/>
                <w:sz w:val="11"/>
                <w:szCs w:val="11"/>
                <w:b w:val="1"/>
                <w:bCs w:val="1"/>
                <w:color w:val="auto"/>
              </w:rPr>
              <w:t>23,139,885</w:t>
            </w:r>
          </w:p>
        </w:tc>
        <w:tc>
          <w:tcPr>
            <w:tcW w:w="112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w w:val="99"/>
              </w:rPr>
              <w:t>23,459,967</w:t>
            </w:r>
          </w:p>
        </w:tc>
        <w:tc>
          <w:tcPr>
            <w:tcW w:w="800" w:type="dxa"/>
            <w:vAlign w:val="bottom"/>
            <w:tcBorders>
              <w:bottom w:val="single" w:sz="8" w:color="auto"/>
            </w:tcBorders>
          </w:tcPr>
          <w:p>
            <w:pPr>
              <w:jc w:val="center"/>
              <w:ind w:left="264"/>
              <w:spacing w:after="0" w:line="129" w:lineRule="exact"/>
              <w:rPr>
                <w:sz w:val="20"/>
                <w:szCs w:val="20"/>
                <w:color w:val="auto"/>
              </w:rPr>
            </w:pPr>
            <w:r>
              <w:rPr>
                <w:rFonts w:ascii="Calibri" w:cs="Calibri" w:eastAsia="Calibri" w:hAnsi="Calibri"/>
                <w:sz w:val="11"/>
                <w:szCs w:val="11"/>
                <w:b w:val="1"/>
                <w:bCs w:val="1"/>
                <w:color w:val="auto"/>
              </w:rPr>
              <w:t>1.4%</w:t>
            </w:r>
          </w:p>
        </w:tc>
        <w:tc>
          <w:tcPr>
            <w:tcW w:w="1480" w:type="dxa"/>
            <w:vAlign w:val="bottom"/>
            <w:tcBorders>
              <w:bottom w:val="single" w:sz="8" w:color="auto"/>
              <w:right w:val="single" w:sz="8" w:color="auto"/>
            </w:tcBorders>
          </w:tcPr>
          <w:p>
            <w:pPr>
              <w:jc w:val="center"/>
              <w:ind w:left="224"/>
              <w:spacing w:after="0" w:line="129" w:lineRule="exact"/>
              <w:rPr>
                <w:sz w:val="20"/>
                <w:szCs w:val="20"/>
                <w:color w:val="auto"/>
              </w:rPr>
            </w:pPr>
            <w:r>
              <w:rPr>
                <w:rFonts w:ascii="Calibri" w:cs="Calibri" w:eastAsia="Calibri" w:hAnsi="Calibri"/>
                <w:sz w:val="11"/>
                <w:szCs w:val="11"/>
                <w:b w:val="1"/>
                <w:bCs w:val="1"/>
                <w:color w:val="auto"/>
              </w:rPr>
              <w:t>15.8%</w:t>
            </w:r>
          </w:p>
        </w:tc>
      </w:tr>
      <w:tr>
        <w:trPr>
          <w:trHeight w:val="356"/>
        </w:trPr>
        <w:tc>
          <w:tcPr>
            <w:tcW w:w="6880" w:type="dxa"/>
            <w:vAlign w:val="bottom"/>
            <w:gridSpan w:val="2"/>
          </w:tcPr>
          <w:p>
            <w:pPr>
              <w:ind w:left="4360"/>
              <w:spacing w:after="0"/>
              <w:rPr>
                <w:sz w:val="20"/>
                <w:szCs w:val="20"/>
                <w:color w:val="auto"/>
              </w:rPr>
            </w:pPr>
            <w:r>
              <w:rPr>
                <w:rFonts w:ascii="Calibri" w:cs="Calibri" w:eastAsia="Calibri" w:hAnsi="Calibri"/>
                <w:sz w:val="16"/>
                <w:szCs w:val="16"/>
                <w:b w:val="1"/>
                <w:bCs w:val="1"/>
                <w:color w:val="auto"/>
              </w:rPr>
              <w:t>Capital Ratos under Local Regulaton</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2"/>
        </w:trPr>
        <w:tc>
          <w:tcPr>
            <w:tcW w:w="5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23"/>
        </w:trPr>
        <w:tc>
          <w:tcPr>
            <w:tcW w:w="5660" w:type="dxa"/>
            <w:vAlign w:val="bottom"/>
            <w:tcBorders>
              <w:left w:val="single" w:sz="8" w:color="auto"/>
              <w:right w:val="single" w:sz="8" w:color="auto"/>
            </w:tcBorders>
            <w:shd w:val="clear" w:color="auto" w:fill="33CCCC"/>
          </w:tcPr>
          <w:p>
            <w:pPr>
              <w:ind w:left="20"/>
              <w:spacing w:after="0" w:line="124" w:lineRule="exact"/>
              <w:rPr>
                <w:sz w:val="20"/>
                <w:szCs w:val="20"/>
                <w:color w:val="auto"/>
              </w:rPr>
            </w:pPr>
            <w:r>
              <w:rPr>
                <w:rFonts w:ascii="Calibri" w:cs="Calibri" w:eastAsia="Calibri" w:hAnsi="Calibri"/>
                <w:sz w:val="11"/>
                <w:szCs w:val="11"/>
                <w:b w:val="1"/>
                <w:bCs w:val="1"/>
                <w:color w:val="FFFFFF"/>
              </w:rPr>
              <w:t>Capital ratos under Local Regulaton</w:t>
            </w:r>
          </w:p>
        </w:tc>
        <w:tc>
          <w:tcPr>
            <w:tcW w:w="1220" w:type="dxa"/>
            <w:vAlign w:val="bottom"/>
            <w:shd w:val="clear" w:color="auto" w:fill="33CCCC"/>
          </w:tcPr>
          <w:p>
            <w:pPr>
              <w:spacing w:after="0"/>
              <w:rPr>
                <w:sz w:val="10"/>
                <w:szCs w:val="10"/>
                <w:color w:val="auto"/>
              </w:rPr>
            </w:pPr>
          </w:p>
        </w:tc>
        <w:tc>
          <w:tcPr>
            <w:tcW w:w="980" w:type="dxa"/>
            <w:vAlign w:val="bottom"/>
            <w:shd w:val="clear" w:color="auto" w:fill="33CCCC"/>
          </w:tcPr>
          <w:p>
            <w:pPr>
              <w:ind w:left="240"/>
              <w:spacing w:after="0" w:line="124" w:lineRule="exact"/>
              <w:rPr>
                <w:sz w:val="20"/>
                <w:szCs w:val="20"/>
                <w:color w:val="auto"/>
              </w:rPr>
            </w:pPr>
            <w:r>
              <w:rPr>
                <w:rFonts w:ascii="Calibri" w:cs="Calibri" w:eastAsia="Calibri" w:hAnsi="Calibri"/>
                <w:sz w:val="11"/>
                <w:szCs w:val="11"/>
                <w:b w:val="1"/>
                <w:bCs w:val="1"/>
                <w:color w:val="FFFFFF"/>
              </w:rPr>
              <w:t>Quarter</w:t>
            </w:r>
          </w:p>
        </w:tc>
        <w:tc>
          <w:tcPr>
            <w:tcW w:w="1120" w:type="dxa"/>
            <w:vAlign w:val="bottom"/>
            <w:tcBorders>
              <w:right w:val="single" w:sz="8" w:color="auto"/>
            </w:tcBorders>
            <w:shd w:val="clear" w:color="auto" w:fill="33CCCC"/>
          </w:tcPr>
          <w:p>
            <w:pPr>
              <w:spacing w:after="0"/>
              <w:rPr>
                <w:sz w:val="10"/>
                <w:szCs w:val="10"/>
                <w:color w:val="auto"/>
              </w:rPr>
            </w:pPr>
          </w:p>
        </w:tc>
        <w:tc>
          <w:tcPr>
            <w:tcW w:w="800" w:type="dxa"/>
            <w:vAlign w:val="bottom"/>
            <w:shd w:val="clear" w:color="auto" w:fill="33CCCC"/>
          </w:tcPr>
          <w:p>
            <w:pPr>
              <w:spacing w:after="0"/>
              <w:rPr>
                <w:sz w:val="10"/>
                <w:szCs w:val="10"/>
                <w:color w:val="auto"/>
              </w:rPr>
            </w:pPr>
          </w:p>
        </w:tc>
        <w:tc>
          <w:tcPr>
            <w:tcW w:w="1480" w:type="dxa"/>
            <w:vAlign w:val="bottom"/>
            <w:tcBorders>
              <w:right w:val="single" w:sz="8" w:color="auto"/>
            </w:tcBorders>
            <w:shd w:val="clear" w:color="auto" w:fill="33CCCC"/>
          </w:tcPr>
          <w:p>
            <w:pPr>
              <w:ind w:left="100"/>
              <w:spacing w:after="0" w:line="124" w:lineRule="exact"/>
              <w:rPr>
                <w:sz w:val="20"/>
                <w:szCs w:val="20"/>
                <w:color w:val="auto"/>
              </w:rPr>
            </w:pPr>
            <w:r>
              <w:rPr>
                <w:rFonts w:ascii="Calibri" w:cs="Calibri" w:eastAsia="Calibri" w:hAnsi="Calibri"/>
                <w:sz w:val="11"/>
                <w:szCs w:val="11"/>
                <w:b w:val="1"/>
                <w:bCs w:val="1"/>
                <w:color w:val="FFFFFF"/>
              </w:rPr>
              <w:t>% Change</w:t>
            </w:r>
          </w:p>
        </w:tc>
      </w:tr>
      <w:tr>
        <w:trPr>
          <w:trHeight w:val="130"/>
        </w:trPr>
        <w:tc>
          <w:tcPr>
            <w:tcW w:w="566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1220" w:type="dxa"/>
            <w:vAlign w:val="bottom"/>
            <w:tcBorders>
              <w:bottom w:val="single" w:sz="8" w:color="auto"/>
            </w:tcBorders>
            <w:shd w:val="clear" w:color="auto" w:fill="33CCCC"/>
          </w:tcPr>
          <w:p>
            <w:pPr>
              <w:ind w:left="400"/>
              <w:spacing w:after="0" w:line="130" w:lineRule="exact"/>
              <w:rPr>
                <w:sz w:val="20"/>
                <w:szCs w:val="20"/>
                <w:color w:val="auto"/>
              </w:rPr>
            </w:pPr>
            <w:r>
              <w:rPr>
                <w:rFonts w:ascii="Calibri" w:cs="Calibri" w:eastAsia="Calibri" w:hAnsi="Calibri"/>
                <w:sz w:val="11"/>
                <w:szCs w:val="11"/>
                <w:b w:val="1"/>
                <w:bCs w:val="1"/>
                <w:color w:val="FFFFFF"/>
              </w:rPr>
              <w:t>Jun 24</w:t>
            </w:r>
          </w:p>
        </w:tc>
        <w:tc>
          <w:tcPr>
            <w:tcW w:w="980" w:type="dxa"/>
            <w:vAlign w:val="bottom"/>
            <w:tcBorders>
              <w:bottom w:val="single" w:sz="8" w:color="auto"/>
            </w:tcBorders>
            <w:shd w:val="clear" w:color="auto" w:fill="33CCCC"/>
          </w:tcPr>
          <w:p>
            <w:pPr>
              <w:ind w:left="260"/>
              <w:spacing w:after="0" w:line="130" w:lineRule="exact"/>
              <w:rPr>
                <w:sz w:val="20"/>
                <w:szCs w:val="20"/>
                <w:color w:val="auto"/>
              </w:rPr>
            </w:pPr>
            <w:r>
              <w:rPr>
                <w:rFonts w:ascii="Calibri" w:cs="Calibri" w:eastAsia="Calibri" w:hAnsi="Calibri"/>
                <w:sz w:val="11"/>
                <w:szCs w:val="11"/>
                <w:b w:val="1"/>
                <w:bCs w:val="1"/>
                <w:color w:val="FFFFFF"/>
              </w:rPr>
              <w:t>Mar 25</w:t>
            </w:r>
          </w:p>
        </w:tc>
        <w:tc>
          <w:tcPr>
            <w:tcW w:w="1120" w:type="dxa"/>
            <w:vAlign w:val="bottom"/>
            <w:tcBorders>
              <w:bottom w:val="single" w:sz="8" w:color="auto"/>
              <w:right w:val="single" w:sz="8" w:color="auto"/>
            </w:tcBorders>
            <w:shd w:val="clear" w:color="auto" w:fill="33CCCC"/>
          </w:tcPr>
          <w:p>
            <w:pPr>
              <w:ind w:left="400"/>
              <w:spacing w:after="0" w:line="130" w:lineRule="exact"/>
              <w:rPr>
                <w:sz w:val="20"/>
                <w:szCs w:val="20"/>
                <w:color w:val="auto"/>
              </w:rPr>
            </w:pPr>
            <w:r>
              <w:rPr>
                <w:rFonts w:ascii="Calibri" w:cs="Calibri" w:eastAsia="Calibri" w:hAnsi="Calibri"/>
                <w:sz w:val="11"/>
                <w:szCs w:val="11"/>
                <w:b w:val="1"/>
                <w:bCs w:val="1"/>
                <w:color w:val="FFFFFF"/>
              </w:rPr>
              <w:t>Jun 25</w:t>
            </w:r>
          </w:p>
        </w:tc>
        <w:tc>
          <w:tcPr>
            <w:tcW w:w="800" w:type="dxa"/>
            <w:vAlign w:val="bottom"/>
            <w:tcBorders>
              <w:bottom w:val="single" w:sz="8" w:color="auto"/>
            </w:tcBorders>
            <w:shd w:val="clear" w:color="auto" w:fill="33CCCC"/>
          </w:tcPr>
          <w:p>
            <w:pPr>
              <w:jc w:val="center"/>
              <w:ind w:left="264"/>
              <w:spacing w:after="0" w:line="130" w:lineRule="exact"/>
              <w:rPr>
                <w:sz w:val="20"/>
                <w:szCs w:val="20"/>
                <w:color w:val="auto"/>
              </w:rPr>
            </w:pPr>
            <w:r>
              <w:rPr>
                <w:rFonts w:ascii="Calibri" w:cs="Calibri" w:eastAsia="Calibri" w:hAnsi="Calibri"/>
                <w:sz w:val="11"/>
                <w:szCs w:val="11"/>
                <w:b w:val="1"/>
                <w:bCs w:val="1"/>
                <w:color w:val="FFFFFF"/>
                <w:w w:val="94"/>
              </w:rPr>
              <w:t>QoQ</w:t>
            </w:r>
          </w:p>
        </w:tc>
        <w:tc>
          <w:tcPr>
            <w:tcW w:w="1480" w:type="dxa"/>
            <w:vAlign w:val="bottom"/>
            <w:tcBorders>
              <w:bottom w:val="single" w:sz="8" w:color="auto"/>
              <w:right w:val="single" w:sz="8" w:color="auto"/>
            </w:tcBorders>
            <w:shd w:val="clear" w:color="auto" w:fill="33CCCC"/>
          </w:tcPr>
          <w:p>
            <w:pPr>
              <w:jc w:val="center"/>
              <w:ind w:left="224"/>
              <w:spacing w:after="0" w:line="130" w:lineRule="exact"/>
              <w:rPr>
                <w:sz w:val="20"/>
                <w:szCs w:val="20"/>
                <w:color w:val="auto"/>
              </w:rPr>
            </w:pPr>
            <w:r>
              <w:rPr>
                <w:rFonts w:ascii="Calibri" w:cs="Calibri" w:eastAsia="Calibri" w:hAnsi="Calibri"/>
                <w:sz w:val="11"/>
                <w:szCs w:val="11"/>
                <w:b w:val="1"/>
                <w:bCs w:val="1"/>
                <w:color w:val="FFFFFF"/>
                <w:w w:val="91"/>
              </w:rPr>
              <w:t>YoY</w:t>
            </w:r>
          </w:p>
        </w:tc>
      </w:tr>
      <w:tr>
        <w:trPr>
          <w:trHeight w:val="108"/>
        </w:trPr>
        <w:tc>
          <w:tcPr>
            <w:tcW w:w="5660" w:type="dxa"/>
            <w:vAlign w:val="bottom"/>
            <w:tcBorders>
              <w:left w:val="single" w:sz="8" w:color="auto"/>
              <w:right w:val="single" w:sz="8" w:color="auto"/>
            </w:tcBorders>
          </w:tcPr>
          <w:p>
            <w:pPr>
              <w:ind w:left="20"/>
              <w:spacing w:after="0" w:line="108" w:lineRule="exact"/>
              <w:rPr>
                <w:sz w:val="20"/>
                <w:szCs w:val="20"/>
                <w:color w:val="auto"/>
              </w:rPr>
            </w:pPr>
            <w:r>
              <w:rPr>
                <w:rFonts w:ascii="Calibri" w:cs="Calibri" w:eastAsia="Calibri" w:hAnsi="Calibri"/>
                <w:sz w:val="11"/>
                <w:szCs w:val="11"/>
                <w:b w:val="1"/>
                <w:bCs w:val="1"/>
                <w:color w:val="auto"/>
              </w:rPr>
              <w:t>Common Equity Tier 1 rato</w:t>
            </w:r>
          </w:p>
        </w:tc>
        <w:tc>
          <w:tcPr>
            <w:tcW w:w="1220" w:type="dxa"/>
            <w:vAlign w:val="bottom"/>
          </w:tcPr>
          <w:p>
            <w:pPr>
              <w:jc w:val="center"/>
              <w:ind w:right="64"/>
              <w:spacing w:after="0" w:line="108" w:lineRule="exact"/>
              <w:rPr>
                <w:sz w:val="20"/>
                <w:szCs w:val="20"/>
                <w:color w:val="auto"/>
              </w:rPr>
            </w:pPr>
            <w:r>
              <w:rPr>
                <w:rFonts w:ascii="Calibri" w:cs="Calibri" w:eastAsia="Calibri" w:hAnsi="Calibri"/>
                <w:sz w:val="11"/>
                <w:szCs w:val="11"/>
                <w:color w:val="auto"/>
              </w:rPr>
              <w:t>11.90%</w:t>
            </w:r>
          </w:p>
        </w:tc>
        <w:tc>
          <w:tcPr>
            <w:tcW w:w="980" w:type="dxa"/>
            <w:vAlign w:val="bottom"/>
          </w:tcPr>
          <w:p>
            <w:pPr>
              <w:jc w:val="center"/>
              <w:ind w:right="64"/>
              <w:spacing w:after="0" w:line="108" w:lineRule="exact"/>
              <w:rPr>
                <w:sz w:val="20"/>
                <w:szCs w:val="20"/>
                <w:color w:val="auto"/>
              </w:rPr>
            </w:pPr>
            <w:r>
              <w:rPr>
                <w:rFonts w:ascii="Calibri" w:cs="Calibri" w:eastAsia="Calibri" w:hAnsi="Calibri"/>
                <w:sz w:val="11"/>
                <w:szCs w:val="11"/>
                <w:color w:val="auto"/>
              </w:rPr>
              <w:t>11.34%</w:t>
            </w:r>
          </w:p>
        </w:tc>
        <w:tc>
          <w:tcPr>
            <w:tcW w:w="112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12.24%</w:t>
            </w:r>
          </w:p>
        </w:tc>
        <w:tc>
          <w:tcPr>
            <w:tcW w:w="800" w:type="dxa"/>
            <w:vAlign w:val="bottom"/>
          </w:tcPr>
          <w:p>
            <w:pPr>
              <w:jc w:val="center"/>
              <w:ind w:left="264"/>
              <w:spacing w:after="0" w:line="108" w:lineRule="exact"/>
              <w:rPr>
                <w:sz w:val="20"/>
                <w:szCs w:val="20"/>
                <w:color w:val="auto"/>
              </w:rPr>
            </w:pPr>
            <w:r>
              <w:rPr>
                <w:rFonts w:ascii="Calibri" w:cs="Calibri" w:eastAsia="Calibri" w:hAnsi="Calibri"/>
                <w:sz w:val="11"/>
                <w:szCs w:val="11"/>
                <w:color w:val="auto"/>
              </w:rPr>
              <w:t>91 bps</w:t>
            </w:r>
          </w:p>
        </w:tc>
        <w:tc>
          <w:tcPr>
            <w:tcW w:w="1480" w:type="dxa"/>
            <w:vAlign w:val="bottom"/>
            <w:tcBorders>
              <w:right w:val="single" w:sz="8" w:color="auto"/>
            </w:tcBorders>
          </w:tcPr>
          <w:p>
            <w:pPr>
              <w:jc w:val="center"/>
              <w:ind w:left="244"/>
              <w:spacing w:after="0" w:line="108" w:lineRule="exact"/>
              <w:rPr>
                <w:sz w:val="20"/>
                <w:szCs w:val="20"/>
                <w:color w:val="auto"/>
              </w:rPr>
            </w:pPr>
            <w:r>
              <w:rPr>
                <w:rFonts w:ascii="Calibri" w:cs="Calibri" w:eastAsia="Calibri" w:hAnsi="Calibri"/>
                <w:sz w:val="11"/>
                <w:szCs w:val="11"/>
                <w:color w:val="auto"/>
              </w:rPr>
              <w:t>34 bps</w:t>
            </w:r>
          </w:p>
        </w:tc>
      </w:tr>
      <w:tr>
        <w:trPr>
          <w:trHeight w:val="130"/>
        </w:trPr>
        <w:tc>
          <w:tcPr>
            <w:tcW w:w="566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Tier 1 Capital rato</w:t>
            </w:r>
          </w:p>
        </w:tc>
        <w:tc>
          <w:tcPr>
            <w:tcW w:w="122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11.90%</w:t>
            </w:r>
          </w:p>
        </w:tc>
        <w:tc>
          <w:tcPr>
            <w:tcW w:w="980" w:type="dxa"/>
            <w:vAlign w:val="bottom"/>
          </w:tcPr>
          <w:p>
            <w:pPr>
              <w:jc w:val="center"/>
              <w:ind w:right="64"/>
              <w:spacing w:after="0" w:line="130" w:lineRule="exact"/>
              <w:rPr>
                <w:sz w:val="20"/>
                <w:szCs w:val="20"/>
                <w:color w:val="auto"/>
              </w:rPr>
            </w:pPr>
            <w:r>
              <w:rPr>
                <w:rFonts w:ascii="Calibri" w:cs="Calibri" w:eastAsia="Calibri" w:hAnsi="Calibri"/>
                <w:sz w:val="11"/>
                <w:szCs w:val="11"/>
                <w:color w:val="auto"/>
              </w:rPr>
              <w:t>11.34%</w:t>
            </w:r>
          </w:p>
        </w:tc>
        <w:tc>
          <w:tcPr>
            <w:tcW w:w="11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12.24%</w:t>
            </w:r>
          </w:p>
        </w:tc>
        <w:tc>
          <w:tcPr>
            <w:tcW w:w="800" w:type="dxa"/>
            <w:vAlign w:val="bottom"/>
          </w:tcPr>
          <w:p>
            <w:pPr>
              <w:jc w:val="center"/>
              <w:ind w:left="264"/>
              <w:spacing w:after="0" w:line="130" w:lineRule="exact"/>
              <w:rPr>
                <w:sz w:val="20"/>
                <w:szCs w:val="20"/>
                <w:color w:val="auto"/>
              </w:rPr>
            </w:pPr>
            <w:r>
              <w:rPr>
                <w:rFonts w:ascii="Calibri" w:cs="Calibri" w:eastAsia="Calibri" w:hAnsi="Calibri"/>
                <w:sz w:val="11"/>
                <w:szCs w:val="11"/>
                <w:color w:val="auto"/>
              </w:rPr>
              <w:t>91 bps</w:t>
            </w:r>
          </w:p>
        </w:tc>
        <w:tc>
          <w:tcPr>
            <w:tcW w:w="1480" w:type="dxa"/>
            <w:vAlign w:val="bottom"/>
            <w:tcBorders>
              <w:right w:val="single" w:sz="8" w:color="auto"/>
            </w:tcBorders>
          </w:tcPr>
          <w:p>
            <w:pPr>
              <w:jc w:val="center"/>
              <w:ind w:left="244"/>
              <w:spacing w:after="0" w:line="130" w:lineRule="exact"/>
              <w:rPr>
                <w:sz w:val="20"/>
                <w:szCs w:val="20"/>
                <w:color w:val="auto"/>
              </w:rPr>
            </w:pPr>
            <w:r>
              <w:rPr>
                <w:rFonts w:ascii="Calibri" w:cs="Calibri" w:eastAsia="Calibri" w:hAnsi="Calibri"/>
                <w:sz w:val="11"/>
                <w:szCs w:val="11"/>
                <w:color w:val="auto"/>
              </w:rPr>
              <w:t>34 bps</w:t>
            </w:r>
          </w:p>
        </w:tc>
      </w:tr>
      <w:tr>
        <w:trPr>
          <w:trHeight w:val="14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Regulatory Global Capital rato</w:t>
            </w:r>
          </w:p>
        </w:tc>
        <w:tc>
          <w:tcPr>
            <w:tcW w:w="1220" w:type="dxa"/>
            <w:vAlign w:val="bottom"/>
            <w:tcBorders>
              <w:bottom w:val="single" w:sz="8" w:color="auto"/>
            </w:tcBorders>
          </w:tcPr>
          <w:p>
            <w:pPr>
              <w:jc w:val="center"/>
              <w:ind w:right="64"/>
              <w:spacing w:after="0"/>
              <w:rPr>
                <w:sz w:val="20"/>
                <w:szCs w:val="20"/>
                <w:color w:val="auto"/>
              </w:rPr>
            </w:pPr>
            <w:r>
              <w:rPr>
                <w:rFonts w:ascii="Calibri" w:cs="Calibri" w:eastAsia="Calibri" w:hAnsi="Calibri"/>
                <w:sz w:val="11"/>
                <w:szCs w:val="11"/>
                <w:color w:val="auto"/>
              </w:rPr>
              <w:t>16.24%</w:t>
            </w:r>
          </w:p>
        </w:tc>
        <w:tc>
          <w:tcPr>
            <w:tcW w:w="980" w:type="dxa"/>
            <w:vAlign w:val="bottom"/>
            <w:tcBorders>
              <w:bottom w:val="single" w:sz="8" w:color="auto"/>
            </w:tcBorders>
          </w:tcPr>
          <w:p>
            <w:pPr>
              <w:jc w:val="center"/>
              <w:ind w:right="64"/>
              <w:spacing w:after="0"/>
              <w:rPr>
                <w:sz w:val="20"/>
                <w:szCs w:val="20"/>
                <w:color w:val="auto"/>
              </w:rPr>
            </w:pPr>
            <w:r>
              <w:rPr>
                <w:rFonts w:ascii="Calibri" w:cs="Calibri" w:eastAsia="Calibri" w:hAnsi="Calibri"/>
                <w:sz w:val="11"/>
                <w:szCs w:val="11"/>
                <w:color w:val="auto"/>
              </w:rPr>
              <w:t>16.87%</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17.33%</w:t>
            </w:r>
          </w:p>
        </w:tc>
        <w:tc>
          <w:tcPr>
            <w:tcW w:w="800" w:type="dxa"/>
            <w:vAlign w:val="bottom"/>
            <w:tcBorders>
              <w:bottom w:val="single" w:sz="8" w:color="auto"/>
            </w:tcBorders>
          </w:tcPr>
          <w:p>
            <w:pPr>
              <w:jc w:val="center"/>
              <w:ind w:left="264"/>
              <w:spacing w:after="0"/>
              <w:rPr>
                <w:sz w:val="20"/>
                <w:szCs w:val="20"/>
                <w:color w:val="auto"/>
              </w:rPr>
            </w:pPr>
            <w:r>
              <w:rPr>
                <w:rFonts w:ascii="Calibri" w:cs="Calibri" w:eastAsia="Calibri" w:hAnsi="Calibri"/>
                <w:sz w:val="11"/>
                <w:szCs w:val="11"/>
                <w:color w:val="auto"/>
              </w:rPr>
              <w:t>47 bps</w:t>
            </w:r>
          </w:p>
        </w:tc>
        <w:tc>
          <w:tcPr>
            <w:tcW w:w="1480" w:type="dxa"/>
            <w:vAlign w:val="bottom"/>
            <w:tcBorders>
              <w:bottom w:val="single" w:sz="8" w:color="auto"/>
              <w:right w:val="single" w:sz="8" w:color="auto"/>
            </w:tcBorders>
          </w:tcPr>
          <w:p>
            <w:pPr>
              <w:jc w:val="center"/>
              <w:ind w:left="224"/>
              <w:spacing w:after="0"/>
              <w:rPr>
                <w:sz w:val="20"/>
                <w:szCs w:val="20"/>
                <w:color w:val="auto"/>
              </w:rPr>
            </w:pPr>
            <w:r>
              <w:rPr>
                <w:rFonts w:ascii="Calibri" w:cs="Calibri" w:eastAsia="Calibri" w:hAnsi="Calibri"/>
                <w:sz w:val="11"/>
                <w:szCs w:val="11"/>
                <w:color w:val="auto"/>
              </w:rPr>
              <w:t>109 bps</w:t>
            </w:r>
          </w:p>
        </w:tc>
      </w:tr>
    </w:tbl>
    <w:p>
      <w:pPr>
        <w:spacing w:after="0" w:line="115" w:lineRule="exact"/>
        <w:rPr>
          <w:sz w:val="20"/>
          <w:szCs w:val="20"/>
          <w:color w:val="auto"/>
        </w:rPr>
      </w:pPr>
    </w:p>
    <w:p>
      <w:pPr>
        <w:ind w:left="1240" w:hanging="143"/>
        <w:spacing w:after="0"/>
        <w:tabs>
          <w:tab w:leader="none" w:pos="1240" w:val="left"/>
        </w:tabs>
        <w:numPr>
          <w:ilvl w:val="0"/>
          <w:numId w:val="57"/>
        </w:numPr>
        <w:rPr>
          <w:rFonts w:ascii="Calibri" w:cs="Calibri" w:eastAsia="Calibri" w:hAnsi="Calibri"/>
          <w:sz w:val="11"/>
          <w:szCs w:val="11"/>
          <w:color w:val="auto"/>
        </w:rPr>
      </w:pPr>
      <w:r>
        <w:rPr>
          <w:rFonts w:ascii="Calibri" w:cs="Calibri" w:eastAsia="Calibri" w:hAnsi="Calibri"/>
          <w:sz w:val="11"/>
          <w:szCs w:val="11"/>
          <w:color w:val="auto"/>
        </w:rPr>
        <w:t>Up to 1.25% of total risk-weighted assets.</w:t>
      </w:r>
    </w:p>
    <w:p>
      <w:pPr>
        <w:ind w:left="1100" w:right="100" w:hanging="3"/>
        <w:spacing w:after="0" w:line="232" w:lineRule="auto"/>
        <w:tabs>
          <w:tab w:leader="none" w:pos="1252" w:val="left"/>
        </w:tabs>
        <w:numPr>
          <w:ilvl w:val="0"/>
          <w:numId w:val="57"/>
        </w:numPr>
        <w:rPr>
          <w:rFonts w:ascii="Calibri" w:cs="Calibri" w:eastAsia="Calibri" w:hAnsi="Calibri"/>
          <w:sz w:val="11"/>
          <w:szCs w:val="11"/>
          <w:color w:val="auto"/>
        </w:rPr>
      </w:pPr>
      <w:r>
        <w:rPr>
          <w:rFonts w:ascii="Calibri" w:cs="Calibri" w:eastAsia="Calibri" w:hAnsi="Calibri"/>
          <w:sz w:val="11"/>
          <w:szCs w:val="11"/>
          <w:color w:val="auto"/>
        </w:rPr>
        <w:t>Common Equity Tier 1 = Capital Stock + Reserves + Accumulated earnings – Unrealized profts or losses - 100% deductons (investment in subsidiaries, goodwill, intangible assets and deferred tax assets based on future returns).</w:t>
      </w:r>
    </w:p>
    <w:p>
      <w:pPr>
        <w:ind w:left="1240" w:hanging="143"/>
        <w:spacing w:after="0" w:line="232" w:lineRule="auto"/>
        <w:tabs>
          <w:tab w:leader="none" w:pos="1240" w:val="left"/>
        </w:tabs>
        <w:numPr>
          <w:ilvl w:val="0"/>
          <w:numId w:val="57"/>
        </w:numPr>
        <w:rPr>
          <w:rFonts w:ascii="Calibri" w:cs="Calibri" w:eastAsia="Calibri" w:hAnsi="Calibri"/>
          <w:sz w:val="11"/>
          <w:szCs w:val="11"/>
          <w:color w:val="auto"/>
        </w:rPr>
      </w:pPr>
      <w:r>
        <w:rPr>
          <w:rFonts w:ascii="Calibri" w:cs="Calibri" w:eastAsia="Calibri" w:hAnsi="Calibri"/>
          <w:sz w:val="11"/>
          <w:szCs w:val="11"/>
          <w:color w:val="auto"/>
        </w:rPr>
        <w:t>Regulatory Tier 1 Capital = Common Equity Tier 1 + Tier 1 Subordinated Debt (Perpetual).</w:t>
      </w:r>
    </w:p>
    <w:p>
      <w:pPr>
        <w:ind w:left="1240" w:hanging="143"/>
        <w:spacing w:after="0" w:line="232" w:lineRule="auto"/>
        <w:tabs>
          <w:tab w:leader="none" w:pos="1240" w:val="left"/>
        </w:tabs>
        <w:numPr>
          <w:ilvl w:val="0"/>
          <w:numId w:val="57"/>
        </w:numPr>
        <w:rPr>
          <w:rFonts w:ascii="Calibri" w:cs="Calibri" w:eastAsia="Calibri" w:hAnsi="Calibri"/>
          <w:sz w:val="11"/>
          <w:szCs w:val="11"/>
          <w:color w:val="auto"/>
        </w:rPr>
      </w:pPr>
      <w:r>
        <w:rPr>
          <w:rFonts w:ascii="Calibri" w:cs="Calibri" w:eastAsia="Calibri" w:hAnsi="Calibri"/>
          <w:sz w:val="11"/>
          <w:szCs w:val="11"/>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849630</wp:posOffset>
            </wp:positionV>
            <wp:extent cx="7137400"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wp:posOffset>
            </wp:positionV>
            <wp:extent cx="7186930" cy="6197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6930" cy="619760"/>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57" w:name="page58"/>
    <w:bookmarkEnd w:id="57"/>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37400" cy="2311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Regulatory Capital and Capital Adequacy Ratos at Mibanco</w:t>
      </w: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566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b w:val="1"/>
                <w:bCs w:val="1"/>
                <w:color w:val="FFFFFF"/>
              </w:rPr>
              <w:t>Regulatory Capital</w:t>
            </w:r>
          </w:p>
        </w:tc>
        <w:tc>
          <w:tcPr>
            <w:tcW w:w="1100" w:type="dxa"/>
            <w:vAlign w:val="bottom"/>
            <w:tcBorders>
              <w:top w:val="single" w:sz="8" w:color="auto"/>
            </w:tcBorders>
            <w:shd w:val="clear" w:color="auto" w:fill="33CCCC"/>
          </w:tcPr>
          <w:p>
            <w:pPr>
              <w:spacing w:after="0"/>
              <w:rPr>
                <w:sz w:val="12"/>
                <w:szCs w:val="12"/>
                <w:color w:val="auto"/>
              </w:rPr>
            </w:pPr>
          </w:p>
        </w:tc>
        <w:tc>
          <w:tcPr>
            <w:tcW w:w="112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As of</w:t>
            </w:r>
          </w:p>
        </w:tc>
        <w:tc>
          <w:tcPr>
            <w:tcW w:w="1100" w:type="dxa"/>
            <w:vAlign w:val="bottom"/>
            <w:tcBorders>
              <w:top w:val="single" w:sz="8" w:color="auto"/>
              <w:right w:val="single" w:sz="8" w:color="auto"/>
            </w:tcBorders>
            <w:shd w:val="clear" w:color="auto" w:fill="33CCCC"/>
          </w:tcPr>
          <w:p>
            <w:pPr>
              <w:spacing w:after="0"/>
              <w:rPr>
                <w:sz w:val="12"/>
                <w:szCs w:val="12"/>
                <w:color w:val="auto"/>
              </w:rPr>
            </w:pPr>
          </w:p>
        </w:tc>
        <w:tc>
          <w:tcPr>
            <w:tcW w:w="840" w:type="dxa"/>
            <w:vAlign w:val="bottom"/>
            <w:tcBorders>
              <w:top w:val="single" w:sz="8" w:color="auto"/>
            </w:tcBorders>
            <w:shd w:val="clear" w:color="auto" w:fill="33CCCC"/>
          </w:tcPr>
          <w:p>
            <w:pPr>
              <w:spacing w:after="0"/>
              <w:rPr>
                <w:sz w:val="12"/>
                <w:szCs w:val="12"/>
                <w:color w:val="auto"/>
              </w:rPr>
            </w:pPr>
          </w:p>
        </w:tc>
        <w:tc>
          <w:tcPr>
            <w:tcW w:w="144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1"/>
                <w:szCs w:val="11"/>
                <w:b w:val="1"/>
                <w:bCs w:val="1"/>
                <w:color w:val="FFFFFF"/>
              </w:rPr>
              <w:t>% Change</w:t>
            </w:r>
          </w:p>
        </w:tc>
      </w:tr>
      <w:tr>
        <w:trPr>
          <w:trHeight w:val="185"/>
        </w:trPr>
        <w:tc>
          <w:tcPr>
            <w:tcW w:w="566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1"/>
                <w:szCs w:val="11"/>
                <w:color w:val="FFFFFF"/>
              </w:rPr>
              <w:t>(S/ thousand)</w:t>
            </w:r>
          </w:p>
        </w:tc>
        <w:tc>
          <w:tcPr>
            <w:tcW w:w="1100" w:type="dxa"/>
            <w:vAlign w:val="bottom"/>
            <w:tcBorders>
              <w:bottom w:val="single" w:sz="8" w:color="auto"/>
            </w:tcBorders>
            <w:shd w:val="clear" w:color="auto" w:fill="33CCCC"/>
          </w:tcPr>
          <w:p>
            <w:pPr>
              <w:ind w:left="400"/>
              <w:spacing w:after="0"/>
              <w:rPr>
                <w:sz w:val="20"/>
                <w:szCs w:val="20"/>
                <w:color w:val="auto"/>
              </w:rPr>
            </w:pPr>
            <w:r>
              <w:rPr>
                <w:rFonts w:ascii="Calibri" w:cs="Calibri" w:eastAsia="Calibri" w:hAnsi="Calibri"/>
                <w:sz w:val="11"/>
                <w:szCs w:val="11"/>
                <w:b w:val="1"/>
                <w:bCs w:val="1"/>
                <w:color w:val="FFFFFF"/>
              </w:rPr>
              <w:t>Jun 24</w:t>
            </w:r>
          </w:p>
        </w:tc>
        <w:tc>
          <w:tcPr>
            <w:tcW w:w="112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8"/>
              </w:rPr>
              <w:t>Mar 25</w:t>
            </w:r>
          </w:p>
        </w:tc>
        <w:tc>
          <w:tcPr>
            <w:tcW w:w="1100" w:type="dxa"/>
            <w:vAlign w:val="bottom"/>
            <w:tcBorders>
              <w:bottom w:val="single" w:sz="8" w:color="auto"/>
              <w:right w:val="single" w:sz="8" w:color="auto"/>
            </w:tcBorders>
            <w:shd w:val="clear" w:color="auto" w:fill="33CCCC"/>
          </w:tcPr>
          <w:p>
            <w:pPr>
              <w:ind w:left="380"/>
              <w:spacing w:after="0"/>
              <w:rPr>
                <w:sz w:val="20"/>
                <w:szCs w:val="20"/>
                <w:color w:val="auto"/>
              </w:rPr>
            </w:pPr>
            <w:r>
              <w:rPr>
                <w:rFonts w:ascii="Calibri" w:cs="Calibri" w:eastAsia="Calibri" w:hAnsi="Calibri"/>
                <w:sz w:val="11"/>
                <w:szCs w:val="11"/>
                <w:b w:val="1"/>
                <w:bCs w:val="1"/>
                <w:color w:val="FFFFFF"/>
              </w:rPr>
              <w:t>Jun 25</w:t>
            </w:r>
          </w:p>
        </w:tc>
        <w:tc>
          <w:tcPr>
            <w:tcW w:w="840" w:type="dxa"/>
            <w:vAlign w:val="bottom"/>
            <w:tcBorders>
              <w:bottom w:val="single" w:sz="8" w:color="auto"/>
            </w:tcBorders>
            <w:shd w:val="clear" w:color="auto" w:fill="33CCCC"/>
          </w:tcPr>
          <w:p>
            <w:pPr>
              <w:jc w:val="center"/>
              <w:ind w:left="224"/>
              <w:spacing w:after="0"/>
              <w:rPr>
                <w:sz w:val="20"/>
                <w:szCs w:val="20"/>
                <w:color w:val="auto"/>
              </w:rPr>
            </w:pPr>
            <w:r>
              <w:rPr>
                <w:rFonts w:ascii="Calibri" w:cs="Calibri" w:eastAsia="Calibri" w:hAnsi="Calibri"/>
                <w:sz w:val="11"/>
                <w:szCs w:val="11"/>
                <w:b w:val="1"/>
                <w:bCs w:val="1"/>
                <w:color w:val="FFFFFF"/>
                <w:w w:val="94"/>
              </w:rPr>
              <w:t>QoQ</w:t>
            </w:r>
          </w:p>
        </w:tc>
        <w:tc>
          <w:tcPr>
            <w:tcW w:w="1440" w:type="dxa"/>
            <w:vAlign w:val="bottom"/>
            <w:tcBorders>
              <w:bottom w:val="single" w:sz="8" w:color="auto"/>
              <w:right w:val="single" w:sz="8" w:color="auto"/>
            </w:tcBorders>
            <w:shd w:val="clear" w:color="auto" w:fill="33CCCC"/>
          </w:tcPr>
          <w:p>
            <w:pPr>
              <w:ind w:left="760"/>
              <w:spacing w:after="0"/>
              <w:rPr>
                <w:sz w:val="20"/>
                <w:szCs w:val="20"/>
                <w:color w:val="auto"/>
              </w:rPr>
            </w:pPr>
            <w:r>
              <w:rPr>
                <w:rFonts w:ascii="Calibri" w:cs="Calibri" w:eastAsia="Calibri" w:hAnsi="Calibri"/>
                <w:sz w:val="11"/>
                <w:szCs w:val="11"/>
                <w:b w:val="1"/>
                <w:bCs w:val="1"/>
                <w:color w:val="FFFFFF"/>
              </w:rPr>
              <w:t>YoY</w:t>
            </w:r>
          </w:p>
        </w:tc>
      </w:tr>
      <w:tr>
        <w:trPr>
          <w:trHeight w:val="113"/>
        </w:trPr>
        <w:tc>
          <w:tcPr>
            <w:tcW w:w="5660" w:type="dxa"/>
            <w:vAlign w:val="bottom"/>
            <w:tcBorders>
              <w:left w:val="single" w:sz="8" w:color="auto"/>
              <w:right w:val="single" w:sz="8" w:color="auto"/>
            </w:tcBorders>
          </w:tcPr>
          <w:p>
            <w:pPr>
              <w:ind w:left="180"/>
              <w:spacing w:after="0" w:line="114" w:lineRule="exact"/>
              <w:rPr>
                <w:sz w:val="20"/>
                <w:szCs w:val="20"/>
                <w:color w:val="auto"/>
              </w:rPr>
            </w:pPr>
            <w:r>
              <w:rPr>
                <w:rFonts w:ascii="Calibri" w:cs="Calibri" w:eastAsia="Calibri" w:hAnsi="Calibri"/>
                <w:sz w:val="11"/>
                <w:szCs w:val="11"/>
                <w:color w:val="auto"/>
              </w:rPr>
              <w:t>Capital Stock</w:t>
            </w:r>
          </w:p>
        </w:tc>
        <w:tc>
          <w:tcPr>
            <w:tcW w:w="1100" w:type="dxa"/>
            <w:vAlign w:val="bottom"/>
          </w:tcPr>
          <w:p>
            <w:pPr>
              <w:jc w:val="center"/>
              <w:spacing w:after="0" w:line="114" w:lineRule="exact"/>
              <w:rPr>
                <w:sz w:val="20"/>
                <w:szCs w:val="20"/>
                <w:color w:val="auto"/>
              </w:rPr>
            </w:pPr>
            <w:r>
              <w:rPr>
                <w:rFonts w:ascii="Calibri" w:cs="Calibri" w:eastAsia="Calibri" w:hAnsi="Calibri"/>
                <w:sz w:val="11"/>
                <w:szCs w:val="11"/>
                <w:color w:val="auto"/>
              </w:rPr>
              <w:t>1,840,606</w:t>
            </w:r>
          </w:p>
        </w:tc>
        <w:tc>
          <w:tcPr>
            <w:tcW w:w="1120" w:type="dxa"/>
            <w:vAlign w:val="bottom"/>
          </w:tcPr>
          <w:p>
            <w:pPr>
              <w:jc w:val="center"/>
              <w:spacing w:after="0" w:line="114" w:lineRule="exact"/>
              <w:rPr>
                <w:sz w:val="20"/>
                <w:szCs w:val="20"/>
                <w:color w:val="auto"/>
              </w:rPr>
            </w:pPr>
            <w:r>
              <w:rPr>
                <w:rFonts w:ascii="Calibri" w:cs="Calibri" w:eastAsia="Calibri" w:hAnsi="Calibri"/>
                <w:sz w:val="11"/>
                <w:szCs w:val="11"/>
                <w:color w:val="auto"/>
              </w:rPr>
              <w:t>1,840,606</w:t>
            </w:r>
          </w:p>
        </w:tc>
        <w:tc>
          <w:tcPr>
            <w:tcW w:w="110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1"/>
                <w:szCs w:val="11"/>
                <w:color w:val="auto"/>
              </w:rPr>
              <w:t>1,840,606</w:t>
            </w:r>
          </w:p>
        </w:tc>
        <w:tc>
          <w:tcPr>
            <w:tcW w:w="840" w:type="dxa"/>
            <w:vAlign w:val="bottom"/>
          </w:tcPr>
          <w:p>
            <w:pPr>
              <w:jc w:val="center"/>
              <w:ind w:left="224"/>
              <w:spacing w:after="0" w:line="114" w:lineRule="exact"/>
              <w:rPr>
                <w:sz w:val="20"/>
                <w:szCs w:val="20"/>
                <w:color w:val="auto"/>
              </w:rPr>
            </w:pPr>
            <w:r>
              <w:rPr>
                <w:rFonts w:ascii="Calibri" w:cs="Calibri" w:eastAsia="Calibri" w:hAnsi="Calibri"/>
                <w:sz w:val="11"/>
                <w:szCs w:val="11"/>
                <w:color w:val="auto"/>
              </w:rPr>
              <w:t>0.0%</w:t>
            </w:r>
          </w:p>
        </w:tc>
        <w:tc>
          <w:tcPr>
            <w:tcW w:w="1440" w:type="dxa"/>
            <w:vAlign w:val="bottom"/>
            <w:tcBorders>
              <w:right w:val="single" w:sz="8" w:color="auto"/>
            </w:tcBorders>
          </w:tcPr>
          <w:p>
            <w:pPr>
              <w:jc w:val="center"/>
              <w:ind w:left="204"/>
              <w:spacing w:after="0" w:line="114" w:lineRule="exact"/>
              <w:rPr>
                <w:sz w:val="20"/>
                <w:szCs w:val="20"/>
                <w:color w:val="auto"/>
              </w:rPr>
            </w:pPr>
            <w:r>
              <w:rPr>
                <w:rFonts w:ascii="Calibri" w:cs="Calibri" w:eastAsia="Calibri" w:hAnsi="Calibri"/>
                <w:sz w:val="11"/>
                <w:szCs w:val="11"/>
                <w:color w:val="auto"/>
              </w:rPr>
              <w:t>0.0%</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Reserves</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334,650</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365,847</w:t>
            </w:r>
          </w:p>
        </w:tc>
        <w:tc>
          <w:tcPr>
            <w:tcW w:w="11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365,847</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0.0%</w:t>
            </w:r>
          </w:p>
        </w:tc>
        <w:tc>
          <w:tcPr>
            <w:tcW w:w="1440" w:type="dxa"/>
            <w:vAlign w:val="bottom"/>
            <w:tcBorders>
              <w:right w:val="single" w:sz="8" w:color="auto"/>
            </w:tcBorders>
          </w:tcPr>
          <w:p>
            <w:pPr>
              <w:jc w:val="center"/>
              <w:ind w:left="204"/>
              <w:spacing w:after="0" w:line="130" w:lineRule="exact"/>
              <w:rPr>
                <w:sz w:val="20"/>
                <w:szCs w:val="20"/>
                <w:color w:val="auto"/>
              </w:rPr>
            </w:pPr>
            <w:r>
              <w:rPr>
                <w:rFonts w:ascii="Calibri" w:cs="Calibri" w:eastAsia="Calibri" w:hAnsi="Calibri"/>
                <w:sz w:val="11"/>
                <w:szCs w:val="11"/>
                <w:color w:val="auto"/>
              </w:rPr>
              <w:t>9.3%</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Accumulated earnings</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356,449</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168,090</w:t>
            </w:r>
          </w:p>
        </w:tc>
        <w:tc>
          <w:tcPr>
            <w:tcW w:w="11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238,272</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41.8%</w:t>
            </w:r>
          </w:p>
        </w:tc>
        <w:tc>
          <w:tcPr>
            <w:tcW w:w="1440" w:type="dxa"/>
            <w:vAlign w:val="bottom"/>
            <w:tcBorders>
              <w:right w:val="single" w:sz="8" w:color="auto"/>
            </w:tcBorders>
          </w:tcPr>
          <w:p>
            <w:pPr>
              <w:jc w:val="center"/>
              <w:ind w:left="184"/>
              <w:spacing w:after="0" w:line="130" w:lineRule="exact"/>
              <w:rPr>
                <w:sz w:val="20"/>
                <w:szCs w:val="20"/>
                <w:color w:val="auto"/>
              </w:rPr>
            </w:pPr>
            <w:r>
              <w:rPr>
                <w:rFonts w:ascii="Calibri" w:cs="Calibri" w:eastAsia="Calibri" w:hAnsi="Calibri"/>
                <w:sz w:val="11"/>
                <w:szCs w:val="11"/>
                <w:color w:val="auto"/>
              </w:rPr>
              <w:t>-33.2%</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 xml:space="preserve">Loan loss reserves </w:t>
            </w:r>
            <w:r>
              <w:rPr>
                <w:rFonts w:ascii="Calibri" w:cs="Calibri" w:eastAsia="Calibri" w:hAnsi="Calibri"/>
                <w:sz w:val="9"/>
                <w:szCs w:val="9"/>
                <w:color w:val="auto"/>
              </w:rPr>
              <w:t>(1)</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150,127</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149,412</w:t>
            </w:r>
          </w:p>
        </w:tc>
        <w:tc>
          <w:tcPr>
            <w:tcW w:w="11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153,732</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2.9%</w:t>
            </w:r>
          </w:p>
        </w:tc>
        <w:tc>
          <w:tcPr>
            <w:tcW w:w="1440" w:type="dxa"/>
            <w:vAlign w:val="bottom"/>
            <w:tcBorders>
              <w:right w:val="single" w:sz="8" w:color="auto"/>
            </w:tcBorders>
          </w:tcPr>
          <w:p>
            <w:pPr>
              <w:jc w:val="center"/>
              <w:ind w:left="204"/>
              <w:spacing w:after="0" w:line="130" w:lineRule="exact"/>
              <w:rPr>
                <w:sz w:val="20"/>
                <w:szCs w:val="20"/>
                <w:color w:val="auto"/>
              </w:rPr>
            </w:pPr>
            <w:r>
              <w:rPr>
                <w:rFonts w:ascii="Calibri" w:cs="Calibri" w:eastAsia="Calibri" w:hAnsi="Calibri"/>
                <w:sz w:val="11"/>
                <w:szCs w:val="11"/>
                <w:color w:val="auto"/>
              </w:rPr>
              <w:t>2.4%</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Perpetual subordinated debt</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rPr>
              <w:t>-</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rPr>
              <w:t>-</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9"/>
                <w:szCs w:val="9"/>
                <w:color w:val="auto"/>
                <w:w w:val="70"/>
              </w:rPr>
              <w:t>-</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n.a</w:t>
            </w:r>
          </w:p>
        </w:tc>
        <w:tc>
          <w:tcPr>
            <w:tcW w:w="1440" w:type="dxa"/>
            <w:vAlign w:val="bottom"/>
            <w:tcBorders>
              <w:right w:val="single" w:sz="8" w:color="auto"/>
            </w:tcBorders>
          </w:tcPr>
          <w:p>
            <w:pPr>
              <w:ind w:left="760"/>
              <w:spacing w:after="0" w:line="130" w:lineRule="exact"/>
              <w:rPr>
                <w:sz w:val="20"/>
                <w:szCs w:val="20"/>
                <w:color w:val="auto"/>
              </w:rPr>
            </w:pPr>
            <w:r>
              <w:rPr>
                <w:rFonts w:ascii="Calibri" w:cs="Calibri" w:eastAsia="Calibri" w:hAnsi="Calibri"/>
                <w:sz w:val="11"/>
                <w:szCs w:val="11"/>
                <w:color w:val="auto"/>
              </w:rPr>
              <w:t>n.a.</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Subordinated debt</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167,000</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267,000</w:t>
            </w:r>
          </w:p>
        </w:tc>
        <w:tc>
          <w:tcPr>
            <w:tcW w:w="11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261,000</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w w:val="95"/>
              </w:rPr>
              <w:t>-2.2%</w:t>
            </w:r>
          </w:p>
        </w:tc>
        <w:tc>
          <w:tcPr>
            <w:tcW w:w="1440" w:type="dxa"/>
            <w:vAlign w:val="bottom"/>
            <w:tcBorders>
              <w:right w:val="single" w:sz="8" w:color="auto"/>
            </w:tcBorders>
          </w:tcPr>
          <w:p>
            <w:pPr>
              <w:jc w:val="center"/>
              <w:ind w:left="184"/>
              <w:spacing w:after="0" w:line="130" w:lineRule="exact"/>
              <w:rPr>
                <w:sz w:val="20"/>
                <w:szCs w:val="20"/>
                <w:color w:val="auto"/>
              </w:rPr>
            </w:pPr>
            <w:r>
              <w:rPr>
                <w:rFonts w:ascii="Calibri" w:cs="Calibri" w:eastAsia="Calibri" w:hAnsi="Calibri"/>
                <w:sz w:val="11"/>
                <w:szCs w:val="11"/>
                <w:color w:val="auto"/>
              </w:rPr>
              <w:t>56.3%</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Unrealidez Proft or Losses</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rPr>
              <w:t>(600)</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rPr>
              <w:t>(4,037)</w:t>
            </w:r>
          </w:p>
        </w:tc>
        <w:tc>
          <w:tcPr>
            <w:tcW w:w="11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3,035</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w w:val="99"/>
              </w:rPr>
              <w:t>-175.2%</w:t>
            </w:r>
          </w:p>
        </w:tc>
        <w:tc>
          <w:tcPr>
            <w:tcW w:w="1440" w:type="dxa"/>
            <w:vAlign w:val="bottom"/>
            <w:tcBorders>
              <w:right w:val="single" w:sz="8" w:color="auto"/>
            </w:tcBorders>
          </w:tcPr>
          <w:p>
            <w:pPr>
              <w:jc w:val="center"/>
              <w:ind w:left="204"/>
              <w:spacing w:after="0" w:line="130" w:lineRule="exact"/>
              <w:rPr>
                <w:sz w:val="20"/>
                <w:szCs w:val="20"/>
                <w:color w:val="auto"/>
              </w:rPr>
            </w:pPr>
            <w:r>
              <w:rPr>
                <w:rFonts w:ascii="Calibri" w:cs="Calibri" w:eastAsia="Calibri" w:hAnsi="Calibri"/>
                <w:sz w:val="11"/>
                <w:szCs w:val="11"/>
                <w:color w:val="auto"/>
              </w:rPr>
              <w:t>-605.6%</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Investment in subsidiaries and others, net of unrealized proft and net income in subsidiaries</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rPr>
              <w:t>(288)</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rPr>
              <w:t>(295)</w:t>
            </w:r>
          </w:p>
        </w:tc>
        <w:tc>
          <w:tcPr>
            <w:tcW w:w="1100" w:type="dxa"/>
            <w:vAlign w:val="bottom"/>
            <w:tcBorders>
              <w:right w:val="single" w:sz="8" w:color="auto"/>
            </w:tcBorders>
          </w:tcPr>
          <w:p>
            <w:pPr>
              <w:jc w:val="center"/>
              <w:ind w:right="4"/>
              <w:spacing w:after="0" w:line="130" w:lineRule="exact"/>
              <w:rPr>
                <w:sz w:val="20"/>
                <w:szCs w:val="20"/>
                <w:color w:val="auto"/>
              </w:rPr>
            </w:pPr>
            <w:r>
              <w:rPr>
                <w:rFonts w:ascii="Calibri" w:cs="Calibri" w:eastAsia="Calibri" w:hAnsi="Calibri"/>
                <w:sz w:val="11"/>
                <w:szCs w:val="11"/>
                <w:color w:val="auto"/>
              </w:rPr>
              <w:t>(148)</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-49.7%</w:t>
            </w:r>
          </w:p>
        </w:tc>
        <w:tc>
          <w:tcPr>
            <w:tcW w:w="1440" w:type="dxa"/>
            <w:vAlign w:val="bottom"/>
            <w:tcBorders>
              <w:right w:val="single" w:sz="8" w:color="auto"/>
            </w:tcBorders>
          </w:tcPr>
          <w:p>
            <w:pPr>
              <w:jc w:val="center"/>
              <w:ind w:left="184"/>
              <w:spacing w:after="0" w:line="130" w:lineRule="exact"/>
              <w:rPr>
                <w:sz w:val="20"/>
                <w:szCs w:val="20"/>
                <w:color w:val="auto"/>
              </w:rPr>
            </w:pPr>
            <w:r>
              <w:rPr>
                <w:rFonts w:ascii="Calibri" w:cs="Calibri" w:eastAsia="Calibri" w:hAnsi="Calibri"/>
                <w:sz w:val="11"/>
                <w:szCs w:val="11"/>
                <w:color w:val="auto"/>
              </w:rPr>
              <w:t>-48.5%</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Intangibles</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rPr>
              <w:t>(123,177)</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rPr>
              <w:t>(119,759)</w:t>
            </w:r>
          </w:p>
        </w:tc>
        <w:tc>
          <w:tcPr>
            <w:tcW w:w="1100" w:type="dxa"/>
            <w:vAlign w:val="bottom"/>
            <w:tcBorders>
              <w:right w:val="single" w:sz="8" w:color="auto"/>
            </w:tcBorders>
          </w:tcPr>
          <w:p>
            <w:pPr>
              <w:jc w:val="center"/>
              <w:ind w:right="4"/>
              <w:spacing w:after="0" w:line="130" w:lineRule="exact"/>
              <w:rPr>
                <w:sz w:val="20"/>
                <w:szCs w:val="20"/>
                <w:color w:val="auto"/>
              </w:rPr>
            </w:pPr>
            <w:r>
              <w:rPr>
                <w:rFonts w:ascii="Calibri" w:cs="Calibri" w:eastAsia="Calibri" w:hAnsi="Calibri"/>
                <w:sz w:val="11"/>
                <w:szCs w:val="11"/>
                <w:color w:val="auto"/>
              </w:rPr>
              <w:t>(124,515)</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4.0%</w:t>
            </w:r>
          </w:p>
        </w:tc>
        <w:tc>
          <w:tcPr>
            <w:tcW w:w="1440" w:type="dxa"/>
            <w:vAlign w:val="bottom"/>
            <w:tcBorders>
              <w:right w:val="single" w:sz="8" w:color="auto"/>
            </w:tcBorders>
          </w:tcPr>
          <w:p>
            <w:pPr>
              <w:jc w:val="center"/>
              <w:ind w:left="204"/>
              <w:spacing w:after="0" w:line="130" w:lineRule="exact"/>
              <w:rPr>
                <w:sz w:val="20"/>
                <w:szCs w:val="20"/>
                <w:color w:val="auto"/>
              </w:rPr>
            </w:pPr>
            <w:r>
              <w:rPr>
                <w:rFonts w:ascii="Calibri" w:cs="Calibri" w:eastAsia="Calibri" w:hAnsi="Calibri"/>
                <w:sz w:val="11"/>
                <w:szCs w:val="11"/>
                <w:color w:val="auto"/>
              </w:rPr>
              <w:t>1.1%</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Goodwill</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rPr>
              <w:t>(139,180)</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rPr>
              <w:t>(139,180)</w:t>
            </w:r>
          </w:p>
        </w:tc>
        <w:tc>
          <w:tcPr>
            <w:tcW w:w="1100" w:type="dxa"/>
            <w:vAlign w:val="bottom"/>
            <w:tcBorders>
              <w:right w:val="single" w:sz="8" w:color="auto"/>
            </w:tcBorders>
          </w:tcPr>
          <w:p>
            <w:pPr>
              <w:jc w:val="center"/>
              <w:ind w:right="4"/>
              <w:spacing w:after="0" w:line="130" w:lineRule="exact"/>
              <w:rPr>
                <w:sz w:val="20"/>
                <w:szCs w:val="20"/>
                <w:color w:val="auto"/>
              </w:rPr>
            </w:pPr>
            <w:r>
              <w:rPr>
                <w:rFonts w:ascii="Calibri" w:cs="Calibri" w:eastAsia="Calibri" w:hAnsi="Calibri"/>
                <w:sz w:val="11"/>
                <w:szCs w:val="11"/>
                <w:color w:val="auto"/>
              </w:rPr>
              <w:t>(139,180)</w:t>
            </w:r>
          </w:p>
        </w:tc>
        <w:tc>
          <w:tcPr>
            <w:tcW w:w="840" w:type="dxa"/>
            <w:vAlign w:val="bottom"/>
          </w:tcPr>
          <w:p>
            <w:pPr>
              <w:jc w:val="center"/>
              <w:ind w:left="224"/>
              <w:spacing w:after="0" w:line="130" w:lineRule="exact"/>
              <w:rPr>
                <w:sz w:val="20"/>
                <w:szCs w:val="20"/>
                <w:color w:val="auto"/>
              </w:rPr>
            </w:pPr>
            <w:r>
              <w:rPr>
                <w:rFonts w:ascii="Calibri" w:cs="Calibri" w:eastAsia="Calibri" w:hAnsi="Calibri"/>
                <w:sz w:val="11"/>
                <w:szCs w:val="11"/>
                <w:color w:val="auto"/>
              </w:rPr>
              <w:t>0.0%</w:t>
            </w:r>
          </w:p>
        </w:tc>
        <w:tc>
          <w:tcPr>
            <w:tcW w:w="1440" w:type="dxa"/>
            <w:vAlign w:val="bottom"/>
            <w:tcBorders>
              <w:right w:val="single" w:sz="8" w:color="auto"/>
            </w:tcBorders>
          </w:tcPr>
          <w:p>
            <w:pPr>
              <w:jc w:val="center"/>
              <w:ind w:left="204"/>
              <w:spacing w:after="0" w:line="130" w:lineRule="exact"/>
              <w:rPr>
                <w:sz w:val="20"/>
                <w:szCs w:val="20"/>
                <w:color w:val="auto"/>
              </w:rPr>
            </w:pPr>
            <w:r>
              <w:rPr>
                <w:rFonts w:ascii="Calibri" w:cs="Calibri" w:eastAsia="Calibri" w:hAnsi="Calibri"/>
                <w:sz w:val="11"/>
                <w:szCs w:val="11"/>
                <w:color w:val="auto"/>
              </w:rPr>
              <w:t>0.0%</w:t>
            </w:r>
          </w:p>
        </w:tc>
      </w:tr>
      <w:tr>
        <w:trPr>
          <w:trHeight w:val="140"/>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Total Regulatory Capital</w:t>
            </w:r>
          </w:p>
        </w:tc>
        <w:tc>
          <w:tcPr>
            <w:tcW w:w="11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2,585,586</w:t>
            </w:r>
          </w:p>
        </w:tc>
        <w:tc>
          <w:tcPr>
            <w:tcW w:w="11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2,527,685</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2,598,649</w:t>
            </w:r>
          </w:p>
        </w:tc>
        <w:tc>
          <w:tcPr>
            <w:tcW w:w="840" w:type="dxa"/>
            <w:vAlign w:val="bottom"/>
            <w:tcBorders>
              <w:bottom w:val="single" w:sz="8" w:color="auto"/>
            </w:tcBorders>
          </w:tcPr>
          <w:p>
            <w:pPr>
              <w:jc w:val="center"/>
              <w:ind w:left="224"/>
              <w:spacing w:after="0"/>
              <w:rPr>
                <w:sz w:val="20"/>
                <w:szCs w:val="20"/>
                <w:color w:val="auto"/>
              </w:rPr>
            </w:pPr>
            <w:r>
              <w:rPr>
                <w:rFonts w:ascii="Calibri" w:cs="Calibri" w:eastAsia="Calibri" w:hAnsi="Calibri"/>
                <w:sz w:val="11"/>
                <w:szCs w:val="11"/>
                <w:b w:val="1"/>
                <w:bCs w:val="1"/>
                <w:color w:val="auto"/>
              </w:rPr>
              <w:t>2.8%</w:t>
            </w:r>
          </w:p>
        </w:tc>
        <w:tc>
          <w:tcPr>
            <w:tcW w:w="1440" w:type="dxa"/>
            <w:vAlign w:val="bottom"/>
            <w:tcBorders>
              <w:bottom w:val="single" w:sz="8" w:color="auto"/>
              <w:right w:val="single" w:sz="8" w:color="auto"/>
            </w:tcBorders>
          </w:tcPr>
          <w:p>
            <w:pPr>
              <w:jc w:val="center"/>
              <w:ind w:left="204"/>
              <w:spacing w:after="0"/>
              <w:rPr>
                <w:sz w:val="20"/>
                <w:szCs w:val="20"/>
                <w:color w:val="auto"/>
              </w:rPr>
            </w:pPr>
            <w:r>
              <w:rPr>
                <w:rFonts w:ascii="Calibri" w:cs="Calibri" w:eastAsia="Calibri" w:hAnsi="Calibri"/>
                <w:sz w:val="11"/>
                <w:szCs w:val="11"/>
                <w:b w:val="1"/>
                <w:bCs w:val="1"/>
                <w:color w:val="auto"/>
                <w:w w:val="99"/>
              </w:rPr>
              <w:t>0.5%</w:t>
            </w:r>
          </w:p>
        </w:tc>
      </w:tr>
      <w:tr>
        <w:trPr>
          <w:trHeight w:val="129"/>
        </w:trPr>
        <w:tc>
          <w:tcPr>
            <w:tcW w:w="56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 xml:space="preserve">Tier Common Equity </w:t>
            </w:r>
            <w:r>
              <w:rPr>
                <w:rFonts w:ascii="Calibri" w:cs="Calibri" w:eastAsia="Calibri" w:hAnsi="Calibri"/>
                <w:sz w:val="9"/>
                <w:szCs w:val="9"/>
                <w:b w:val="1"/>
                <w:bCs w:val="1"/>
                <w:color w:val="auto"/>
              </w:rPr>
              <w:t>(2)</w:t>
            </w:r>
          </w:p>
        </w:tc>
        <w:tc>
          <w:tcPr>
            <w:tcW w:w="110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2,268,460</w:t>
            </w:r>
          </w:p>
        </w:tc>
        <w:tc>
          <w:tcPr>
            <w:tcW w:w="112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2,111,272</w:t>
            </w:r>
          </w:p>
        </w:tc>
        <w:tc>
          <w:tcPr>
            <w:tcW w:w="1100" w:type="dxa"/>
            <w:vAlign w:val="bottom"/>
            <w:tcBorders>
              <w:bottom w:val="single" w:sz="8" w:color="auto"/>
              <w:right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2,183,917</w:t>
            </w:r>
          </w:p>
        </w:tc>
        <w:tc>
          <w:tcPr>
            <w:tcW w:w="840" w:type="dxa"/>
            <w:vAlign w:val="bottom"/>
            <w:tcBorders>
              <w:bottom w:val="single" w:sz="8" w:color="auto"/>
            </w:tcBorders>
          </w:tcPr>
          <w:p>
            <w:pPr>
              <w:jc w:val="center"/>
              <w:ind w:left="224"/>
              <w:spacing w:after="0" w:line="129" w:lineRule="exact"/>
              <w:rPr>
                <w:sz w:val="20"/>
                <w:szCs w:val="20"/>
                <w:color w:val="auto"/>
              </w:rPr>
            </w:pPr>
            <w:r>
              <w:rPr>
                <w:rFonts w:ascii="Calibri" w:cs="Calibri" w:eastAsia="Calibri" w:hAnsi="Calibri"/>
                <w:sz w:val="11"/>
                <w:szCs w:val="11"/>
                <w:b w:val="1"/>
                <w:bCs w:val="1"/>
                <w:color w:val="auto"/>
              </w:rPr>
              <w:t>3.4%</w:t>
            </w:r>
          </w:p>
        </w:tc>
        <w:tc>
          <w:tcPr>
            <w:tcW w:w="1440" w:type="dxa"/>
            <w:vAlign w:val="bottom"/>
            <w:tcBorders>
              <w:bottom w:val="single" w:sz="8" w:color="auto"/>
              <w:right w:val="single" w:sz="8" w:color="auto"/>
            </w:tcBorders>
          </w:tcPr>
          <w:p>
            <w:pPr>
              <w:jc w:val="center"/>
              <w:ind w:left="204"/>
              <w:spacing w:after="0" w:line="129" w:lineRule="exact"/>
              <w:rPr>
                <w:sz w:val="20"/>
                <w:szCs w:val="20"/>
                <w:color w:val="auto"/>
              </w:rPr>
            </w:pPr>
            <w:r>
              <w:rPr>
                <w:rFonts w:ascii="Calibri" w:cs="Calibri" w:eastAsia="Calibri" w:hAnsi="Calibri"/>
                <w:sz w:val="11"/>
                <w:szCs w:val="11"/>
                <w:b w:val="1"/>
                <w:bCs w:val="1"/>
                <w:color w:val="auto"/>
              </w:rPr>
              <w:t>-3.7%</w:t>
            </w:r>
          </w:p>
        </w:tc>
      </w:tr>
      <w:tr>
        <w:trPr>
          <w:trHeight w:val="123"/>
        </w:trPr>
        <w:tc>
          <w:tcPr>
            <w:tcW w:w="566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 xml:space="preserve">Regulatory Tier 1 Capital </w:t>
            </w:r>
            <w:r>
              <w:rPr>
                <w:rFonts w:ascii="Calibri" w:cs="Calibri" w:eastAsia="Calibri" w:hAnsi="Calibri"/>
                <w:sz w:val="9"/>
                <w:szCs w:val="9"/>
                <w:b w:val="1"/>
                <w:bCs w:val="1"/>
                <w:color w:val="auto"/>
              </w:rPr>
              <w:t>(3)</w:t>
            </w:r>
          </w:p>
        </w:tc>
        <w:tc>
          <w:tcPr>
            <w:tcW w:w="110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2,268,460</w:t>
            </w:r>
          </w:p>
        </w:tc>
        <w:tc>
          <w:tcPr>
            <w:tcW w:w="11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2,111,272</w:t>
            </w:r>
          </w:p>
        </w:tc>
        <w:tc>
          <w:tcPr>
            <w:tcW w:w="110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2,183,917</w:t>
            </w:r>
          </w:p>
        </w:tc>
        <w:tc>
          <w:tcPr>
            <w:tcW w:w="840" w:type="dxa"/>
            <w:vAlign w:val="bottom"/>
            <w:tcBorders>
              <w:bottom w:val="single" w:sz="8" w:color="auto"/>
            </w:tcBorders>
          </w:tcPr>
          <w:p>
            <w:pPr>
              <w:jc w:val="center"/>
              <w:ind w:left="224"/>
              <w:spacing w:after="0" w:line="124" w:lineRule="exact"/>
              <w:rPr>
                <w:sz w:val="20"/>
                <w:szCs w:val="20"/>
                <w:color w:val="auto"/>
              </w:rPr>
            </w:pPr>
            <w:r>
              <w:rPr>
                <w:rFonts w:ascii="Calibri" w:cs="Calibri" w:eastAsia="Calibri" w:hAnsi="Calibri"/>
                <w:sz w:val="11"/>
                <w:szCs w:val="11"/>
                <w:b w:val="1"/>
                <w:bCs w:val="1"/>
                <w:color w:val="auto"/>
              </w:rPr>
              <w:t>3.4%</w:t>
            </w:r>
          </w:p>
        </w:tc>
        <w:tc>
          <w:tcPr>
            <w:tcW w:w="1440" w:type="dxa"/>
            <w:vAlign w:val="bottom"/>
            <w:tcBorders>
              <w:bottom w:val="single" w:sz="8" w:color="auto"/>
              <w:right w:val="single" w:sz="8" w:color="auto"/>
            </w:tcBorders>
          </w:tcPr>
          <w:p>
            <w:pPr>
              <w:jc w:val="center"/>
              <w:ind w:left="204"/>
              <w:spacing w:after="0" w:line="124" w:lineRule="exact"/>
              <w:rPr>
                <w:sz w:val="20"/>
                <w:szCs w:val="20"/>
                <w:color w:val="auto"/>
              </w:rPr>
            </w:pPr>
            <w:r>
              <w:rPr>
                <w:rFonts w:ascii="Calibri" w:cs="Calibri" w:eastAsia="Calibri" w:hAnsi="Calibri"/>
                <w:sz w:val="11"/>
                <w:szCs w:val="11"/>
                <w:b w:val="1"/>
                <w:bCs w:val="1"/>
                <w:color w:val="auto"/>
              </w:rPr>
              <w:t>-3.7%</w:t>
            </w:r>
          </w:p>
        </w:tc>
      </w:tr>
      <w:tr>
        <w:trPr>
          <w:trHeight w:val="123"/>
        </w:trPr>
        <w:tc>
          <w:tcPr>
            <w:tcW w:w="566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b w:val="1"/>
                <w:bCs w:val="1"/>
                <w:color w:val="auto"/>
              </w:rPr>
              <w:t xml:space="preserve">Regulatory Tier 2 Capital </w:t>
            </w:r>
            <w:r>
              <w:rPr>
                <w:rFonts w:ascii="Calibri" w:cs="Calibri" w:eastAsia="Calibri" w:hAnsi="Calibri"/>
                <w:sz w:val="9"/>
                <w:szCs w:val="9"/>
                <w:b w:val="1"/>
                <w:bCs w:val="1"/>
                <w:color w:val="auto"/>
              </w:rPr>
              <w:t>(4)</w:t>
            </w:r>
          </w:p>
        </w:tc>
        <w:tc>
          <w:tcPr>
            <w:tcW w:w="110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317,127</w:t>
            </w:r>
          </w:p>
        </w:tc>
        <w:tc>
          <w:tcPr>
            <w:tcW w:w="1120" w:type="dxa"/>
            <w:vAlign w:val="bottom"/>
            <w:tcBorders>
              <w:bottom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w w:val="99"/>
              </w:rPr>
              <w:t>416,412</w:t>
            </w:r>
          </w:p>
        </w:tc>
        <w:tc>
          <w:tcPr>
            <w:tcW w:w="1100" w:type="dxa"/>
            <w:vAlign w:val="bottom"/>
            <w:tcBorders>
              <w:bottom w:val="single" w:sz="8" w:color="auto"/>
              <w:right w:val="single" w:sz="8" w:color="auto"/>
            </w:tcBorders>
          </w:tcPr>
          <w:p>
            <w:pPr>
              <w:jc w:val="center"/>
              <w:spacing w:after="0" w:line="124" w:lineRule="exact"/>
              <w:rPr>
                <w:sz w:val="20"/>
                <w:szCs w:val="20"/>
                <w:color w:val="auto"/>
              </w:rPr>
            </w:pPr>
            <w:r>
              <w:rPr>
                <w:rFonts w:ascii="Calibri" w:cs="Calibri" w:eastAsia="Calibri" w:hAnsi="Calibri"/>
                <w:sz w:val="11"/>
                <w:szCs w:val="11"/>
                <w:b w:val="1"/>
                <w:bCs w:val="1"/>
                <w:color w:val="auto"/>
              </w:rPr>
              <w:t>414,732</w:t>
            </w:r>
          </w:p>
        </w:tc>
        <w:tc>
          <w:tcPr>
            <w:tcW w:w="840" w:type="dxa"/>
            <w:vAlign w:val="bottom"/>
            <w:tcBorders>
              <w:bottom w:val="single" w:sz="8" w:color="auto"/>
            </w:tcBorders>
          </w:tcPr>
          <w:p>
            <w:pPr>
              <w:jc w:val="center"/>
              <w:ind w:left="224"/>
              <w:spacing w:after="0" w:line="124" w:lineRule="exact"/>
              <w:rPr>
                <w:sz w:val="20"/>
                <w:szCs w:val="20"/>
                <w:color w:val="auto"/>
              </w:rPr>
            </w:pPr>
            <w:r>
              <w:rPr>
                <w:rFonts w:ascii="Calibri" w:cs="Calibri" w:eastAsia="Calibri" w:hAnsi="Calibri"/>
                <w:sz w:val="11"/>
                <w:szCs w:val="11"/>
                <w:b w:val="1"/>
                <w:bCs w:val="1"/>
                <w:color w:val="auto"/>
              </w:rPr>
              <w:t>-0.4%</w:t>
            </w:r>
          </w:p>
        </w:tc>
        <w:tc>
          <w:tcPr>
            <w:tcW w:w="1440" w:type="dxa"/>
            <w:vAlign w:val="bottom"/>
            <w:tcBorders>
              <w:bottom w:val="single" w:sz="8" w:color="auto"/>
              <w:right w:val="single" w:sz="8" w:color="auto"/>
            </w:tcBorders>
          </w:tcPr>
          <w:p>
            <w:pPr>
              <w:jc w:val="center"/>
              <w:ind w:left="184"/>
              <w:spacing w:after="0" w:line="124" w:lineRule="exact"/>
              <w:rPr>
                <w:sz w:val="20"/>
                <w:szCs w:val="20"/>
                <w:color w:val="auto"/>
              </w:rPr>
            </w:pPr>
            <w:r>
              <w:rPr>
                <w:rFonts w:ascii="Calibri" w:cs="Calibri" w:eastAsia="Calibri" w:hAnsi="Calibri"/>
                <w:sz w:val="11"/>
                <w:szCs w:val="11"/>
                <w:b w:val="1"/>
                <w:bCs w:val="1"/>
                <w:color w:val="auto"/>
              </w:rPr>
              <w:t>30.8%</w:t>
            </w:r>
          </w:p>
        </w:tc>
      </w:tr>
      <w:tr>
        <w:trPr>
          <w:trHeight w:val="188"/>
        </w:trPr>
        <w:tc>
          <w:tcPr>
            <w:tcW w:w="5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28"/>
        </w:trPr>
        <w:tc>
          <w:tcPr>
            <w:tcW w:w="5660" w:type="dxa"/>
            <w:vAlign w:val="bottom"/>
            <w:tcBorders>
              <w:left w:val="single" w:sz="8" w:color="auto"/>
              <w:right w:val="single" w:sz="8" w:color="auto"/>
            </w:tcBorders>
            <w:shd w:val="clear" w:color="auto" w:fill="33CCCC"/>
          </w:tcPr>
          <w:p>
            <w:pPr>
              <w:ind w:left="20"/>
              <w:spacing w:after="0" w:line="128" w:lineRule="exact"/>
              <w:rPr>
                <w:sz w:val="20"/>
                <w:szCs w:val="20"/>
                <w:color w:val="auto"/>
              </w:rPr>
            </w:pPr>
            <w:r>
              <w:rPr>
                <w:rFonts w:ascii="Calibri" w:cs="Calibri" w:eastAsia="Calibri" w:hAnsi="Calibri"/>
                <w:sz w:val="11"/>
                <w:szCs w:val="11"/>
                <w:b w:val="1"/>
                <w:bCs w:val="1"/>
                <w:color w:val="FFFFFF"/>
              </w:rPr>
              <w:t>Total risk-weighted assets</w:t>
            </w:r>
          </w:p>
        </w:tc>
        <w:tc>
          <w:tcPr>
            <w:tcW w:w="1100" w:type="dxa"/>
            <w:vAlign w:val="bottom"/>
            <w:shd w:val="clear" w:color="auto" w:fill="33CCCC"/>
          </w:tcPr>
          <w:p>
            <w:pPr>
              <w:spacing w:after="0"/>
              <w:rPr>
                <w:sz w:val="11"/>
                <w:szCs w:val="11"/>
                <w:color w:val="auto"/>
              </w:rPr>
            </w:pPr>
          </w:p>
        </w:tc>
        <w:tc>
          <w:tcPr>
            <w:tcW w:w="1120" w:type="dxa"/>
            <w:vAlign w:val="bottom"/>
            <w:shd w:val="clear" w:color="auto" w:fill="33CCCC"/>
          </w:tcPr>
          <w:p>
            <w:pPr>
              <w:jc w:val="center"/>
              <w:spacing w:after="0" w:line="128" w:lineRule="exact"/>
              <w:rPr>
                <w:sz w:val="20"/>
                <w:szCs w:val="20"/>
                <w:color w:val="auto"/>
              </w:rPr>
            </w:pPr>
            <w:r>
              <w:rPr>
                <w:rFonts w:ascii="Calibri" w:cs="Calibri" w:eastAsia="Calibri" w:hAnsi="Calibri"/>
                <w:sz w:val="11"/>
                <w:szCs w:val="11"/>
                <w:b w:val="1"/>
                <w:bCs w:val="1"/>
                <w:color w:val="FFFFFF"/>
              </w:rPr>
              <w:t>As of</w:t>
            </w:r>
          </w:p>
        </w:tc>
        <w:tc>
          <w:tcPr>
            <w:tcW w:w="1100" w:type="dxa"/>
            <w:vAlign w:val="bottom"/>
            <w:tcBorders>
              <w:right w:val="single" w:sz="8" w:color="33CCCC"/>
            </w:tcBorders>
            <w:shd w:val="clear" w:color="auto" w:fill="33CCCC"/>
          </w:tcPr>
          <w:p>
            <w:pPr>
              <w:spacing w:after="0"/>
              <w:rPr>
                <w:sz w:val="11"/>
                <w:szCs w:val="11"/>
                <w:color w:val="auto"/>
              </w:rPr>
            </w:pPr>
          </w:p>
        </w:tc>
        <w:tc>
          <w:tcPr>
            <w:tcW w:w="840" w:type="dxa"/>
            <w:vAlign w:val="bottom"/>
            <w:shd w:val="clear" w:color="auto" w:fill="33CCCC"/>
          </w:tcPr>
          <w:p>
            <w:pPr>
              <w:spacing w:after="0"/>
              <w:rPr>
                <w:sz w:val="11"/>
                <w:szCs w:val="11"/>
                <w:color w:val="auto"/>
              </w:rPr>
            </w:pPr>
          </w:p>
        </w:tc>
        <w:tc>
          <w:tcPr>
            <w:tcW w:w="1440" w:type="dxa"/>
            <w:vAlign w:val="bottom"/>
            <w:tcBorders>
              <w:right w:val="single" w:sz="8" w:color="auto"/>
            </w:tcBorders>
            <w:shd w:val="clear" w:color="auto" w:fill="33CCCC"/>
          </w:tcPr>
          <w:p>
            <w:pPr>
              <w:ind w:left="100"/>
              <w:spacing w:after="0" w:line="128" w:lineRule="exact"/>
              <w:rPr>
                <w:sz w:val="20"/>
                <w:szCs w:val="20"/>
                <w:color w:val="auto"/>
              </w:rPr>
            </w:pPr>
            <w:r>
              <w:rPr>
                <w:rFonts w:ascii="Calibri" w:cs="Calibri" w:eastAsia="Calibri" w:hAnsi="Calibri"/>
                <w:sz w:val="11"/>
                <w:szCs w:val="11"/>
                <w:b w:val="1"/>
                <w:bCs w:val="1"/>
                <w:color w:val="FFFFFF"/>
              </w:rPr>
              <w:t>% change</w:t>
            </w:r>
          </w:p>
        </w:tc>
      </w:tr>
      <w:tr>
        <w:trPr>
          <w:trHeight w:val="185"/>
        </w:trPr>
        <w:tc>
          <w:tcPr>
            <w:tcW w:w="566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1"/>
                <w:szCs w:val="11"/>
                <w:color w:val="FFFFFF"/>
              </w:rPr>
              <w:t>(S/ thousand)</w:t>
            </w:r>
          </w:p>
        </w:tc>
        <w:tc>
          <w:tcPr>
            <w:tcW w:w="1100" w:type="dxa"/>
            <w:vAlign w:val="bottom"/>
            <w:tcBorders>
              <w:bottom w:val="single" w:sz="8" w:color="auto"/>
            </w:tcBorders>
            <w:shd w:val="clear" w:color="auto" w:fill="33CCCC"/>
          </w:tcPr>
          <w:p>
            <w:pPr>
              <w:ind w:left="380"/>
              <w:spacing w:after="0"/>
              <w:rPr>
                <w:sz w:val="20"/>
                <w:szCs w:val="20"/>
                <w:color w:val="auto"/>
              </w:rPr>
            </w:pPr>
            <w:r>
              <w:rPr>
                <w:rFonts w:ascii="Calibri" w:cs="Calibri" w:eastAsia="Calibri" w:hAnsi="Calibri"/>
                <w:sz w:val="11"/>
                <w:szCs w:val="11"/>
                <w:b w:val="1"/>
                <w:bCs w:val="1"/>
                <w:color w:val="FFFFFF"/>
              </w:rPr>
              <w:t>Jun 24</w:t>
            </w:r>
          </w:p>
        </w:tc>
        <w:tc>
          <w:tcPr>
            <w:tcW w:w="112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Mar 25</w:t>
            </w:r>
          </w:p>
        </w:tc>
        <w:tc>
          <w:tcPr>
            <w:tcW w:w="1100" w:type="dxa"/>
            <w:vAlign w:val="bottom"/>
            <w:tcBorders>
              <w:bottom w:val="single" w:sz="8" w:color="auto"/>
              <w:right w:val="single" w:sz="8" w:color="33CCCC"/>
            </w:tcBorders>
            <w:shd w:val="clear" w:color="auto" w:fill="33CCCC"/>
          </w:tcPr>
          <w:p>
            <w:pPr>
              <w:ind w:left="440"/>
              <w:spacing w:after="0"/>
              <w:rPr>
                <w:sz w:val="20"/>
                <w:szCs w:val="20"/>
                <w:color w:val="auto"/>
              </w:rPr>
            </w:pPr>
            <w:r>
              <w:rPr>
                <w:rFonts w:ascii="Calibri" w:cs="Calibri" w:eastAsia="Calibri" w:hAnsi="Calibri"/>
                <w:sz w:val="11"/>
                <w:szCs w:val="11"/>
                <w:b w:val="1"/>
                <w:bCs w:val="1"/>
                <w:color w:val="FFFFFF"/>
              </w:rPr>
              <w:t>Jun 25</w:t>
            </w:r>
          </w:p>
        </w:tc>
        <w:tc>
          <w:tcPr>
            <w:tcW w:w="840" w:type="dxa"/>
            <w:vAlign w:val="bottom"/>
            <w:tcBorders>
              <w:bottom w:val="single" w:sz="8" w:color="auto"/>
            </w:tcBorders>
            <w:shd w:val="clear" w:color="auto" w:fill="33CCCC"/>
          </w:tcPr>
          <w:p>
            <w:pPr>
              <w:ind w:left="500"/>
              <w:spacing w:after="0"/>
              <w:rPr>
                <w:sz w:val="20"/>
                <w:szCs w:val="20"/>
                <w:color w:val="auto"/>
              </w:rPr>
            </w:pPr>
            <w:r>
              <w:rPr>
                <w:rFonts w:ascii="Calibri" w:cs="Calibri" w:eastAsia="Calibri" w:hAnsi="Calibri"/>
                <w:sz w:val="11"/>
                <w:szCs w:val="11"/>
                <w:b w:val="1"/>
                <w:bCs w:val="1"/>
                <w:color w:val="FFFFFF"/>
              </w:rPr>
              <w:t>QoQ</w:t>
            </w:r>
          </w:p>
        </w:tc>
        <w:tc>
          <w:tcPr>
            <w:tcW w:w="1440" w:type="dxa"/>
            <w:vAlign w:val="bottom"/>
            <w:tcBorders>
              <w:bottom w:val="single" w:sz="8" w:color="auto"/>
              <w:right w:val="single" w:sz="8" w:color="auto"/>
            </w:tcBorders>
            <w:shd w:val="clear" w:color="auto" w:fill="33CCCC"/>
          </w:tcPr>
          <w:p>
            <w:pPr>
              <w:ind w:left="780"/>
              <w:spacing w:after="0"/>
              <w:rPr>
                <w:sz w:val="20"/>
                <w:szCs w:val="20"/>
                <w:color w:val="auto"/>
              </w:rPr>
            </w:pPr>
            <w:r>
              <w:rPr>
                <w:rFonts w:ascii="Calibri" w:cs="Calibri" w:eastAsia="Calibri" w:hAnsi="Calibri"/>
                <w:sz w:val="11"/>
                <w:szCs w:val="11"/>
                <w:b w:val="1"/>
                <w:bCs w:val="1"/>
                <w:color w:val="FFFFFF"/>
              </w:rPr>
              <w:t>YoY</w:t>
            </w:r>
          </w:p>
        </w:tc>
      </w:tr>
      <w:tr>
        <w:trPr>
          <w:trHeight w:val="113"/>
        </w:trPr>
        <w:tc>
          <w:tcPr>
            <w:tcW w:w="5660" w:type="dxa"/>
            <w:vAlign w:val="bottom"/>
            <w:tcBorders>
              <w:left w:val="single" w:sz="8" w:color="auto"/>
              <w:right w:val="single" w:sz="8" w:color="auto"/>
            </w:tcBorders>
          </w:tcPr>
          <w:p>
            <w:pPr>
              <w:ind w:left="180"/>
              <w:spacing w:after="0" w:line="114" w:lineRule="exact"/>
              <w:rPr>
                <w:sz w:val="20"/>
                <w:szCs w:val="20"/>
                <w:color w:val="auto"/>
              </w:rPr>
            </w:pPr>
            <w:r>
              <w:rPr>
                <w:rFonts w:ascii="Calibri" w:cs="Calibri" w:eastAsia="Calibri" w:hAnsi="Calibri"/>
                <w:sz w:val="11"/>
                <w:szCs w:val="11"/>
                <w:color w:val="auto"/>
              </w:rPr>
              <w:t>Market risk-weighted assets</w:t>
            </w:r>
          </w:p>
        </w:tc>
        <w:tc>
          <w:tcPr>
            <w:tcW w:w="1100" w:type="dxa"/>
            <w:vAlign w:val="bottom"/>
          </w:tcPr>
          <w:p>
            <w:pPr>
              <w:jc w:val="center"/>
              <w:spacing w:after="0" w:line="114" w:lineRule="exact"/>
              <w:rPr>
                <w:sz w:val="20"/>
                <w:szCs w:val="20"/>
                <w:color w:val="auto"/>
              </w:rPr>
            </w:pPr>
            <w:r>
              <w:rPr>
                <w:rFonts w:ascii="Calibri" w:cs="Calibri" w:eastAsia="Calibri" w:hAnsi="Calibri"/>
                <w:sz w:val="11"/>
                <w:szCs w:val="11"/>
                <w:color w:val="auto"/>
                <w:w w:val="99"/>
              </w:rPr>
              <w:t>249,120</w:t>
            </w:r>
          </w:p>
        </w:tc>
        <w:tc>
          <w:tcPr>
            <w:tcW w:w="1120" w:type="dxa"/>
            <w:vAlign w:val="bottom"/>
          </w:tcPr>
          <w:p>
            <w:pPr>
              <w:jc w:val="center"/>
              <w:spacing w:after="0" w:line="114" w:lineRule="exact"/>
              <w:rPr>
                <w:sz w:val="20"/>
                <w:szCs w:val="20"/>
                <w:color w:val="auto"/>
              </w:rPr>
            </w:pPr>
            <w:r>
              <w:rPr>
                <w:rFonts w:ascii="Calibri" w:cs="Calibri" w:eastAsia="Calibri" w:hAnsi="Calibri"/>
                <w:sz w:val="11"/>
                <w:szCs w:val="11"/>
                <w:color w:val="auto"/>
              </w:rPr>
              <w:t>225,498</w:t>
            </w:r>
          </w:p>
        </w:tc>
        <w:tc>
          <w:tcPr>
            <w:tcW w:w="1100" w:type="dxa"/>
            <w:vAlign w:val="bottom"/>
          </w:tcPr>
          <w:p>
            <w:pPr>
              <w:jc w:val="center"/>
              <w:ind w:left="24"/>
              <w:spacing w:after="0" w:line="114" w:lineRule="exact"/>
              <w:rPr>
                <w:sz w:val="20"/>
                <w:szCs w:val="20"/>
                <w:color w:val="auto"/>
              </w:rPr>
            </w:pPr>
            <w:r>
              <w:rPr>
                <w:rFonts w:ascii="Calibri" w:cs="Calibri" w:eastAsia="Calibri" w:hAnsi="Calibri"/>
                <w:sz w:val="11"/>
                <w:szCs w:val="11"/>
                <w:color w:val="auto"/>
              </w:rPr>
              <w:t>193,276</w:t>
            </w:r>
          </w:p>
        </w:tc>
        <w:tc>
          <w:tcPr>
            <w:tcW w:w="840" w:type="dxa"/>
            <w:vAlign w:val="bottom"/>
          </w:tcPr>
          <w:p>
            <w:pPr>
              <w:jc w:val="center"/>
              <w:ind w:left="324"/>
              <w:spacing w:after="0" w:line="114" w:lineRule="exact"/>
              <w:rPr>
                <w:sz w:val="20"/>
                <w:szCs w:val="20"/>
                <w:color w:val="auto"/>
              </w:rPr>
            </w:pPr>
            <w:r>
              <w:rPr>
                <w:rFonts w:ascii="Calibri" w:cs="Calibri" w:eastAsia="Calibri" w:hAnsi="Calibri"/>
                <w:sz w:val="11"/>
                <w:szCs w:val="11"/>
                <w:color w:val="auto"/>
                <w:w w:val="97"/>
              </w:rPr>
              <w:t>-14.3%</w:t>
            </w:r>
          </w:p>
        </w:tc>
        <w:tc>
          <w:tcPr>
            <w:tcW w:w="1440" w:type="dxa"/>
            <w:vAlign w:val="bottom"/>
            <w:tcBorders>
              <w:right w:val="single" w:sz="8" w:color="auto"/>
            </w:tcBorders>
          </w:tcPr>
          <w:p>
            <w:pPr>
              <w:jc w:val="center"/>
              <w:ind w:left="244"/>
              <w:spacing w:after="0" w:line="114" w:lineRule="exact"/>
              <w:rPr>
                <w:sz w:val="20"/>
                <w:szCs w:val="20"/>
                <w:color w:val="auto"/>
              </w:rPr>
            </w:pPr>
            <w:r>
              <w:rPr>
                <w:rFonts w:ascii="Calibri" w:cs="Calibri" w:eastAsia="Calibri" w:hAnsi="Calibri"/>
                <w:sz w:val="11"/>
                <w:szCs w:val="11"/>
                <w:color w:val="auto"/>
                <w:w w:val="97"/>
              </w:rPr>
              <w:t>-22.4%</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Credit risk-weighted assets</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rPr>
              <w:t>11,811,650</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rPr>
              <w:t>11,793,102</w:t>
            </w:r>
          </w:p>
        </w:tc>
        <w:tc>
          <w:tcPr>
            <w:tcW w:w="110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w w:val="99"/>
              </w:rPr>
              <w:t>12,139,570</w:t>
            </w:r>
          </w:p>
        </w:tc>
        <w:tc>
          <w:tcPr>
            <w:tcW w:w="840" w:type="dxa"/>
            <w:vAlign w:val="bottom"/>
          </w:tcPr>
          <w:p>
            <w:pPr>
              <w:jc w:val="center"/>
              <w:ind w:left="324"/>
              <w:spacing w:after="0" w:line="130" w:lineRule="exact"/>
              <w:rPr>
                <w:sz w:val="20"/>
                <w:szCs w:val="20"/>
                <w:color w:val="auto"/>
              </w:rPr>
            </w:pPr>
            <w:r>
              <w:rPr>
                <w:rFonts w:ascii="Calibri" w:cs="Calibri" w:eastAsia="Calibri" w:hAnsi="Calibri"/>
                <w:sz w:val="11"/>
                <w:szCs w:val="11"/>
                <w:color w:val="auto"/>
              </w:rPr>
              <w:t>2.9%</w:t>
            </w:r>
          </w:p>
        </w:tc>
        <w:tc>
          <w:tcPr>
            <w:tcW w:w="1440" w:type="dxa"/>
            <w:vAlign w:val="bottom"/>
            <w:tcBorders>
              <w:right w:val="single" w:sz="8" w:color="auto"/>
            </w:tcBorders>
          </w:tcPr>
          <w:p>
            <w:pPr>
              <w:jc w:val="center"/>
              <w:ind w:left="244"/>
              <w:spacing w:after="0" w:line="130" w:lineRule="exact"/>
              <w:rPr>
                <w:sz w:val="20"/>
                <w:szCs w:val="20"/>
                <w:color w:val="auto"/>
              </w:rPr>
            </w:pPr>
            <w:r>
              <w:rPr>
                <w:rFonts w:ascii="Calibri" w:cs="Calibri" w:eastAsia="Calibri" w:hAnsi="Calibri"/>
                <w:sz w:val="11"/>
                <w:szCs w:val="11"/>
                <w:color w:val="auto"/>
              </w:rPr>
              <w:t>2.8%</w:t>
            </w:r>
          </w:p>
        </w:tc>
      </w:tr>
      <w:tr>
        <w:trPr>
          <w:trHeight w:val="140"/>
        </w:trPr>
        <w:tc>
          <w:tcPr>
            <w:tcW w:w="5660" w:type="dxa"/>
            <w:vAlign w:val="bottom"/>
            <w:tcBorders>
              <w:left w:val="single" w:sz="8" w:color="auto"/>
              <w:bottom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Operatonal risk-weighted assets</w:t>
            </w:r>
          </w:p>
        </w:tc>
        <w:tc>
          <w:tcPr>
            <w:tcW w:w="11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1,584,653</w:t>
            </w:r>
          </w:p>
        </w:tc>
        <w:tc>
          <w:tcPr>
            <w:tcW w:w="11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1,623,262</w:t>
            </w:r>
          </w:p>
        </w:tc>
        <w:tc>
          <w:tcPr>
            <w:tcW w:w="1100" w:type="dxa"/>
            <w:vAlign w:val="bottom"/>
            <w:tcBorders>
              <w:bottom w:val="single" w:sz="8" w:color="auto"/>
            </w:tcBorders>
          </w:tcPr>
          <w:p>
            <w:pPr>
              <w:jc w:val="center"/>
              <w:ind w:left="24"/>
              <w:spacing w:after="0"/>
              <w:rPr>
                <w:sz w:val="20"/>
                <w:szCs w:val="20"/>
                <w:color w:val="auto"/>
              </w:rPr>
            </w:pPr>
            <w:r>
              <w:rPr>
                <w:rFonts w:ascii="Calibri" w:cs="Calibri" w:eastAsia="Calibri" w:hAnsi="Calibri"/>
                <w:sz w:val="11"/>
                <w:szCs w:val="11"/>
                <w:color w:val="auto"/>
              </w:rPr>
              <w:t>920,354</w:t>
            </w:r>
          </w:p>
        </w:tc>
        <w:tc>
          <w:tcPr>
            <w:tcW w:w="840" w:type="dxa"/>
            <w:vAlign w:val="bottom"/>
            <w:tcBorders>
              <w:bottom w:val="single" w:sz="8" w:color="auto"/>
            </w:tcBorders>
          </w:tcPr>
          <w:p>
            <w:pPr>
              <w:jc w:val="center"/>
              <w:ind w:left="324"/>
              <w:spacing w:after="0"/>
              <w:rPr>
                <w:sz w:val="20"/>
                <w:szCs w:val="20"/>
                <w:color w:val="auto"/>
              </w:rPr>
            </w:pPr>
            <w:r>
              <w:rPr>
                <w:rFonts w:ascii="Calibri" w:cs="Calibri" w:eastAsia="Calibri" w:hAnsi="Calibri"/>
                <w:sz w:val="11"/>
                <w:szCs w:val="11"/>
                <w:color w:val="auto"/>
                <w:w w:val="97"/>
              </w:rPr>
              <w:t>-43.3%</w:t>
            </w:r>
          </w:p>
        </w:tc>
        <w:tc>
          <w:tcPr>
            <w:tcW w:w="1440" w:type="dxa"/>
            <w:vAlign w:val="bottom"/>
            <w:tcBorders>
              <w:bottom w:val="single" w:sz="8" w:color="auto"/>
              <w:right w:val="single" w:sz="8" w:color="auto"/>
            </w:tcBorders>
          </w:tcPr>
          <w:p>
            <w:pPr>
              <w:jc w:val="center"/>
              <w:ind w:left="244"/>
              <w:spacing w:after="0"/>
              <w:rPr>
                <w:sz w:val="20"/>
                <w:szCs w:val="20"/>
                <w:color w:val="auto"/>
              </w:rPr>
            </w:pPr>
            <w:r>
              <w:rPr>
                <w:rFonts w:ascii="Calibri" w:cs="Calibri" w:eastAsia="Calibri" w:hAnsi="Calibri"/>
                <w:sz w:val="11"/>
                <w:szCs w:val="11"/>
                <w:color w:val="auto"/>
                <w:w w:val="97"/>
              </w:rPr>
              <w:t>-41.9%</w:t>
            </w:r>
          </w:p>
        </w:tc>
      </w:tr>
      <w:tr>
        <w:trPr>
          <w:trHeight w:val="129"/>
        </w:trPr>
        <w:tc>
          <w:tcPr>
            <w:tcW w:w="56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Total</w:t>
            </w:r>
          </w:p>
        </w:tc>
        <w:tc>
          <w:tcPr>
            <w:tcW w:w="110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13,645,422</w:t>
            </w:r>
          </w:p>
        </w:tc>
        <w:tc>
          <w:tcPr>
            <w:tcW w:w="112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13,641,862</w:t>
            </w:r>
          </w:p>
        </w:tc>
        <w:tc>
          <w:tcPr>
            <w:tcW w:w="1100" w:type="dxa"/>
            <w:vAlign w:val="bottom"/>
            <w:tcBorders>
              <w:bottom w:val="single" w:sz="8" w:color="auto"/>
            </w:tcBorders>
          </w:tcPr>
          <w:p>
            <w:pPr>
              <w:jc w:val="center"/>
              <w:ind w:left="44"/>
              <w:spacing w:after="0" w:line="129" w:lineRule="exact"/>
              <w:rPr>
                <w:sz w:val="20"/>
                <w:szCs w:val="20"/>
                <w:color w:val="auto"/>
              </w:rPr>
            </w:pPr>
            <w:r>
              <w:rPr>
                <w:rFonts w:ascii="Calibri" w:cs="Calibri" w:eastAsia="Calibri" w:hAnsi="Calibri"/>
                <w:sz w:val="11"/>
                <w:szCs w:val="11"/>
                <w:b w:val="1"/>
                <w:bCs w:val="1"/>
                <w:color w:val="auto"/>
              </w:rPr>
              <w:t>13,253,200</w:t>
            </w:r>
          </w:p>
        </w:tc>
        <w:tc>
          <w:tcPr>
            <w:tcW w:w="840" w:type="dxa"/>
            <w:vAlign w:val="bottom"/>
            <w:tcBorders>
              <w:bottom w:val="single" w:sz="8" w:color="auto"/>
            </w:tcBorders>
          </w:tcPr>
          <w:p>
            <w:pPr>
              <w:jc w:val="center"/>
              <w:ind w:left="324"/>
              <w:spacing w:after="0" w:line="129" w:lineRule="exact"/>
              <w:rPr>
                <w:sz w:val="20"/>
                <w:szCs w:val="20"/>
                <w:color w:val="auto"/>
              </w:rPr>
            </w:pPr>
            <w:r>
              <w:rPr>
                <w:rFonts w:ascii="Calibri" w:cs="Calibri" w:eastAsia="Calibri" w:hAnsi="Calibri"/>
                <w:sz w:val="11"/>
                <w:szCs w:val="11"/>
                <w:b w:val="1"/>
                <w:bCs w:val="1"/>
                <w:color w:val="auto"/>
              </w:rPr>
              <w:t>-2.8%</w:t>
            </w:r>
          </w:p>
        </w:tc>
        <w:tc>
          <w:tcPr>
            <w:tcW w:w="1440" w:type="dxa"/>
            <w:vAlign w:val="bottom"/>
            <w:tcBorders>
              <w:bottom w:val="single" w:sz="8" w:color="auto"/>
              <w:right w:val="single" w:sz="8" w:color="auto"/>
            </w:tcBorders>
          </w:tcPr>
          <w:p>
            <w:pPr>
              <w:jc w:val="center"/>
              <w:ind w:left="244"/>
              <w:spacing w:after="0" w:line="129" w:lineRule="exact"/>
              <w:rPr>
                <w:sz w:val="20"/>
                <w:szCs w:val="20"/>
                <w:color w:val="auto"/>
              </w:rPr>
            </w:pPr>
            <w:r>
              <w:rPr>
                <w:rFonts w:ascii="Calibri" w:cs="Calibri" w:eastAsia="Calibri" w:hAnsi="Calibri"/>
                <w:sz w:val="11"/>
                <w:szCs w:val="11"/>
                <w:b w:val="1"/>
                <w:bCs w:val="1"/>
                <w:color w:val="auto"/>
              </w:rPr>
              <w:t>-2.9%</w:t>
            </w:r>
          </w:p>
        </w:tc>
      </w:tr>
      <w:tr>
        <w:trPr>
          <w:trHeight w:val="188"/>
        </w:trPr>
        <w:tc>
          <w:tcPr>
            <w:tcW w:w="5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28"/>
        </w:trPr>
        <w:tc>
          <w:tcPr>
            <w:tcW w:w="5660" w:type="dxa"/>
            <w:vAlign w:val="bottom"/>
            <w:tcBorders>
              <w:left w:val="single" w:sz="8" w:color="auto"/>
              <w:right w:val="single" w:sz="8" w:color="auto"/>
            </w:tcBorders>
            <w:shd w:val="clear" w:color="auto" w:fill="33CCCC"/>
          </w:tcPr>
          <w:p>
            <w:pPr>
              <w:ind w:left="20"/>
              <w:spacing w:after="0" w:line="128" w:lineRule="exact"/>
              <w:rPr>
                <w:sz w:val="20"/>
                <w:szCs w:val="20"/>
                <w:color w:val="auto"/>
              </w:rPr>
            </w:pPr>
            <w:r>
              <w:rPr>
                <w:rFonts w:ascii="Calibri" w:cs="Calibri" w:eastAsia="Calibri" w:hAnsi="Calibri"/>
                <w:sz w:val="11"/>
                <w:szCs w:val="11"/>
                <w:b w:val="1"/>
                <w:bCs w:val="1"/>
                <w:color w:val="FFFFFF"/>
              </w:rPr>
              <w:t>Capital requirement</w:t>
            </w:r>
          </w:p>
        </w:tc>
        <w:tc>
          <w:tcPr>
            <w:tcW w:w="1100" w:type="dxa"/>
            <w:vAlign w:val="bottom"/>
            <w:shd w:val="clear" w:color="auto" w:fill="33CCCC"/>
          </w:tcPr>
          <w:p>
            <w:pPr>
              <w:spacing w:after="0"/>
              <w:rPr>
                <w:sz w:val="11"/>
                <w:szCs w:val="11"/>
                <w:color w:val="auto"/>
              </w:rPr>
            </w:pPr>
          </w:p>
        </w:tc>
        <w:tc>
          <w:tcPr>
            <w:tcW w:w="1120" w:type="dxa"/>
            <w:vAlign w:val="bottom"/>
            <w:shd w:val="clear" w:color="auto" w:fill="33CCCC"/>
          </w:tcPr>
          <w:p>
            <w:pPr>
              <w:jc w:val="center"/>
              <w:spacing w:after="0" w:line="128" w:lineRule="exact"/>
              <w:rPr>
                <w:sz w:val="20"/>
                <w:szCs w:val="20"/>
                <w:color w:val="auto"/>
              </w:rPr>
            </w:pPr>
            <w:r>
              <w:rPr>
                <w:rFonts w:ascii="Calibri" w:cs="Calibri" w:eastAsia="Calibri" w:hAnsi="Calibri"/>
                <w:sz w:val="11"/>
                <w:szCs w:val="11"/>
                <w:b w:val="1"/>
                <w:bCs w:val="1"/>
                <w:color w:val="FFFFFF"/>
              </w:rPr>
              <w:t>As of</w:t>
            </w:r>
          </w:p>
        </w:tc>
        <w:tc>
          <w:tcPr>
            <w:tcW w:w="1100" w:type="dxa"/>
            <w:vAlign w:val="bottom"/>
            <w:tcBorders>
              <w:right w:val="single" w:sz="8" w:color="33CCCC"/>
            </w:tcBorders>
            <w:shd w:val="clear" w:color="auto" w:fill="33CCCC"/>
          </w:tcPr>
          <w:p>
            <w:pPr>
              <w:spacing w:after="0"/>
              <w:rPr>
                <w:sz w:val="11"/>
                <w:szCs w:val="11"/>
                <w:color w:val="auto"/>
              </w:rPr>
            </w:pPr>
          </w:p>
        </w:tc>
        <w:tc>
          <w:tcPr>
            <w:tcW w:w="840" w:type="dxa"/>
            <w:vAlign w:val="bottom"/>
            <w:shd w:val="clear" w:color="auto" w:fill="33CCCC"/>
          </w:tcPr>
          <w:p>
            <w:pPr>
              <w:spacing w:after="0"/>
              <w:rPr>
                <w:sz w:val="11"/>
                <w:szCs w:val="11"/>
                <w:color w:val="auto"/>
              </w:rPr>
            </w:pPr>
          </w:p>
        </w:tc>
        <w:tc>
          <w:tcPr>
            <w:tcW w:w="1440" w:type="dxa"/>
            <w:vAlign w:val="bottom"/>
            <w:tcBorders>
              <w:right w:val="single" w:sz="8" w:color="auto"/>
            </w:tcBorders>
            <w:shd w:val="clear" w:color="auto" w:fill="33CCCC"/>
          </w:tcPr>
          <w:p>
            <w:pPr>
              <w:ind w:left="100"/>
              <w:spacing w:after="0" w:line="128" w:lineRule="exact"/>
              <w:rPr>
                <w:sz w:val="20"/>
                <w:szCs w:val="20"/>
                <w:color w:val="auto"/>
              </w:rPr>
            </w:pPr>
            <w:r>
              <w:rPr>
                <w:rFonts w:ascii="Calibri" w:cs="Calibri" w:eastAsia="Calibri" w:hAnsi="Calibri"/>
                <w:sz w:val="11"/>
                <w:szCs w:val="11"/>
                <w:b w:val="1"/>
                <w:bCs w:val="1"/>
                <w:color w:val="FFFFFF"/>
              </w:rPr>
              <w:t>% change</w:t>
            </w:r>
          </w:p>
        </w:tc>
      </w:tr>
      <w:tr>
        <w:trPr>
          <w:trHeight w:val="185"/>
        </w:trPr>
        <w:tc>
          <w:tcPr>
            <w:tcW w:w="566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1"/>
                <w:szCs w:val="11"/>
                <w:color w:val="FFFFFF"/>
              </w:rPr>
              <w:t>(S/ thousand)</w:t>
            </w:r>
          </w:p>
        </w:tc>
        <w:tc>
          <w:tcPr>
            <w:tcW w:w="1100" w:type="dxa"/>
            <w:vAlign w:val="bottom"/>
            <w:tcBorders>
              <w:bottom w:val="single" w:sz="8" w:color="auto"/>
            </w:tcBorders>
            <w:shd w:val="clear" w:color="auto" w:fill="33CCCC"/>
          </w:tcPr>
          <w:p>
            <w:pPr>
              <w:ind w:left="380"/>
              <w:spacing w:after="0"/>
              <w:rPr>
                <w:sz w:val="20"/>
                <w:szCs w:val="20"/>
                <w:color w:val="auto"/>
              </w:rPr>
            </w:pPr>
            <w:r>
              <w:rPr>
                <w:rFonts w:ascii="Calibri" w:cs="Calibri" w:eastAsia="Calibri" w:hAnsi="Calibri"/>
                <w:sz w:val="11"/>
                <w:szCs w:val="11"/>
                <w:b w:val="1"/>
                <w:bCs w:val="1"/>
                <w:color w:val="FFFFFF"/>
              </w:rPr>
              <w:t>Jun 24</w:t>
            </w:r>
          </w:p>
        </w:tc>
        <w:tc>
          <w:tcPr>
            <w:tcW w:w="112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Mar 25</w:t>
            </w:r>
          </w:p>
        </w:tc>
        <w:tc>
          <w:tcPr>
            <w:tcW w:w="1100" w:type="dxa"/>
            <w:vAlign w:val="bottom"/>
            <w:tcBorders>
              <w:bottom w:val="single" w:sz="8" w:color="auto"/>
              <w:right w:val="single" w:sz="8" w:color="33CCCC"/>
            </w:tcBorders>
            <w:shd w:val="clear" w:color="auto" w:fill="33CCCC"/>
          </w:tcPr>
          <w:p>
            <w:pPr>
              <w:ind w:left="440"/>
              <w:spacing w:after="0"/>
              <w:rPr>
                <w:sz w:val="20"/>
                <w:szCs w:val="20"/>
                <w:color w:val="auto"/>
              </w:rPr>
            </w:pPr>
            <w:r>
              <w:rPr>
                <w:rFonts w:ascii="Calibri" w:cs="Calibri" w:eastAsia="Calibri" w:hAnsi="Calibri"/>
                <w:sz w:val="11"/>
                <w:szCs w:val="11"/>
                <w:b w:val="1"/>
                <w:bCs w:val="1"/>
                <w:color w:val="FFFFFF"/>
              </w:rPr>
              <w:t>Jun 25</w:t>
            </w:r>
          </w:p>
        </w:tc>
        <w:tc>
          <w:tcPr>
            <w:tcW w:w="840" w:type="dxa"/>
            <w:vAlign w:val="bottom"/>
            <w:tcBorders>
              <w:bottom w:val="single" w:sz="8" w:color="auto"/>
            </w:tcBorders>
            <w:shd w:val="clear" w:color="auto" w:fill="33CCCC"/>
          </w:tcPr>
          <w:p>
            <w:pPr>
              <w:ind w:left="500"/>
              <w:spacing w:after="0"/>
              <w:rPr>
                <w:sz w:val="20"/>
                <w:szCs w:val="20"/>
                <w:color w:val="auto"/>
              </w:rPr>
            </w:pPr>
            <w:r>
              <w:rPr>
                <w:rFonts w:ascii="Calibri" w:cs="Calibri" w:eastAsia="Calibri" w:hAnsi="Calibri"/>
                <w:sz w:val="11"/>
                <w:szCs w:val="11"/>
                <w:b w:val="1"/>
                <w:bCs w:val="1"/>
                <w:color w:val="FFFFFF"/>
              </w:rPr>
              <w:t>QoQ</w:t>
            </w:r>
          </w:p>
        </w:tc>
        <w:tc>
          <w:tcPr>
            <w:tcW w:w="1440" w:type="dxa"/>
            <w:vAlign w:val="bottom"/>
            <w:tcBorders>
              <w:bottom w:val="single" w:sz="8" w:color="auto"/>
              <w:right w:val="single" w:sz="8" w:color="auto"/>
            </w:tcBorders>
            <w:shd w:val="clear" w:color="auto" w:fill="33CCCC"/>
          </w:tcPr>
          <w:p>
            <w:pPr>
              <w:ind w:left="780"/>
              <w:spacing w:after="0"/>
              <w:rPr>
                <w:sz w:val="20"/>
                <w:szCs w:val="20"/>
                <w:color w:val="auto"/>
              </w:rPr>
            </w:pPr>
            <w:r>
              <w:rPr>
                <w:rFonts w:ascii="Calibri" w:cs="Calibri" w:eastAsia="Calibri" w:hAnsi="Calibri"/>
                <w:sz w:val="11"/>
                <w:szCs w:val="11"/>
                <w:b w:val="1"/>
                <w:bCs w:val="1"/>
                <w:color w:val="FFFFFF"/>
              </w:rPr>
              <w:t>YoY</w:t>
            </w:r>
          </w:p>
        </w:tc>
      </w:tr>
      <w:tr>
        <w:trPr>
          <w:trHeight w:val="113"/>
        </w:trPr>
        <w:tc>
          <w:tcPr>
            <w:tcW w:w="5660" w:type="dxa"/>
            <w:vAlign w:val="bottom"/>
            <w:tcBorders>
              <w:left w:val="single" w:sz="8" w:color="auto"/>
              <w:right w:val="single" w:sz="8" w:color="auto"/>
            </w:tcBorders>
          </w:tcPr>
          <w:p>
            <w:pPr>
              <w:ind w:left="180"/>
              <w:spacing w:after="0" w:line="114" w:lineRule="exact"/>
              <w:rPr>
                <w:sz w:val="20"/>
                <w:szCs w:val="20"/>
                <w:color w:val="auto"/>
              </w:rPr>
            </w:pPr>
            <w:r>
              <w:rPr>
                <w:rFonts w:ascii="Calibri" w:cs="Calibri" w:eastAsia="Calibri" w:hAnsi="Calibri"/>
                <w:sz w:val="11"/>
                <w:szCs w:val="11"/>
                <w:color w:val="auto"/>
              </w:rPr>
              <w:t>Market risk capital requirement</w:t>
            </w:r>
          </w:p>
        </w:tc>
        <w:tc>
          <w:tcPr>
            <w:tcW w:w="1100" w:type="dxa"/>
            <w:vAlign w:val="bottom"/>
          </w:tcPr>
          <w:p>
            <w:pPr>
              <w:jc w:val="center"/>
              <w:spacing w:after="0" w:line="114" w:lineRule="exact"/>
              <w:rPr>
                <w:sz w:val="20"/>
                <w:szCs w:val="20"/>
                <w:color w:val="auto"/>
              </w:rPr>
            </w:pPr>
            <w:r>
              <w:rPr>
                <w:rFonts w:ascii="Calibri" w:cs="Calibri" w:eastAsia="Calibri" w:hAnsi="Calibri"/>
                <w:sz w:val="11"/>
                <w:szCs w:val="11"/>
                <w:color w:val="auto"/>
              </w:rPr>
              <w:t>24,912</w:t>
            </w:r>
          </w:p>
        </w:tc>
        <w:tc>
          <w:tcPr>
            <w:tcW w:w="1120" w:type="dxa"/>
            <w:vAlign w:val="bottom"/>
          </w:tcPr>
          <w:p>
            <w:pPr>
              <w:jc w:val="center"/>
              <w:spacing w:after="0" w:line="114" w:lineRule="exact"/>
              <w:rPr>
                <w:sz w:val="20"/>
                <w:szCs w:val="20"/>
                <w:color w:val="auto"/>
              </w:rPr>
            </w:pPr>
            <w:r>
              <w:rPr>
                <w:rFonts w:ascii="Calibri" w:cs="Calibri" w:eastAsia="Calibri" w:hAnsi="Calibri"/>
                <w:sz w:val="11"/>
                <w:szCs w:val="11"/>
                <w:color w:val="auto"/>
              </w:rPr>
              <w:t>22,550</w:t>
            </w:r>
          </w:p>
        </w:tc>
        <w:tc>
          <w:tcPr>
            <w:tcW w:w="1100" w:type="dxa"/>
            <w:vAlign w:val="bottom"/>
          </w:tcPr>
          <w:p>
            <w:pPr>
              <w:jc w:val="center"/>
              <w:ind w:left="24"/>
              <w:spacing w:after="0" w:line="114" w:lineRule="exact"/>
              <w:rPr>
                <w:sz w:val="20"/>
                <w:szCs w:val="20"/>
                <w:color w:val="auto"/>
              </w:rPr>
            </w:pPr>
            <w:r>
              <w:rPr>
                <w:rFonts w:ascii="Calibri" w:cs="Calibri" w:eastAsia="Calibri" w:hAnsi="Calibri"/>
                <w:sz w:val="11"/>
                <w:szCs w:val="11"/>
                <w:color w:val="auto"/>
                <w:w w:val="97"/>
              </w:rPr>
              <w:t>19,328</w:t>
            </w:r>
          </w:p>
        </w:tc>
        <w:tc>
          <w:tcPr>
            <w:tcW w:w="840" w:type="dxa"/>
            <w:vAlign w:val="bottom"/>
          </w:tcPr>
          <w:p>
            <w:pPr>
              <w:jc w:val="center"/>
              <w:ind w:left="324"/>
              <w:spacing w:after="0" w:line="114" w:lineRule="exact"/>
              <w:rPr>
                <w:sz w:val="20"/>
                <w:szCs w:val="20"/>
                <w:color w:val="auto"/>
              </w:rPr>
            </w:pPr>
            <w:r>
              <w:rPr>
                <w:rFonts w:ascii="Calibri" w:cs="Calibri" w:eastAsia="Calibri" w:hAnsi="Calibri"/>
                <w:sz w:val="11"/>
                <w:szCs w:val="11"/>
                <w:color w:val="auto"/>
                <w:w w:val="97"/>
              </w:rPr>
              <w:t>-14.3%</w:t>
            </w:r>
          </w:p>
        </w:tc>
        <w:tc>
          <w:tcPr>
            <w:tcW w:w="1440" w:type="dxa"/>
            <w:vAlign w:val="bottom"/>
            <w:tcBorders>
              <w:right w:val="single" w:sz="8" w:color="auto"/>
            </w:tcBorders>
          </w:tcPr>
          <w:p>
            <w:pPr>
              <w:jc w:val="center"/>
              <w:ind w:left="244"/>
              <w:spacing w:after="0" w:line="114" w:lineRule="exact"/>
              <w:rPr>
                <w:sz w:val="20"/>
                <w:szCs w:val="20"/>
                <w:color w:val="auto"/>
              </w:rPr>
            </w:pPr>
            <w:r>
              <w:rPr>
                <w:rFonts w:ascii="Calibri" w:cs="Calibri" w:eastAsia="Calibri" w:hAnsi="Calibri"/>
                <w:sz w:val="11"/>
                <w:szCs w:val="11"/>
                <w:color w:val="auto"/>
                <w:w w:val="97"/>
              </w:rPr>
              <w:t>-22.4%</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Credit risk capital requirement</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rPr>
              <w:t>1,063,048</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rPr>
              <w:t>1,179,310</w:t>
            </w:r>
          </w:p>
        </w:tc>
        <w:tc>
          <w:tcPr>
            <w:tcW w:w="110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rPr>
              <w:t>1,213,957</w:t>
            </w:r>
          </w:p>
        </w:tc>
        <w:tc>
          <w:tcPr>
            <w:tcW w:w="840" w:type="dxa"/>
            <w:vAlign w:val="bottom"/>
          </w:tcPr>
          <w:p>
            <w:pPr>
              <w:jc w:val="center"/>
              <w:ind w:left="324"/>
              <w:spacing w:after="0" w:line="130" w:lineRule="exact"/>
              <w:rPr>
                <w:sz w:val="20"/>
                <w:szCs w:val="20"/>
                <w:color w:val="auto"/>
              </w:rPr>
            </w:pPr>
            <w:r>
              <w:rPr>
                <w:rFonts w:ascii="Calibri" w:cs="Calibri" w:eastAsia="Calibri" w:hAnsi="Calibri"/>
                <w:sz w:val="11"/>
                <w:szCs w:val="11"/>
                <w:color w:val="auto"/>
              </w:rPr>
              <w:t>2.9%</w:t>
            </w:r>
          </w:p>
        </w:tc>
        <w:tc>
          <w:tcPr>
            <w:tcW w:w="1440" w:type="dxa"/>
            <w:vAlign w:val="bottom"/>
            <w:tcBorders>
              <w:right w:val="single" w:sz="8" w:color="auto"/>
            </w:tcBorders>
          </w:tcPr>
          <w:p>
            <w:pPr>
              <w:jc w:val="center"/>
              <w:ind w:left="264"/>
              <w:spacing w:after="0" w:line="130" w:lineRule="exact"/>
              <w:rPr>
                <w:sz w:val="20"/>
                <w:szCs w:val="20"/>
                <w:color w:val="auto"/>
              </w:rPr>
            </w:pPr>
            <w:r>
              <w:rPr>
                <w:rFonts w:ascii="Calibri" w:cs="Calibri" w:eastAsia="Calibri" w:hAnsi="Calibri"/>
                <w:sz w:val="11"/>
                <w:szCs w:val="11"/>
                <w:color w:val="auto"/>
              </w:rPr>
              <w:t>14.2%</w:t>
            </w:r>
          </w:p>
        </w:tc>
      </w:tr>
      <w:tr>
        <w:trPr>
          <w:trHeight w:val="130"/>
        </w:trPr>
        <w:tc>
          <w:tcPr>
            <w:tcW w:w="5660" w:type="dxa"/>
            <w:vAlign w:val="bottom"/>
            <w:tcBorders>
              <w:left w:val="single" w:sz="8" w:color="auto"/>
              <w:right w:val="single" w:sz="8" w:color="auto"/>
            </w:tcBorders>
          </w:tcPr>
          <w:p>
            <w:pPr>
              <w:ind w:left="180"/>
              <w:spacing w:after="0" w:line="130" w:lineRule="exact"/>
              <w:rPr>
                <w:sz w:val="20"/>
                <w:szCs w:val="20"/>
                <w:color w:val="auto"/>
              </w:rPr>
            </w:pPr>
            <w:r>
              <w:rPr>
                <w:rFonts w:ascii="Calibri" w:cs="Calibri" w:eastAsia="Calibri" w:hAnsi="Calibri"/>
                <w:sz w:val="11"/>
                <w:szCs w:val="11"/>
                <w:color w:val="auto"/>
              </w:rPr>
              <w:t>Operatonal risk capital requirement</w:t>
            </w:r>
          </w:p>
        </w:tc>
        <w:tc>
          <w:tcPr>
            <w:tcW w:w="1100" w:type="dxa"/>
            <w:vAlign w:val="bottom"/>
          </w:tcPr>
          <w:p>
            <w:pPr>
              <w:jc w:val="center"/>
              <w:spacing w:after="0" w:line="130" w:lineRule="exact"/>
              <w:rPr>
                <w:sz w:val="20"/>
                <w:szCs w:val="20"/>
                <w:color w:val="auto"/>
              </w:rPr>
            </w:pPr>
            <w:r>
              <w:rPr>
                <w:rFonts w:ascii="Calibri" w:cs="Calibri" w:eastAsia="Calibri" w:hAnsi="Calibri"/>
                <w:sz w:val="11"/>
                <w:szCs w:val="11"/>
                <w:color w:val="auto"/>
                <w:w w:val="99"/>
              </w:rPr>
              <w:t>158,465</w:t>
            </w:r>
          </w:p>
        </w:tc>
        <w:tc>
          <w:tcPr>
            <w:tcW w:w="1120" w:type="dxa"/>
            <w:vAlign w:val="bottom"/>
          </w:tcPr>
          <w:p>
            <w:pPr>
              <w:jc w:val="center"/>
              <w:spacing w:after="0" w:line="130" w:lineRule="exact"/>
              <w:rPr>
                <w:sz w:val="20"/>
                <w:szCs w:val="20"/>
                <w:color w:val="auto"/>
              </w:rPr>
            </w:pPr>
            <w:r>
              <w:rPr>
                <w:rFonts w:ascii="Calibri" w:cs="Calibri" w:eastAsia="Calibri" w:hAnsi="Calibri"/>
                <w:sz w:val="11"/>
                <w:szCs w:val="11"/>
                <w:color w:val="auto"/>
              </w:rPr>
              <w:t>162,326</w:t>
            </w:r>
          </w:p>
        </w:tc>
        <w:tc>
          <w:tcPr>
            <w:tcW w:w="1100" w:type="dxa"/>
            <w:vAlign w:val="bottom"/>
          </w:tcPr>
          <w:p>
            <w:pPr>
              <w:jc w:val="center"/>
              <w:ind w:left="24"/>
              <w:spacing w:after="0" w:line="130" w:lineRule="exact"/>
              <w:rPr>
                <w:sz w:val="20"/>
                <w:szCs w:val="20"/>
                <w:color w:val="auto"/>
              </w:rPr>
            </w:pPr>
            <w:r>
              <w:rPr>
                <w:rFonts w:ascii="Calibri" w:cs="Calibri" w:eastAsia="Calibri" w:hAnsi="Calibri"/>
                <w:sz w:val="11"/>
                <w:szCs w:val="11"/>
                <w:color w:val="auto"/>
                <w:w w:val="97"/>
              </w:rPr>
              <w:t>92,035</w:t>
            </w:r>
          </w:p>
        </w:tc>
        <w:tc>
          <w:tcPr>
            <w:tcW w:w="840" w:type="dxa"/>
            <w:vAlign w:val="bottom"/>
          </w:tcPr>
          <w:p>
            <w:pPr>
              <w:jc w:val="center"/>
              <w:ind w:left="324"/>
              <w:spacing w:after="0" w:line="130" w:lineRule="exact"/>
              <w:rPr>
                <w:sz w:val="20"/>
                <w:szCs w:val="20"/>
                <w:color w:val="auto"/>
              </w:rPr>
            </w:pPr>
            <w:r>
              <w:rPr>
                <w:rFonts w:ascii="Calibri" w:cs="Calibri" w:eastAsia="Calibri" w:hAnsi="Calibri"/>
                <w:sz w:val="11"/>
                <w:szCs w:val="11"/>
                <w:color w:val="auto"/>
                <w:w w:val="97"/>
              </w:rPr>
              <w:t>-43.3%</w:t>
            </w:r>
          </w:p>
        </w:tc>
        <w:tc>
          <w:tcPr>
            <w:tcW w:w="1440" w:type="dxa"/>
            <w:vAlign w:val="bottom"/>
            <w:tcBorders>
              <w:right w:val="single" w:sz="8" w:color="auto"/>
            </w:tcBorders>
          </w:tcPr>
          <w:p>
            <w:pPr>
              <w:jc w:val="center"/>
              <w:ind w:left="244"/>
              <w:spacing w:after="0" w:line="130" w:lineRule="exact"/>
              <w:rPr>
                <w:sz w:val="20"/>
                <w:szCs w:val="20"/>
                <w:color w:val="auto"/>
              </w:rPr>
            </w:pPr>
            <w:r>
              <w:rPr>
                <w:rFonts w:ascii="Calibri" w:cs="Calibri" w:eastAsia="Calibri" w:hAnsi="Calibri"/>
                <w:sz w:val="11"/>
                <w:szCs w:val="11"/>
                <w:color w:val="auto"/>
                <w:w w:val="97"/>
              </w:rPr>
              <w:t>-41.9%</w:t>
            </w:r>
          </w:p>
        </w:tc>
      </w:tr>
      <w:tr>
        <w:trPr>
          <w:trHeight w:val="140"/>
        </w:trPr>
        <w:tc>
          <w:tcPr>
            <w:tcW w:w="5660" w:type="dxa"/>
            <w:vAlign w:val="bottom"/>
            <w:tcBorders>
              <w:left w:val="single" w:sz="8" w:color="auto"/>
              <w:bottom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Additonal capital requirements</w:t>
            </w:r>
          </w:p>
        </w:tc>
        <w:tc>
          <w:tcPr>
            <w:tcW w:w="11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w w:val="99"/>
              </w:rPr>
              <w:t>159,457</w:t>
            </w:r>
          </w:p>
        </w:tc>
        <w:tc>
          <w:tcPr>
            <w:tcW w:w="11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176,897</w:t>
            </w:r>
          </w:p>
        </w:tc>
        <w:tc>
          <w:tcPr>
            <w:tcW w:w="1100" w:type="dxa"/>
            <w:vAlign w:val="bottom"/>
            <w:tcBorders>
              <w:bottom w:val="single" w:sz="8" w:color="auto"/>
            </w:tcBorders>
          </w:tcPr>
          <w:p>
            <w:pPr>
              <w:jc w:val="center"/>
              <w:ind w:left="24"/>
              <w:spacing w:after="0"/>
              <w:rPr>
                <w:sz w:val="20"/>
                <w:szCs w:val="20"/>
                <w:color w:val="auto"/>
              </w:rPr>
            </w:pPr>
            <w:r>
              <w:rPr>
                <w:rFonts w:ascii="Calibri" w:cs="Calibri" w:eastAsia="Calibri" w:hAnsi="Calibri"/>
                <w:sz w:val="11"/>
                <w:szCs w:val="11"/>
                <w:color w:val="auto"/>
              </w:rPr>
              <w:t>182,094</w:t>
            </w:r>
          </w:p>
        </w:tc>
        <w:tc>
          <w:tcPr>
            <w:tcW w:w="840" w:type="dxa"/>
            <w:vAlign w:val="bottom"/>
            <w:tcBorders>
              <w:bottom w:val="single" w:sz="8" w:color="auto"/>
            </w:tcBorders>
          </w:tcPr>
          <w:p>
            <w:pPr>
              <w:jc w:val="center"/>
              <w:ind w:left="324"/>
              <w:spacing w:after="0"/>
              <w:rPr>
                <w:sz w:val="20"/>
                <w:szCs w:val="20"/>
                <w:color w:val="auto"/>
              </w:rPr>
            </w:pPr>
            <w:r>
              <w:rPr>
                <w:rFonts w:ascii="Calibri" w:cs="Calibri" w:eastAsia="Calibri" w:hAnsi="Calibri"/>
                <w:sz w:val="11"/>
                <w:szCs w:val="11"/>
                <w:color w:val="auto"/>
              </w:rPr>
              <w:t>2.9%</w:t>
            </w:r>
          </w:p>
        </w:tc>
        <w:tc>
          <w:tcPr>
            <w:tcW w:w="1440" w:type="dxa"/>
            <w:vAlign w:val="bottom"/>
            <w:tcBorders>
              <w:bottom w:val="single" w:sz="8" w:color="auto"/>
              <w:right w:val="single" w:sz="8" w:color="auto"/>
            </w:tcBorders>
          </w:tcPr>
          <w:p>
            <w:pPr>
              <w:jc w:val="center"/>
              <w:ind w:left="264"/>
              <w:spacing w:after="0"/>
              <w:rPr>
                <w:sz w:val="20"/>
                <w:szCs w:val="20"/>
                <w:color w:val="auto"/>
              </w:rPr>
            </w:pPr>
            <w:r>
              <w:rPr>
                <w:rFonts w:ascii="Calibri" w:cs="Calibri" w:eastAsia="Calibri" w:hAnsi="Calibri"/>
                <w:sz w:val="11"/>
                <w:szCs w:val="11"/>
                <w:color w:val="auto"/>
              </w:rPr>
              <w:t>14.2%</w:t>
            </w:r>
          </w:p>
        </w:tc>
      </w:tr>
      <w:tr>
        <w:trPr>
          <w:trHeight w:val="129"/>
        </w:trPr>
        <w:tc>
          <w:tcPr>
            <w:tcW w:w="56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Total</w:t>
            </w:r>
          </w:p>
        </w:tc>
        <w:tc>
          <w:tcPr>
            <w:tcW w:w="110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1,405,883</w:t>
            </w:r>
          </w:p>
        </w:tc>
        <w:tc>
          <w:tcPr>
            <w:tcW w:w="1120" w:type="dxa"/>
            <w:vAlign w:val="bottom"/>
            <w:tcBorders>
              <w:bottom w:val="single" w:sz="8" w:color="auto"/>
            </w:tcBorders>
          </w:tcPr>
          <w:p>
            <w:pPr>
              <w:jc w:val="center"/>
              <w:spacing w:after="0" w:line="129" w:lineRule="exact"/>
              <w:rPr>
                <w:sz w:val="20"/>
                <w:szCs w:val="20"/>
                <w:color w:val="auto"/>
              </w:rPr>
            </w:pPr>
            <w:r>
              <w:rPr>
                <w:rFonts w:ascii="Calibri" w:cs="Calibri" w:eastAsia="Calibri" w:hAnsi="Calibri"/>
                <w:sz w:val="11"/>
                <w:szCs w:val="11"/>
                <w:b w:val="1"/>
                <w:bCs w:val="1"/>
                <w:color w:val="auto"/>
              </w:rPr>
              <w:t>1,541,083</w:t>
            </w:r>
          </w:p>
        </w:tc>
        <w:tc>
          <w:tcPr>
            <w:tcW w:w="1100" w:type="dxa"/>
            <w:vAlign w:val="bottom"/>
            <w:tcBorders>
              <w:bottom w:val="single" w:sz="8" w:color="auto"/>
            </w:tcBorders>
          </w:tcPr>
          <w:p>
            <w:pPr>
              <w:jc w:val="center"/>
              <w:ind w:left="24"/>
              <w:spacing w:after="0" w:line="129" w:lineRule="exact"/>
              <w:rPr>
                <w:sz w:val="20"/>
                <w:szCs w:val="20"/>
                <w:color w:val="auto"/>
              </w:rPr>
            </w:pPr>
            <w:r>
              <w:rPr>
                <w:rFonts w:ascii="Calibri" w:cs="Calibri" w:eastAsia="Calibri" w:hAnsi="Calibri"/>
                <w:sz w:val="11"/>
                <w:szCs w:val="11"/>
                <w:b w:val="1"/>
                <w:bCs w:val="1"/>
                <w:color w:val="auto"/>
              </w:rPr>
              <w:t>1,507,414</w:t>
            </w:r>
          </w:p>
        </w:tc>
        <w:tc>
          <w:tcPr>
            <w:tcW w:w="840" w:type="dxa"/>
            <w:vAlign w:val="bottom"/>
            <w:tcBorders>
              <w:bottom w:val="single" w:sz="8" w:color="auto"/>
            </w:tcBorders>
          </w:tcPr>
          <w:p>
            <w:pPr>
              <w:jc w:val="center"/>
              <w:ind w:left="324"/>
              <w:spacing w:after="0" w:line="129" w:lineRule="exact"/>
              <w:rPr>
                <w:sz w:val="20"/>
                <w:szCs w:val="20"/>
                <w:color w:val="auto"/>
              </w:rPr>
            </w:pPr>
            <w:r>
              <w:rPr>
                <w:rFonts w:ascii="Calibri" w:cs="Calibri" w:eastAsia="Calibri" w:hAnsi="Calibri"/>
                <w:sz w:val="11"/>
                <w:szCs w:val="11"/>
                <w:b w:val="1"/>
                <w:bCs w:val="1"/>
                <w:color w:val="auto"/>
              </w:rPr>
              <w:t>-2.2%</w:t>
            </w:r>
          </w:p>
        </w:tc>
        <w:tc>
          <w:tcPr>
            <w:tcW w:w="1440" w:type="dxa"/>
            <w:vAlign w:val="bottom"/>
            <w:tcBorders>
              <w:bottom w:val="single" w:sz="8" w:color="auto"/>
              <w:right w:val="single" w:sz="8" w:color="auto"/>
            </w:tcBorders>
          </w:tcPr>
          <w:p>
            <w:pPr>
              <w:jc w:val="center"/>
              <w:ind w:left="244"/>
              <w:spacing w:after="0" w:line="129" w:lineRule="exact"/>
              <w:rPr>
                <w:sz w:val="20"/>
                <w:szCs w:val="20"/>
                <w:color w:val="auto"/>
              </w:rPr>
            </w:pPr>
            <w:r>
              <w:rPr>
                <w:rFonts w:ascii="Calibri" w:cs="Calibri" w:eastAsia="Calibri" w:hAnsi="Calibri"/>
                <w:sz w:val="11"/>
                <w:szCs w:val="11"/>
                <w:b w:val="1"/>
                <w:bCs w:val="1"/>
                <w:color w:val="auto"/>
                <w:w w:val="99"/>
              </w:rPr>
              <w:t>7.2%</w:t>
            </w:r>
          </w:p>
        </w:tc>
      </w:tr>
    </w:tbl>
    <w:p>
      <w:pPr>
        <w:spacing w:after="0" w:line="173"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Capital Ratos under Local Regulaton</w:t>
      </w:r>
    </w:p>
    <w:p>
      <w:pPr>
        <w:spacing w:after="0" w:line="198" w:lineRule="exact"/>
        <w:rPr>
          <w:sz w:val="20"/>
          <w:szCs w:val="20"/>
          <w:color w:val="auto"/>
        </w:rPr>
      </w:pPr>
    </w:p>
    <w:tbl>
      <w:tblPr>
        <w:tblLayout w:type="fixed"/>
        <w:tblInd w:w="590" w:type="dxa"/>
        <w:tblCellMar>
          <w:top w:w="0" w:type="dxa"/>
          <w:left w:w="0" w:type="dxa"/>
          <w:bottom w:w="0" w:type="dxa"/>
          <w:right w:w="0" w:type="dxa"/>
        </w:tblCellMar>
      </w:tblPr>
      <w:tr>
        <w:trPr>
          <w:trHeight w:val="148"/>
        </w:trPr>
        <w:tc>
          <w:tcPr>
            <w:tcW w:w="338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Calibri" w:cs="Calibri" w:eastAsia="Calibri" w:hAnsi="Calibri"/>
                <w:sz w:val="11"/>
                <w:szCs w:val="11"/>
                <w:b w:val="1"/>
                <w:bCs w:val="1"/>
                <w:color w:val="FFFFFF"/>
              </w:rPr>
              <w:t>Capital ratos under Local Regulaton</w:t>
            </w:r>
          </w:p>
        </w:tc>
        <w:tc>
          <w:tcPr>
            <w:tcW w:w="1300" w:type="dxa"/>
            <w:vAlign w:val="bottom"/>
            <w:tcBorders>
              <w:top w:val="single" w:sz="8" w:color="auto"/>
            </w:tcBorders>
            <w:shd w:val="clear" w:color="auto" w:fill="33CCCC"/>
          </w:tcPr>
          <w:p>
            <w:pPr>
              <w:spacing w:after="0"/>
              <w:rPr>
                <w:sz w:val="12"/>
                <w:szCs w:val="12"/>
                <w:color w:val="auto"/>
              </w:rPr>
            </w:pPr>
          </w:p>
        </w:tc>
        <w:tc>
          <w:tcPr>
            <w:tcW w:w="13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As of</w:t>
            </w:r>
          </w:p>
        </w:tc>
        <w:tc>
          <w:tcPr>
            <w:tcW w:w="1380" w:type="dxa"/>
            <w:vAlign w:val="bottom"/>
            <w:tcBorders>
              <w:top w:val="single" w:sz="8" w:color="auto"/>
              <w:right w:val="single" w:sz="8" w:color="auto"/>
            </w:tcBorders>
            <w:shd w:val="clear" w:color="auto" w:fill="33CCCC"/>
          </w:tcPr>
          <w:p>
            <w:pPr>
              <w:spacing w:after="0"/>
              <w:rPr>
                <w:sz w:val="12"/>
                <w:szCs w:val="12"/>
                <w:color w:val="auto"/>
              </w:rPr>
            </w:pPr>
          </w:p>
        </w:tc>
        <w:tc>
          <w:tcPr>
            <w:tcW w:w="980" w:type="dxa"/>
            <w:vAlign w:val="bottom"/>
            <w:tcBorders>
              <w:top w:val="single" w:sz="8" w:color="auto"/>
            </w:tcBorders>
            <w:shd w:val="clear" w:color="auto" w:fill="33CCCC"/>
          </w:tcPr>
          <w:p>
            <w:pPr>
              <w:spacing w:after="0"/>
              <w:rPr>
                <w:sz w:val="12"/>
                <w:szCs w:val="12"/>
                <w:color w:val="auto"/>
              </w:rPr>
            </w:pPr>
          </w:p>
        </w:tc>
        <w:tc>
          <w:tcPr>
            <w:tcW w:w="1740" w:type="dxa"/>
            <w:vAlign w:val="bottom"/>
            <w:tcBorders>
              <w:top w:val="single" w:sz="8" w:color="auto"/>
              <w:right w:val="single" w:sz="8" w:color="auto"/>
            </w:tcBorders>
            <w:shd w:val="clear" w:color="auto" w:fill="33CCCC"/>
          </w:tcPr>
          <w:p>
            <w:pPr>
              <w:ind w:left="140"/>
              <w:spacing w:after="0"/>
              <w:rPr>
                <w:sz w:val="20"/>
                <w:szCs w:val="20"/>
                <w:color w:val="auto"/>
              </w:rPr>
            </w:pPr>
            <w:r>
              <w:rPr>
                <w:rFonts w:ascii="Calibri" w:cs="Calibri" w:eastAsia="Calibri" w:hAnsi="Calibri"/>
                <w:sz w:val="11"/>
                <w:szCs w:val="11"/>
                <w:b w:val="1"/>
                <w:bCs w:val="1"/>
                <w:color w:val="FFFFFF"/>
              </w:rPr>
              <w:t>% change</w:t>
            </w:r>
          </w:p>
        </w:tc>
      </w:tr>
      <w:tr>
        <w:trPr>
          <w:trHeight w:val="185"/>
        </w:trPr>
        <w:tc>
          <w:tcPr>
            <w:tcW w:w="3380" w:type="dxa"/>
            <w:vAlign w:val="bottom"/>
            <w:tcBorders>
              <w:left w:val="single" w:sz="8" w:color="auto"/>
              <w:bottom w:val="single" w:sz="8" w:color="auto"/>
              <w:right w:val="single" w:sz="8" w:color="auto"/>
            </w:tcBorders>
            <w:shd w:val="clear" w:color="auto" w:fill="33CCCC"/>
          </w:tcPr>
          <w:p>
            <w:pPr>
              <w:spacing w:after="0"/>
              <w:rPr>
                <w:sz w:val="16"/>
                <w:szCs w:val="16"/>
                <w:color w:val="auto"/>
              </w:rPr>
            </w:pPr>
          </w:p>
        </w:tc>
        <w:tc>
          <w:tcPr>
            <w:tcW w:w="130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Jun 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Mar 25</w:t>
            </w:r>
          </w:p>
        </w:tc>
        <w:tc>
          <w:tcPr>
            <w:tcW w:w="13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Jun 25</w:t>
            </w:r>
          </w:p>
        </w:tc>
        <w:tc>
          <w:tcPr>
            <w:tcW w:w="980" w:type="dxa"/>
            <w:vAlign w:val="bottom"/>
            <w:tcBorders>
              <w:bottom w:val="single" w:sz="8" w:color="auto"/>
            </w:tcBorders>
            <w:shd w:val="clear" w:color="auto" w:fill="33CCCC"/>
          </w:tcPr>
          <w:p>
            <w:pPr>
              <w:jc w:val="center"/>
              <w:ind w:left="284"/>
              <w:spacing w:after="0"/>
              <w:rPr>
                <w:sz w:val="20"/>
                <w:szCs w:val="20"/>
                <w:color w:val="auto"/>
              </w:rPr>
            </w:pPr>
            <w:r>
              <w:rPr>
                <w:rFonts w:ascii="Calibri" w:cs="Calibri" w:eastAsia="Calibri" w:hAnsi="Calibri"/>
                <w:sz w:val="11"/>
                <w:szCs w:val="11"/>
                <w:b w:val="1"/>
                <w:bCs w:val="1"/>
                <w:color w:val="FFFFFF"/>
                <w:w w:val="94"/>
              </w:rPr>
              <w:t>QoQ</w:t>
            </w:r>
          </w:p>
        </w:tc>
        <w:tc>
          <w:tcPr>
            <w:tcW w:w="1740" w:type="dxa"/>
            <w:vAlign w:val="bottom"/>
            <w:tcBorders>
              <w:bottom w:val="single" w:sz="8" w:color="auto"/>
              <w:right w:val="single" w:sz="8" w:color="auto"/>
            </w:tcBorders>
            <w:shd w:val="clear" w:color="auto" w:fill="33CCCC"/>
          </w:tcPr>
          <w:p>
            <w:pPr>
              <w:jc w:val="center"/>
              <w:ind w:left="264"/>
              <w:spacing w:after="0"/>
              <w:rPr>
                <w:sz w:val="20"/>
                <w:szCs w:val="20"/>
                <w:color w:val="auto"/>
              </w:rPr>
            </w:pPr>
            <w:r>
              <w:rPr>
                <w:rFonts w:ascii="Calibri" w:cs="Calibri" w:eastAsia="Calibri" w:hAnsi="Calibri"/>
                <w:sz w:val="11"/>
                <w:szCs w:val="11"/>
                <w:b w:val="1"/>
                <w:bCs w:val="1"/>
                <w:color w:val="FFFFFF"/>
              </w:rPr>
              <w:t>YoY</w:t>
            </w:r>
          </w:p>
        </w:tc>
      </w:tr>
      <w:tr>
        <w:trPr>
          <w:trHeight w:val="113"/>
        </w:trPr>
        <w:tc>
          <w:tcPr>
            <w:tcW w:w="3380" w:type="dxa"/>
            <w:vAlign w:val="bottom"/>
            <w:tcBorders>
              <w:left w:val="single" w:sz="8" w:color="auto"/>
              <w:right w:val="single" w:sz="8" w:color="auto"/>
            </w:tcBorders>
          </w:tcPr>
          <w:p>
            <w:pPr>
              <w:spacing w:after="0" w:line="114" w:lineRule="exact"/>
              <w:rPr>
                <w:sz w:val="20"/>
                <w:szCs w:val="20"/>
                <w:color w:val="auto"/>
              </w:rPr>
            </w:pPr>
            <w:r>
              <w:rPr>
                <w:rFonts w:ascii="Calibri" w:cs="Calibri" w:eastAsia="Calibri" w:hAnsi="Calibri"/>
                <w:sz w:val="11"/>
                <w:szCs w:val="11"/>
                <w:b w:val="1"/>
                <w:bCs w:val="1"/>
                <w:color w:val="auto"/>
              </w:rPr>
              <w:t>Common Equity Tier 1 Rato</w:t>
            </w:r>
          </w:p>
        </w:tc>
        <w:tc>
          <w:tcPr>
            <w:tcW w:w="1300" w:type="dxa"/>
            <w:vAlign w:val="bottom"/>
          </w:tcPr>
          <w:p>
            <w:pPr>
              <w:jc w:val="center"/>
              <w:spacing w:after="0" w:line="114" w:lineRule="exact"/>
              <w:rPr>
                <w:sz w:val="20"/>
                <w:szCs w:val="20"/>
                <w:color w:val="auto"/>
              </w:rPr>
            </w:pPr>
            <w:r>
              <w:rPr>
                <w:rFonts w:ascii="Calibri" w:cs="Calibri" w:eastAsia="Calibri" w:hAnsi="Calibri"/>
                <w:sz w:val="11"/>
                <w:szCs w:val="11"/>
                <w:color w:val="auto"/>
              </w:rPr>
              <w:t>16.62%</w:t>
            </w:r>
          </w:p>
        </w:tc>
        <w:tc>
          <w:tcPr>
            <w:tcW w:w="1340" w:type="dxa"/>
            <w:vAlign w:val="bottom"/>
          </w:tcPr>
          <w:p>
            <w:pPr>
              <w:jc w:val="center"/>
              <w:spacing w:after="0" w:line="114" w:lineRule="exact"/>
              <w:rPr>
                <w:sz w:val="20"/>
                <w:szCs w:val="20"/>
                <w:color w:val="auto"/>
              </w:rPr>
            </w:pPr>
            <w:r>
              <w:rPr>
                <w:rFonts w:ascii="Calibri" w:cs="Calibri" w:eastAsia="Calibri" w:hAnsi="Calibri"/>
                <w:sz w:val="11"/>
                <w:szCs w:val="11"/>
                <w:color w:val="auto"/>
              </w:rPr>
              <w:t>15.48%</w:t>
            </w:r>
          </w:p>
        </w:tc>
        <w:tc>
          <w:tcPr>
            <w:tcW w:w="1380" w:type="dxa"/>
            <w:vAlign w:val="bottom"/>
            <w:tcBorders>
              <w:right w:val="single" w:sz="8" w:color="auto"/>
            </w:tcBorders>
          </w:tcPr>
          <w:p>
            <w:pPr>
              <w:jc w:val="center"/>
              <w:spacing w:after="0" w:line="114" w:lineRule="exact"/>
              <w:rPr>
                <w:sz w:val="20"/>
                <w:szCs w:val="20"/>
                <w:color w:val="auto"/>
              </w:rPr>
            </w:pPr>
            <w:r>
              <w:rPr>
                <w:rFonts w:ascii="Calibri" w:cs="Calibri" w:eastAsia="Calibri" w:hAnsi="Calibri"/>
                <w:sz w:val="11"/>
                <w:szCs w:val="11"/>
                <w:color w:val="auto"/>
              </w:rPr>
              <w:t>16.48%</w:t>
            </w:r>
          </w:p>
        </w:tc>
        <w:tc>
          <w:tcPr>
            <w:tcW w:w="980" w:type="dxa"/>
            <w:vAlign w:val="bottom"/>
          </w:tcPr>
          <w:p>
            <w:pPr>
              <w:jc w:val="center"/>
              <w:ind w:left="284"/>
              <w:spacing w:after="0" w:line="114" w:lineRule="exact"/>
              <w:rPr>
                <w:sz w:val="20"/>
                <w:szCs w:val="20"/>
                <w:color w:val="auto"/>
              </w:rPr>
            </w:pPr>
            <w:r>
              <w:rPr>
                <w:rFonts w:ascii="Calibri" w:cs="Calibri" w:eastAsia="Calibri" w:hAnsi="Calibri"/>
                <w:sz w:val="11"/>
                <w:szCs w:val="11"/>
                <w:color w:val="auto"/>
              </w:rPr>
              <w:t>100 bps</w:t>
            </w:r>
          </w:p>
        </w:tc>
        <w:tc>
          <w:tcPr>
            <w:tcW w:w="1740" w:type="dxa"/>
            <w:vAlign w:val="bottom"/>
            <w:tcBorders>
              <w:right w:val="single" w:sz="8" w:color="auto"/>
            </w:tcBorders>
          </w:tcPr>
          <w:p>
            <w:pPr>
              <w:jc w:val="center"/>
              <w:ind w:left="264"/>
              <w:spacing w:after="0" w:line="114" w:lineRule="exact"/>
              <w:rPr>
                <w:sz w:val="20"/>
                <w:szCs w:val="20"/>
                <w:color w:val="auto"/>
              </w:rPr>
            </w:pPr>
            <w:r>
              <w:rPr>
                <w:rFonts w:ascii="Calibri" w:cs="Calibri" w:eastAsia="Calibri" w:hAnsi="Calibri"/>
                <w:sz w:val="11"/>
                <w:szCs w:val="11"/>
                <w:color w:val="auto"/>
              </w:rPr>
              <w:t>-15 bps</w:t>
            </w:r>
          </w:p>
        </w:tc>
      </w:tr>
      <w:tr>
        <w:trPr>
          <w:trHeight w:val="130"/>
        </w:trPr>
        <w:tc>
          <w:tcPr>
            <w:tcW w:w="33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b w:val="1"/>
                <w:bCs w:val="1"/>
                <w:color w:val="auto"/>
              </w:rPr>
              <w:t>Tier 1 Capital rato</w:t>
            </w:r>
          </w:p>
        </w:tc>
        <w:tc>
          <w:tcPr>
            <w:tcW w:w="1300" w:type="dxa"/>
            <w:vAlign w:val="bottom"/>
          </w:tcPr>
          <w:p>
            <w:pPr>
              <w:jc w:val="center"/>
              <w:spacing w:after="0" w:line="130" w:lineRule="exact"/>
              <w:rPr>
                <w:sz w:val="20"/>
                <w:szCs w:val="20"/>
                <w:color w:val="auto"/>
              </w:rPr>
            </w:pPr>
            <w:r>
              <w:rPr>
                <w:rFonts w:ascii="Calibri" w:cs="Calibri" w:eastAsia="Calibri" w:hAnsi="Calibri"/>
                <w:sz w:val="11"/>
                <w:szCs w:val="11"/>
                <w:color w:val="auto"/>
              </w:rPr>
              <w:t>16.62%</w:t>
            </w:r>
          </w:p>
        </w:tc>
        <w:tc>
          <w:tcPr>
            <w:tcW w:w="1340" w:type="dxa"/>
            <w:vAlign w:val="bottom"/>
          </w:tcPr>
          <w:p>
            <w:pPr>
              <w:jc w:val="center"/>
              <w:spacing w:after="0" w:line="130" w:lineRule="exact"/>
              <w:rPr>
                <w:sz w:val="20"/>
                <w:szCs w:val="20"/>
                <w:color w:val="auto"/>
              </w:rPr>
            </w:pPr>
            <w:r>
              <w:rPr>
                <w:rFonts w:ascii="Calibri" w:cs="Calibri" w:eastAsia="Calibri" w:hAnsi="Calibri"/>
                <w:sz w:val="11"/>
                <w:szCs w:val="11"/>
                <w:color w:val="auto"/>
              </w:rPr>
              <w:t>15.48%</w:t>
            </w:r>
          </w:p>
        </w:tc>
        <w:tc>
          <w:tcPr>
            <w:tcW w:w="13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16.48%</w:t>
            </w:r>
          </w:p>
        </w:tc>
        <w:tc>
          <w:tcPr>
            <w:tcW w:w="980" w:type="dxa"/>
            <w:vAlign w:val="bottom"/>
          </w:tcPr>
          <w:p>
            <w:pPr>
              <w:jc w:val="center"/>
              <w:ind w:left="284"/>
              <w:spacing w:after="0" w:line="130" w:lineRule="exact"/>
              <w:rPr>
                <w:sz w:val="20"/>
                <w:szCs w:val="20"/>
                <w:color w:val="auto"/>
              </w:rPr>
            </w:pPr>
            <w:r>
              <w:rPr>
                <w:rFonts w:ascii="Calibri" w:cs="Calibri" w:eastAsia="Calibri" w:hAnsi="Calibri"/>
                <w:sz w:val="11"/>
                <w:szCs w:val="11"/>
                <w:color w:val="auto"/>
              </w:rPr>
              <w:t>100 bps</w:t>
            </w:r>
          </w:p>
        </w:tc>
        <w:tc>
          <w:tcPr>
            <w:tcW w:w="1740" w:type="dxa"/>
            <w:vAlign w:val="bottom"/>
            <w:tcBorders>
              <w:right w:val="single" w:sz="8" w:color="auto"/>
            </w:tcBorders>
          </w:tcPr>
          <w:p>
            <w:pPr>
              <w:jc w:val="center"/>
              <w:ind w:left="264"/>
              <w:spacing w:after="0" w:line="130" w:lineRule="exact"/>
              <w:rPr>
                <w:sz w:val="20"/>
                <w:szCs w:val="20"/>
                <w:color w:val="auto"/>
              </w:rPr>
            </w:pPr>
            <w:r>
              <w:rPr>
                <w:rFonts w:ascii="Calibri" w:cs="Calibri" w:eastAsia="Calibri" w:hAnsi="Calibri"/>
                <w:sz w:val="11"/>
                <w:szCs w:val="11"/>
                <w:color w:val="auto"/>
              </w:rPr>
              <w:t>-15 bps</w:t>
            </w:r>
          </w:p>
        </w:tc>
      </w:tr>
      <w:tr>
        <w:trPr>
          <w:trHeight w:val="140"/>
        </w:trPr>
        <w:tc>
          <w:tcPr>
            <w:tcW w:w="3380" w:type="dxa"/>
            <w:vAlign w:val="bottom"/>
            <w:tcBorders>
              <w:left w:val="single" w:sz="8" w:color="auto"/>
              <w:bottom w:val="single" w:sz="8" w:color="auto"/>
              <w:right w:val="single" w:sz="8" w:color="auto"/>
            </w:tcBorders>
          </w:tcPr>
          <w:p>
            <w:pPr>
              <w:spacing w:after="0"/>
              <w:rPr>
                <w:sz w:val="20"/>
                <w:szCs w:val="20"/>
                <w:color w:val="auto"/>
              </w:rPr>
            </w:pPr>
            <w:r>
              <w:rPr>
                <w:rFonts w:ascii="Calibri" w:cs="Calibri" w:eastAsia="Calibri" w:hAnsi="Calibri"/>
                <w:sz w:val="11"/>
                <w:szCs w:val="11"/>
                <w:b w:val="1"/>
                <w:bCs w:val="1"/>
                <w:color w:val="auto"/>
              </w:rPr>
              <w:t>Regulatory Global Capital Rato</w:t>
            </w:r>
          </w:p>
        </w:tc>
        <w:tc>
          <w:tcPr>
            <w:tcW w:w="13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18.95%</w:t>
            </w:r>
          </w:p>
        </w:tc>
        <w:tc>
          <w:tcPr>
            <w:tcW w:w="13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18.53%</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19.61%</w:t>
            </w:r>
          </w:p>
        </w:tc>
        <w:tc>
          <w:tcPr>
            <w:tcW w:w="980" w:type="dxa"/>
            <w:vAlign w:val="bottom"/>
            <w:tcBorders>
              <w:bottom w:val="single" w:sz="8" w:color="auto"/>
            </w:tcBorders>
          </w:tcPr>
          <w:p>
            <w:pPr>
              <w:jc w:val="center"/>
              <w:ind w:left="284"/>
              <w:spacing w:after="0"/>
              <w:rPr>
                <w:sz w:val="20"/>
                <w:szCs w:val="20"/>
                <w:color w:val="auto"/>
              </w:rPr>
            </w:pPr>
            <w:r>
              <w:rPr>
                <w:rFonts w:ascii="Calibri" w:cs="Calibri" w:eastAsia="Calibri" w:hAnsi="Calibri"/>
                <w:sz w:val="11"/>
                <w:szCs w:val="11"/>
                <w:color w:val="auto"/>
              </w:rPr>
              <w:t>108 bps</w:t>
            </w:r>
          </w:p>
        </w:tc>
        <w:tc>
          <w:tcPr>
            <w:tcW w:w="1740" w:type="dxa"/>
            <w:vAlign w:val="bottom"/>
            <w:tcBorders>
              <w:bottom w:val="single" w:sz="8" w:color="auto"/>
              <w:right w:val="single" w:sz="8" w:color="auto"/>
            </w:tcBorders>
          </w:tcPr>
          <w:p>
            <w:pPr>
              <w:jc w:val="center"/>
              <w:ind w:left="264"/>
              <w:spacing w:after="0"/>
              <w:rPr>
                <w:sz w:val="20"/>
                <w:szCs w:val="20"/>
                <w:color w:val="auto"/>
              </w:rPr>
            </w:pPr>
            <w:r>
              <w:rPr>
                <w:rFonts w:ascii="Calibri" w:cs="Calibri" w:eastAsia="Calibri" w:hAnsi="Calibri"/>
                <w:sz w:val="11"/>
                <w:szCs w:val="11"/>
                <w:color w:val="auto"/>
              </w:rPr>
              <w:t>66 bps</w:t>
            </w:r>
          </w:p>
        </w:tc>
      </w:tr>
    </w:tbl>
    <w:p>
      <w:pPr>
        <w:spacing w:after="0" w:line="180" w:lineRule="exact"/>
        <w:rPr>
          <w:sz w:val="20"/>
          <w:szCs w:val="20"/>
          <w:color w:val="auto"/>
        </w:rPr>
      </w:pPr>
    </w:p>
    <w:p>
      <w:pPr>
        <w:ind w:left="1720" w:hanging="155"/>
        <w:spacing w:after="0"/>
        <w:tabs>
          <w:tab w:leader="none" w:pos="1720"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Up to 1.25% of total risk-weighted assets.</w:t>
      </w:r>
    </w:p>
    <w:p>
      <w:pPr>
        <w:ind w:left="1560" w:right="100" w:firstLine="5"/>
        <w:spacing w:after="0" w:line="232" w:lineRule="auto"/>
        <w:tabs>
          <w:tab w:leader="none" w:pos="1712"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Common Equity Tier 1 = Capital Stock + Reserves + Accumulated earnings – Unrealized profts or losses - 100% deductons (investment in subsidiaries, goodwill, intangible assets and deferred tax assets based on future returns).</w:t>
      </w:r>
    </w:p>
    <w:p>
      <w:pPr>
        <w:ind w:left="1720" w:hanging="155"/>
        <w:spacing w:after="0" w:line="232" w:lineRule="auto"/>
        <w:tabs>
          <w:tab w:leader="none" w:pos="1720"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Regulatory Tier 1 Capital = Common Equity Tier 1 + Tier 1 Subordinated Debt (Perpetual).</w:t>
      </w:r>
    </w:p>
    <w:p>
      <w:pPr>
        <w:ind w:left="1720" w:hanging="155"/>
        <w:spacing w:after="0" w:line="232" w:lineRule="auto"/>
        <w:tabs>
          <w:tab w:leader="none" w:pos="1720"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890905</wp:posOffset>
            </wp:positionV>
            <wp:extent cx="7137400"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wp:posOffset>
            </wp:positionV>
            <wp:extent cx="7186930" cy="661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6930" cy="66103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58" w:name="page59"/>
    <w:bookmarkEnd w:id="58"/>
    <w:p>
      <w:pPr>
        <w:ind w:left="2580"/>
        <w:spacing w:after="0"/>
        <w:tabs>
          <w:tab w:leader="none" w:pos="300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586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7400" cy="58674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37400" cy="2311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740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Common Equity Tier 1 IFRS</w:t>
      </w:r>
    </w:p>
    <w:p>
      <w:pPr>
        <w:spacing w:after="0" w:line="131" w:lineRule="exact"/>
        <w:rPr>
          <w:sz w:val="20"/>
          <w:szCs w:val="20"/>
          <w:color w:val="auto"/>
        </w:rPr>
      </w:pPr>
    </w:p>
    <w:p>
      <w:pPr>
        <w:jc w:val="center"/>
        <w:ind w:right="120"/>
        <w:spacing w:after="0"/>
        <w:rPr>
          <w:sz w:val="20"/>
          <w:szCs w:val="20"/>
          <w:color w:val="auto"/>
        </w:rPr>
      </w:pPr>
      <w:r>
        <w:rPr>
          <w:rFonts w:ascii="Calibri" w:cs="Calibri" w:eastAsia="Calibri" w:hAnsi="Calibri"/>
          <w:sz w:val="17"/>
          <w:szCs w:val="17"/>
          <w:b w:val="1"/>
          <w:bCs w:val="1"/>
          <w:color w:val="auto"/>
        </w:rPr>
        <w:t>BCP Stand-alone</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3860" w:type="dxa"/>
            <w:vAlign w:val="bottom"/>
            <w:tcBorders>
              <w:top w:val="single" w:sz="8" w:color="auto"/>
              <w:left w:val="single" w:sz="8" w:color="33CCCC"/>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Common Equity Tier 1 IFRS</w:t>
            </w:r>
          </w:p>
        </w:tc>
        <w:tc>
          <w:tcPr>
            <w:tcW w:w="1240" w:type="dxa"/>
            <w:vAlign w:val="bottom"/>
            <w:tcBorders>
              <w:top w:val="single" w:sz="8" w:color="auto"/>
            </w:tcBorders>
            <w:shd w:val="clear" w:color="auto" w:fill="33CCCC"/>
          </w:tcPr>
          <w:p>
            <w:pPr>
              <w:spacing w:after="0"/>
              <w:rPr>
                <w:sz w:val="13"/>
                <w:szCs w:val="13"/>
                <w:color w:val="auto"/>
              </w:rPr>
            </w:pPr>
          </w:p>
        </w:tc>
        <w:tc>
          <w:tcPr>
            <w:tcW w:w="2080" w:type="dxa"/>
            <w:vAlign w:val="bottom"/>
            <w:tcBorders>
              <w:top w:val="single" w:sz="8" w:color="auto"/>
            </w:tcBorders>
            <w:shd w:val="clear" w:color="auto" w:fill="33CCCC"/>
          </w:tcPr>
          <w:p>
            <w:pPr>
              <w:jc w:val="center"/>
              <w:ind w:left="176"/>
              <w:spacing w:after="0"/>
              <w:rPr>
                <w:sz w:val="20"/>
                <w:szCs w:val="20"/>
                <w:color w:val="auto"/>
              </w:rPr>
            </w:pPr>
            <w:r>
              <w:rPr>
                <w:rFonts w:ascii="Calibri" w:cs="Calibri" w:eastAsia="Calibri" w:hAnsi="Calibri"/>
                <w:sz w:val="12"/>
                <w:szCs w:val="12"/>
                <w:b w:val="1"/>
                <w:bCs w:val="1"/>
                <w:color w:val="FFFFFF"/>
                <w:w w:val="95"/>
              </w:rPr>
              <w:t>As of</w:t>
            </w:r>
          </w:p>
        </w:tc>
        <w:tc>
          <w:tcPr>
            <w:tcW w:w="1840" w:type="dxa"/>
            <w:vAlign w:val="bottom"/>
            <w:tcBorders>
              <w:top w:val="single" w:sz="8" w:color="auto"/>
              <w:right w:val="single" w:sz="8" w:color="auto"/>
            </w:tcBorders>
            <w:shd w:val="clear" w:color="auto" w:fill="33CCCC"/>
          </w:tcPr>
          <w:p>
            <w:pPr>
              <w:spacing w:after="0"/>
              <w:rPr>
                <w:sz w:val="13"/>
                <w:szCs w:val="13"/>
                <w:color w:val="auto"/>
              </w:rPr>
            </w:pPr>
          </w:p>
        </w:tc>
        <w:tc>
          <w:tcPr>
            <w:tcW w:w="800" w:type="dxa"/>
            <w:vAlign w:val="bottom"/>
            <w:tcBorders>
              <w:top w:val="single" w:sz="8" w:color="auto"/>
            </w:tcBorders>
            <w:shd w:val="clear" w:color="auto" w:fill="33CCCC"/>
          </w:tcPr>
          <w:p>
            <w:pPr>
              <w:spacing w:after="0"/>
              <w:rPr>
                <w:sz w:val="13"/>
                <w:szCs w:val="13"/>
                <w:color w:val="auto"/>
              </w:rPr>
            </w:pPr>
          </w:p>
        </w:tc>
        <w:tc>
          <w:tcPr>
            <w:tcW w:w="1440" w:type="dxa"/>
            <w:vAlign w:val="bottom"/>
            <w:tcBorders>
              <w:top w:val="single" w:sz="8" w:color="auto"/>
              <w:right w:val="single" w:sz="8" w:color="auto"/>
            </w:tcBorders>
            <w:shd w:val="clear" w:color="auto" w:fill="33CCCC"/>
          </w:tcPr>
          <w:p>
            <w:pPr>
              <w:jc w:val="center"/>
              <w:ind w:right="777"/>
              <w:spacing w:after="0"/>
              <w:rPr>
                <w:sz w:val="20"/>
                <w:szCs w:val="20"/>
                <w:color w:val="auto"/>
              </w:rPr>
            </w:pPr>
            <w:r>
              <w:rPr>
                <w:rFonts w:ascii="Calibri" w:cs="Calibri" w:eastAsia="Calibri" w:hAnsi="Calibri"/>
                <w:sz w:val="12"/>
                <w:szCs w:val="12"/>
                <w:b w:val="1"/>
                <w:bCs w:val="1"/>
                <w:color w:val="FFFFFF"/>
                <w:w w:val="99"/>
              </w:rPr>
              <w:t>% Change</w:t>
            </w:r>
          </w:p>
        </w:tc>
      </w:tr>
      <w:tr>
        <w:trPr>
          <w:trHeight w:val="189"/>
        </w:trPr>
        <w:tc>
          <w:tcPr>
            <w:tcW w:w="3860" w:type="dxa"/>
            <w:vAlign w:val="bottom"/>
            <w:tcBorders>
              <w:left w:val="single" w:sz="8" w:color="33CCCC"/>
              <w:bottom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color w:val="FFFFFF"/>
              </w:rPr>
              <w:t>(S/ thousand)</w:t>
            </w:r>
          </w:p>
        </w:tc>
        <w:tc>
          <w:tcPr>
            <w:tcW w:w="1240" w:type="dxa"/>
            <w:vAlign w:val="bottom"/>
            <w:tcBorders>
              <w:bottom w:val="single" w:sz="8" w:color="auto"/>
            </w:tcBorders>
            <w:shd w:val="clear" w:color="auto" w:fill="33CCCC"/>
          </w:tcPr>
          <w:p>
            <w:pPr>
              <w:ind w:left="560"/>
              <w:spacing w:after="0"/>
              <w:rPr>
                <w:sz w:val="20"/>
                <w:szCs w:val="20"/>
                <w:color w:val="auto"/>
              </w:rPr>
            </w:pPr>
            <w:r>
              <w:rPr>
                <w:rFonts w:ascii="Calibri" w:cs="Calibri" w:eastAsia="Calibri" w:hAnsi="Calibri"/>
                <w:sz w:val="12"/>
                <w:szCs w:val="12"/>
                <w:b w:val="1"/>
                <w:bCs w:val="1"/>
                <w:color w:val="FFFFFF"/>
              </w:rPr>
              <w:t>Jun 24</w:t>
            </w:r>
          </w:p>
        </w:tc>
        <w:tc>
          <w:tcPr>
            <w:tcW w:w="2080" w:type="dxa"/>
            <w:vAlign w:val="bottom"/>
            <w:tcBorders>
              <w:bottom w:val="single" w:sz="8" w:color="auto"/>
            </w:tcBorders>
            <w:shd w:val="clear" w:color="auto" w:fill="33CCCC"/>
          </w:tcPr>
          <w:p>
            <w:pPr>
              <w:jc w:val="center"/>
              <w:ind w:left="176"/>
              <w:spacing w:after="0"/>
              <w:rPr>
                <w:sz w:val="20"/>
                <w:szCs w:val="20"/>
                <w:color w:val="auto"/>
              </w:rPr>
            </w:pPr>
            <w:r>
              <w:rPr>
                <w:rFonts w:ascii="Calibri" w:cs="Calibri" w:eastAsia="Calibri" w:hAnsi="Calibri"/>
                <w:sz w:val="12"/>
                <w:szCs w:val="12"/>
                <w:b w:val="1"/>
                <w:bCs w:val="1"/>
                <w:color w:val="FFFFFF"/>
              </w:rPr>
              <w:t>Mar 25</w:t>
            </w:r>
          </w:p>
        </w:tc>
        <w:tc>
          <w:tcPr>
            <w:tcW w:w="1840" w:type="dxa"/>
            <w:vAlign w:val="bottom"/>
            <w:tcBorders>
              <w:bottom w:val="single" w:sz="8" w:color="auto"/>
              <w:right w:val="single" w:sz="8" w:color="auto"/>
            </w:tcBorders>
            <w:shd w:val="clear" w:color="auto" w:fill="33CCCC"/>
          </w:tcPr>
          <w:p>
            <w:pPr>
              <w:ind w:left="760"/>
              <w:spacing w:after="0"/>
              <w:rPr>
                <w:sz w:val="20"/>
                <w:szCs w:val="20"/>
                <w:color w:val="auto"/>
              </w:rPr>
            </w:pPr>
            <w:r>
              <w:rPr>
                <w:rFonts w:ascii="Calibri" w:cs="Calibri" w:eastAsia="Calibri" w:hAnsi="Calibri"/>
                <w:sz w:val="12"/>
                <w:szCs w:val="12"/>
                <w:b w:val="1"/>
                <w:bCs w:val="1"/>
                <w:color w:val="FFFFFF"/>
              </w:rPr>
              <w:t>Jun 25</w:t>
            </w:r>
          </w:p>
        </w:tc>
        <w:tc>
          <w:tcPr>
            <w:tcW w:w="800" w:type="dxa"/>
            <w:vAlign w:val="bottom"/>
            <w:tcBorders>
              <w:bottom w:val="single" w:sz="8" w:color="auto"/>
            </w:tcBorders>
            <w:shd w:val="clear" w:color="auto" w:fill="33CCCC"/>
          </w:tcPr>
          <w:p>
            <w:pPr>
              <w:jc w:val="center"/>
              <w:ind w:left="217"/>
              <w:spacing w:after="0"/>
              <w:rPr>
                <w:sz w:val="20"/>
                <w:szCs w:val="20"/>
                <w:color w:val="auto"/>
              </w:rPr>
            </w:pPr>
            <w:r>
              <w:rPr>
                <w:rFonts w:ascii="Calibri" w:cs="Calibri" w:eastAsia="Calibri" w:hAnsi="Calibri"/>
                <w:sz w:val="12"/>
                <w:szCs w:val="12"/>
                <w:b w:val="1"/>
                <w:bCs w:val="1"/>
                <w:color w:val="FFFFFF"/>
              </w:rPr>
              <w:t>QoQ</w:t>
            </w:r>
          </w:p>
        </w:tc>
        <w:tc>
          <w:tcPr>
            <w:tcW w:w="1440" w:type="dxa"/>
            <w:vAlign w:val="bottom"/>
            <w:tcBorders>
              <w:bottom w:val="single" w:sz="8" w:color="auto"/>
              <w:right w:val="single" w:sz="8" w:color="auto"/>
            </w:tcBorders>
            <w:shd w:val="clear" w:color="auto" w:fill="33CCCC"/>
          </w:tcPr>
          <w:p>
            <w:pPr>
              <w:jc w:val="center"/>
              <w:ind w:left="197"/>
              <w:spacing w:after="0"/>
              <w:rPr>
                <w:sz w:val="20"/>
                <w:szCs w:val="20"/>
                <w:color w:val="auto"/>
              </w:rPr>
            </w:pPr>
            <w:r>
              <w:rPr>
                <w:rFonts w:ascii="Calibri" w:cs="Calibri" w:eastAsia="Calibri" w:hAnsi="Calibri"/>
                <w:sz w:val="12"/>
                <w:szCs w:val="12"/>
                <w:b w:val="1"/>
                <w:bCs w:val="1"/>
                <w:color w:val="FFFFFF"/>
                <w:w w:val="94"/>
              </w:rPr>
              <w:t>YoY</w:t>
            </w:r>
          </w:p>
        </w:tc>
      </w:tr>
      <w:tr>
        <w:trPr>
          <w:trHeight w:val="130"/>
        </w:trPr>
        <w:tc>
          <w:tcPr>
            <w:tcW w:w="3860" w:type="dxa"/>
            <w:vAlign w:val="bottom"/>
            <w:tcBorders>
              <w:right w:val="single" w:sz="8" w:color="auto"/>
            </w:tcBorders>
          </w:tcPr>
          <w:p>
            <w:pPr>
              <w:ind w:left="180"/>
              <w:spacing w:after="0" w:line="130" w:lineRule="exact"/>
              <w:rPr>
                <w:sz w:val="20"/>
                <w:szCs w:val="20"/>
                <w:color w:val="auto"/>
              </w:rPr>
            </w:pPr>
            <w:r>
              <w:rPr>
                <w:rFonts w:ascii="Calibri" w:cs="Calibri" w:eastAsia="Calibri" w:hAnsi="Calibri"/>
                <w:sz w:val="12"/>
                <w:szCs w:val="12"/>
                <w:color w:val="auto"/>
              </w:rPr>
              <w:t>Capital and reserves</w:t>
            </w:r>
          </w:p>
        </w:tc>
        <w:tc>
          <w:tcPr>
            <w:tcW w:w="1240" w:type="dxa"/>
            <w:vAlign w:val="bottom"/>
          </w:tcPr>
          <w:p>
            <w:pPr>
              <w:jc w:val="center"/>
              <w:ind w:left="137"/>
              <w:spacing w:after="0" w:line="130" w:lineRule="exact"/>
              <w:rPr>
                <w:sz w:val="20"/>
                <w:szCs w:val="20"/>
                <w:color w:val="auto"/>
              </w:rPr>
            </w:pPr>
            <w:r>
              <w:rPr>
                <w:rFonts w:ascii="Calibri" w:cs="Calibri" w:eastAsia="Calibri" w:hAnsi="Calibri"/>
                <w:sz w:val="12"/>
                <w:szCs w:val="12"/>
                <w:color w:val="auto"/>
              </w:rPr>
              <w:t>19,052,262</w:t>
            </w:r>
          </w:p>
        </w:tc>
        <w:tc>
          <w:tcPr>
            <w:tcW w:w="2080" w:type="dxa"/>
            <w:vAlign w:val="bottom"/>
          </w:tcPr>
          <w:p>
            <w:pPr>
              <w:jc w:val="center"/>
              <w:ind w:left="176"/>
              <w:spacing w:after="0" w:line="130" w:lineRule="exact"/>
              <w:rPr>
                <w:sz w:val="20"/>
                <w:szCs w:val="20"/>
                <w:color w:val="auto"/>
              </w:rPr>
            </w:pPr>
            <w:r>
              <w:rPr>
                <w:rFonts w:ascii="Calibri" w:cs="Calibri" w:eastAsia="Calibri" w:hAnsi="Calibri"/>
                <w:sz w:val="12"/>
                <w:szCs w:val="12"/>
                <w:color w:val="auto"/>
              </w:rPr>
              <w:t>18,585,234</w:t>
            </w:r>
          </w:p>
        </w:tc>
        <w:tc>
          <w:tcPr>
            <w:tcW w:w="184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2"/>
                <w:szCs w:val="12"/>
                <w:color w:val="auto"/>
              </w:rPr>
              <w:t>18,586,384</w:t>
            </w:r>
          </w:p>
        </w:tc>
        <w:tc>
          <w:tcPr>
            <w:tcW w:w="800" w:type="dxa"/>
            <w:vAlign w:val="bottom"/>
          </w:tcPr>
          <w:p>
            <w:pPr>
              <w:jc w:val="center"/>
              <w:ind w:left="217"/>
              <w:spacing w:after="0" w:line="130" w:lineRule="exact"/>
              <w:rPr>
                <w:sz w:val="20"/>
                <w:szCs w:val="20"/>
                <w:color w:val="auto"/>
              </w:rPr>
            </w:pPr>
            <w:r>
              <w:rPr>
                <w:rFonts w:ascii="Calibri" w:cs="Calibri" w:eastAsia="Calibri" w:hAnsi="Calibri"/>
                <w:sz w:val="12"/>
                <w:szCs w:val="12"/>
                <w:color w:val="auto"/>
              </w:rPr>
              <w:t>0.0%</w:t>
            </w:r>
          </w:p>
        </w:tc>
        <w:tc>
          <w:tcPr>
            <w:tcW w:w="1440" w:type="dxa"/>
            <w:vAlign w:val="bottom"/>
            <w:tcBorders>
              <w:right w:val="single" w:sz="8" w:color="auto"/>
            </w:tcBorders>
          </w:tcPr>
          <w:p>
            <w:pPr>
              <w:jc w:val="center"/>
              <w:ind w:left="217"/>
              <w:spacing w:after="0" w:line="130" w:lineRule="exact"/>
              <w:rPr>
                <w:sz w:val="20"/>
                <w:szCs w:val="20"/>
                <w:color w:val="auto"/>
              </w:rPr>
            </w:pPr>
            <w:r>
              <w:rPr>
                <w:rFonts w:ascii="Calibri" w:cs="Calibri" w:eastAsia="Calibri" w:hAnsi="Calibri"/>
                <w:sz w:val="12"/>
                <w:szCs w:val="12"/>
                <w:color w:val="auto"/>
              </w:rPr>
              <w:t>-2.4%</w:t>
            </w:r>
          </w:p>
        </w:tc>
      </w:tr>
      <w:tr>
        <w:trPr>
          <w:trHeight w:val="143"/>
        </w:trPr>
        <w:tc>
          <w:tcPr>
            <w:tcW w:w="3860" w:type="dxa"/>
            <w:vAlign w:val="bottom"/>
            <w:tcBorders>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Retained earnings</w:t>
            </w:r>
          </w:p>
        </w:tc>
        <w:tc>
          <w:tcPr>
            <w:tcW w:w="1240" w:type="dxa"/>
            <w:vAlign w:val="bottom"/>
          </w:tcPr>
          <w:p>
            <w:pPr>
              <w:jc w:val="center"/>
              <w:ind w:left="137"/>
              <w:spacing w:after="0" w:line="143" w:lineRule="exact"/>
              <w:rPr>
                <w:sz w:val="20"/>
                <w:szCs w:val="20"/>
                <w:color w:val="auto"/>
              </w:rPr>
            </w:pPr>
            <w:r>
              <w:rPr>
                <w:rFonts w:ascii="Calibri" w:cs="Calibri" w:eastAsia="Calibri" w:hAnsi="Calibri"/>
                <w:sz w:val="12"/>
                <w:szCs w:val="12"/>
                <w:color w:val="auto"/>
                <w:w w:val="98"/>
              </w:rPr>
              <w:t>4,674,213</w:t>
            </w:r>
          </w:p>
        </w:tc>
        <w:tc>
          <w:tcPr>
            <w:tcW w:w="2080" w:type="dxa"/>
            <w:vAlign w:val="bottom"/>
          </w:tcPr>
          <w:p>
            <w:pPr>
              <w:jc w:val="center"/>
              <w:ind w:left="176"/>
              <w:spacing w:after="0" w:line="143" w:lineRule="exact"/>
              <w:rPr>
                <w:sz w:val="20"/>
                <w:szCs w:val="20"/>
                <w:color w:val="auto"/>
              </w:rPr>
            </w:pPr>
            <w:r>
              <w:rPr>
                <w:rFonts w:ascii="Calibri" w:cs="Calibri" w:eastAsia="Calibri" w:hAnsi="Calibri"/>
                <w:sz w:val="12"/>
                <w:szCs w:val="12"/>
                <w:color w:val="auto"/>
                <w:w w:val="98"/>
              </w:rPr>
              <w:t>4,176,630</w:t>
            </w:r>
          </w:p>
        </w:tc>
        <w:tc>
          <w:tcPr>
            <w:tcW w:w="18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5,926,516</w:t>
            </w:r>
          </w:p>
        </w:tc>
        <w:tc>
          <w:tcPr>
            <w:tcW w:w="800" w:type="dxa"/>
            <w:vAlign w:val="bottom"/>
          </w:tcPr>
          <w:p>
            <w:pPr>
              <w:jc w:val="center"/>
              <w:ind w:left="237"/>
              <w:spacing w:after="0" w:line="143" w:lineRule="exact"/>
              <w:rPr>
                <w:sz w:val="20"/>
                <w:szCs w:val="20"/>
                <w:color w:val="auto"/>
              </w:rPr>
            </w:pPr>
            <w:r>
              <w:rPr>
                <w:rFonts w:ascii="Calibri" w:cs="Calibri" w:eastAsia="Calibri" w:hAnsi="Calibri"/>
                <w:sz w:val="12"/>
                <w:szCs w:val="12"/>
                <w:color w:val="auto"/>
              </w:rPr>
              <w:t>41.9%</w:t>
            </w:r>
          </w:p>
        </w:tc>
        <w:tc>
          <w:tcPr>
            <w:tcW w:w="1440" w:type="dxa"/>
            <w:vAlign w:val="bottom"/>
            <w:tcBorders>
              <w:right w:val="single" w:sz="8" w:color="auto"/>
            </w:tcBorders>
          </w:tcPr>
          <w:p>
            <w:pPr>
              <w:jc w:val="center"/>
              <w:ind w:left="197"/>
              <w:spacing w:after="0" w:line="143" w:lineRule="exact"/>
              <w:rPr>
                <w:sz w:val="20"/>
                <w:szCs w:val="20"/>
                <w:color w:val="auto"/>
              </w:rPr>
            </w:pPr>
            <w:r>
              <w:rPr>
                <w:rFonts w:ascii="Calibri" w:cs="Calibri" w:eastAsia="Calibri" w:hAnsi="Calibri"/>
                <w:sz w:val="12"/>
                <w:szCs w:val="12"/>
                <w:color w:val="auto"/>
              </w:rPr>
              <w:t>26.8%</w:t>
            </w:r>
          </w:p>
        </w:tc>
      </w:tr>
      <w:tr>
        <w:trPr>
          <w:trHeight w:val="143"/>
        </w:trPr>
        <w:tc>
          <w:tcPr>
            <w:tcW w:w="3860" w:type="dxa"/>
            <w:vAlign w:val="bottom"/>
            <w:tcBorders>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Unrealized gains (losses)</w:t>
            </w:r>
          </w:p>
        </w:tc>
        <w:tc>
          <w:tcPr>
            <w:tcW w:w="1240" w:type="dxa"/>
            <w:vAlign w:val="bottom"/>
          </w:tcPr>
          <w:p>
            <w:pPr>
              <w:jc w:val="center"/>
              <w:ind w:left="137"/>
              <w:spacing w:after="0" w:line="143" w:lineRule="exact"/>
              <w:rPr>
                <w:sz w:val="20"/>
                <w:szCs w:val="20"/>
                <w:color w:val="auto"/>
              </w:rPr>
            </w:pPr>
            <w:r>
              <w:rPr>
                <w:rFonts w:ascii="Calibri" w:cs="Calibri" w:eastAsia="Calibri" w:hAnsi="Calibri"/>
                <w:sz w:val="12"/>
                <w:szCs w:val="12"/>
                <w:color w:val="auto"/>
                <w:w w:val="98"/>
              </w:rPr>
              <w:t>(97,152)</w:t>
            </w:r>
          </w:p>
        </w:tc>
        <w:tc>
          <w:tcPr>
            <w:tcW w:w="2080" w:type="dxa"/>
            <w:vAlign w:val="bottom"/>
          </w:tcPr>
          <w:p>
            <w:pPr>
              <w:jc w:val="center"/>
              <w:ind w:left="176"/>
              <w:spacing w:after="0" w:line="143" w:lineRule="exact"/>
              <w:rPr>
                <w:sz w:val="20"/>
                <w:szCs w:val="20"/>
                <w:color w:val="auto"/>
              </w:rPr>
            </w:pPr>
            <w:r>
              <w:rPr>
                <w:rFonts w:ascii="Calibri" w:cs="Calibri" w:eastAsia="Calibri" w:hAnsi="Calibri"/>
                <w:sz w:val="12"/>
                <w:szCs w:val="12"/>
                <w:color w:val="auto"/>
              </w:rPr>
              <w:t>140,002</w:t>
            </w:r>
          </w:p>
        </w:tc>
        <w:tc>
          <w:tcPr>
            <w:tcW w:w="18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282,927</w:t>
            </w:r>
          </w:p>
        </w:tc>
        <w:tc>
          <w:tcPr>
            <w:tcW w:w="800" w:type="dxa"/>
            <w:vAlign w:val="bottom"/>
          </w:tcPr>
          <w:p>
            <w:pPr>
              <w:jc w:val="center"/>
              <w:ind w:left="217"/>
              <w:spacing w:after="0" w:line="143" w:lineRule="exact"/>
              <w:rPr>
                <w:sz w:val="20"/>
                <w:szCs w:val="20"/>
                <w:color w:val="auto"/>
              </w:rPr>
            </w:pPr>
            <w:r>
              <w:rPr>
                <w:rFonts w:ascii="Calibri" w:cs="Calibri" w:eastAsia="Calibri" w:hAnsi="Calibri"/>
                <w:sz w:val="12"/>
                <w:szCs w:val="12"/>
                <w:color w:val="auto"/>
              </w:rPr>
              <w:t>102.1%</w:t>
            </w:r>
          </w:p>
        </w:tc>
        <w:tc>
          <w:tcPr>
            <w:tcW w:w="1440" w:type="dxa"/>
            <w:vAlign w:val="bottom"/>
            <w:tcBorders>
              <w:right w:val="single" w:sz="8" w:color="auto"/>
            </w:tcBorders>
          </w:tcPr>
          <w:p>
            <w:pPr>
              <w:jc w:val="center"/>
              <w:ind w:left="217"/>
              <w:spacing w:after="0" w:line="143" w:lineRule="exact"/>
              <w:rPr>
                <w:sz w:val="20"/>
                <w:szCs w:val="20"/>
                <w:color w:val="auto"/>
              </w:rPr>
            </w:pPr>
            <w:r>
              <w:rPr>
                <w:rFonts w:ascii="Calibri" w:cs="Calibri" w:eastAsia="Calibri" w:hAnsi="Calibri"/>
                <w:sz w:val="12"/>
                <w:szCs w:val="12"/>
                <w:color w:val="auto"/>
              </w:rPr>
              <w:t>-391.2%</w:t>
            </w:r>
          </w:p>
        </w:tc>
      </w:tr>
      <w:tr>
        <w:trPr>
          <w:trHeight w:val="143"/>
        </w:trPr>
        <w:tc>
          <w:tcPr>
            <w:tcW w:w="3860" w:type="dxa"/>
            <w:vAlign w:val="bottom"/>
            <w:tcBorders>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Goodwill and intangibles</w:t>
            </w:r>
          </w:p>
        </w:tc>
        <w:tc>
          <w:tcPr>
            <w:tcW w:w="1240" w:type="dxa"/>
            <w:vAlign w:val="bottom"/>
          </w:tcPr>
          <w:p>
            <w:pPr>
              <w:jc w:val="center"/>
              <w:ind w:left="137"/>
              <w:spacing w:after="0" w:line="143" w:lineRule="exact"/>
              <w:rPr>
                <w:sz w:val="20"/>
                <w:szCs w:val="20"/>
                <w:color w:val="auto"/>
              </w:rPr>
            </w:pPr>
            <w:r>
              <w:rPr>
                <w:rFonts w:ascii="Calibri" w:cs="Calibri" w:eastAsia="Calibri" w:hAnsi="Calibri"/>
                <w:sz w:val="12"/>
                <w:szCs w:val="12"/>
                <w:color w:val="auto"/>
              </w:rPr>
              <w:t>(1,694,308)</w:t>
            </w:r>
          </w:p>
        </w:tc>
        <w:tc>
          <w:tcPr>
            <w:tcW w:w="2080" w:type="dxa"/>
            <w:vAlign w:val="bottom"/>
          </w:tcPr>
          <w:p>
            <w:pPr>
              <w:jc w:val="center"/>
              <w:ind w:left="176"/>
              <w:spacing w:after="0" w:line="143" w:lineRule="exact"/>
              <w:rPr>
                <w:sz w:val="20"/>
                <w:szCs w:val="20"/>
                <w:color w:val="auto"/>
              </w:rPr>
            </w:pPr>
            <w:r>
              <w:rPr>
                <w:rFonts w:ascii="Calibri" w:cs="Calibri" w:eastAsia="Calibri" w:hAnsi="Calibri"/>
                <w:sz w:val="12"/>
                <w:szCs w:val="12"/>
                <w:color w:val="auto"/>
              </w:rPr>
              <w:t>(1,706,438)</w:t>
            </w:r>
          </w:p>
        </w:tc>
        <w:tc>
          <w:tcPr>
            <w:tcW w:w="18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(1,739,625)</w:t>
            </w:r>
          </w:p>
        </w:tc>
        <w:tc>
          <w:tcPr>
            <w:tcW w:w="800" w:type="dxa"/>
            <w:vAlign w:val="bottom"/>
          </w:tcPr>
          <w:p>
            <w:pPr>
              <w:jc w:val="center"/>
              <w:ind w:left="217"/>
              <w:spacing w:after="0" w:line="143" w:lineRule="exact"/>
              <w:rPr>
                <w:sz w:val="20"/>
                <w:szCs w:val="20"/>
                <w:color w:val="auto"/>
              </w:rPr>
            </w:pPr>
            <w:r>
              <w:rPr>
                <w:rFonts w:ascii="Calibri" w:cs="Calibri" w:eastAsia="Calibri" w:hAnsi="Calibri"/>
                <w:sz w:val="12"/>
                <w:szCs w:val="12"/>
                <w:color w:val="auto"/>
              </w:rPr>
              <w:t>1.9%</w:t>
            </w:r>
          </w:p>
        </w:tc>
        <w:tc>
          <w:tcPr>
            <w:tcW w:w="1440" w:type="dxa"/>
            <w:vAlign w:val="bottom"/>
            <w:tcBorders>
              <w:right w:val="single" w:sz="8" w:color="auto"/>
            </w:tcBorders>
          </w:tcPr>
          <w:p>
            <w:pPr>
              <w:jc w:val="center"/>
              <w:ind w:left="217"/>
              <w:spacing w:after="0" w:line="143" w:lineRule="exact"/>
              <w:rPr>
                <w:sz w:val="20"/>
                <w:szCs w:val="20"/>
                <w:color w:val="auto"/>
              </w:rPr>
            </w:pPr>
            <w:r>
              <w:rPr>
                <w:rFonts w:ascii="Calibri" w:cs="Calibri" w:eastAsia="Calibri" w:hAnsi="Calibri"/>
                <w:sz w:val="12"/>
                <w:szCs w:val="12"/>
                <w:color w:val="auto"/>
              </w:rPr>
              <w:t>2.7%</w:t>
            </w:r>
          </w:p>
        </w:tc>
      </w:tr>
      <w:tr>
        <w:trPr>
          <w:trHeight w:val="143"/>
        </w:trPr>
        <w:tc>
          <w:tcPr>
            <w:tcW w:w="3860" w:type="dxa"/>
            <w:vAlign w:val="bottom"/>
            <w:tcBorders>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Investments in subsidiaries</w:t>
            </w:r>
          </w:p>
        </w:tc>
        <w:tc>
          <w:tcPr>
            <w:tcW w:w="1240" w:type="dxa"/>
            <w:vAlign w:val="bottom"/>
          </w:tcPr>
          <w:p>
            <w:pPr>
              <w:jc w:val="center"/>
              <w:ind w:left="137"/>
              <w:spacing w:after="0" w:line="143" w:lineRule="exact"/>
              <w:rPr>
                <w:sz w:val="20"/>
                <w:szCs w:val="20"/>
                <w:color w:val="auto"/>
              </w:rPr>
            </w:pPr>
            <w:r>
              <w:rPr>
                <w:rFonts w:ascii="Calibri" w:cs="Calibri" w:eastAsia="Calibri" w:hAnsi="Calibri"/>
                <w:sz w:val="12"/>
                <w:szCs w:val="12"/>
                <w:color w:val="auto"/>
              </w:rPr>
              <w:t>(2,602,553)</w:t>
            </w:r>
          </w:p>
        </w:tc>
        <w:tc>
          <w:tcPr>
            <w:tcW w:w="2080" w:type="dxa"/>
            <w:vAlign w:val="bottom"/>
          </w:tcPr>
          <w:p>
            <w:pPr>
              <w:jc w:val="center"/>
              <w:ind w:left="176"/>
              <w:spacing w:after="0" w:line="143" w:lineRule="exact"/>
              <w:rPr>
                <w:sz w:val="20"/>
                <w:szCs w:val="20"/>
                <w:color w:val="auto"/>
              </w:rPr>
            </w:pPr>
            <w:r>
              <w:rPr>
                <w:rFonts w:ascii="Calibri" w:cs="Calibri" w:eastAsia="Calibri" w:hAnsi="Calibri"/>
                <w:sz w:val="12"/>
                <w:szCs w:val="12"/>
                <w:color w:val="auto"/>
              </w:rPr>
              <w:t>(2,416,979)</w:t>
            </w:r>
          </w:p>
        </w:tc>
        <w:tc>
          <w:tcPr>
            <w:tcW w:w="184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(2,463,279)</w:t>
            </w:r>
          </w:p>
        </w:tc>
        <w:tc>
          <w:tcPr>
            <w:tcW w:w="800" w:type="dxa"/>
            <w:vAlign w:val="bottom"/>
          </w:tcPr>
          <w:p>
            <w:pPr>
              <w:jc w:val="center"/>
              <w:ind w:left="217"/>
              <w:spacing w:after="0" w:line="143" w:lineRule="exact"/>
              <w:rPr>
                <w:sz w:val="20"/>
                <w:szCs w:val="20"/>
                <w:color w:val="auto"/>
              </w:rPr>
            </w:pPr>
            <w:r>
              <w:rPr>
                <w:rFonts w:ascii="Calibri" w:cs="Calibri" w:eastAsia="Calibri" w:hAnsi="Calibri"/>
                <w:sz w:val="12"/>
                <w:szCs w:val="12"/>
                <w:color w:val="auto"/>
              </w:rPr>
              <w:t>1.9%</w:t>
            </w:r>
          </w:p>
        </w:tc>
        <w:tc>
          <w:tcPr>
            <w:tcW w:w="1440" w:type="dxa"/>
            <w:vAlign w:val="bottom"/>
            <w:tcBorders>
              <w:right w:val="single" w:sz="8" w:color="auto"/>
            </w:tcBorders>
          </w:tcPr>
          <w:p>
            <w:pPr>
              <w:jc w:val="center"/>
              <w:ind w:left="217"/>
              <w:spacing w:after="0" w:line="143" w:lineRule="exact"/>
              <w:rPr>
                <w:sz w:val="20"/>
                <w:szCs w:val="20"/>
                <w:color w:val="auto"/>
              </w:rPr>
            </w:pPr>
            <w:r>
              <w:rPr>
                <w:rFonts w:ascii="Calibri" w:cs="Calibri" w:eastAsia="Calibri" w:hAnsi="Calibri"/>
                <w:sz w:val="12"/>
                <w:szCs w:val="12"/>
                <w:color w:val="auto"/>
              </w:rPr>
              <w:t>-5.4%</w:t>
            </w:r>
          </w:p>
        </w:tc>
      </w:tr>
      <w:tr>
        <w:trPr>
          <w:trHeight w:val="150"/>
        </w:trPr>
        <w:tc>
          <w:tcPr>
            <w:tcW w:w="3860" w:type="dxa"/>
            <w:vAlign w:val="bottom"/>
            <w:tcBorders>
              <w:bottom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Total</w:t>
            </w:r>
          </w:p>
        </w:tc>
        <w:tc>
          <w:tcPr>
            <w:tcW w:w="1240" w:type="dxa"/>
            <w:vAlign w:val="bottom"/>
            <w:tcBorders>
              <w:bottom w:val="single" w:sz="8" w:color="auto"/>
            </w:tcBorders>
          </w:tcPr>
          <w:p>
            <w:pPr>
              <w:jc w:val="center"/>
              <w:ind w:left="137"/>
              <w:spacing w:after="0" w:line="145" w:lineRule="exact"/>
              <w:rPr>
                <w:sz w:val="20"/>
                <w:szCs w:val="20"/>
                <w:color w:val="auto"/>
              </w:rPr>
            </w:pPr>
            <w:r>
              <w:rPr>
                <w:rFonts w:ascii="Calibri" w:cs="Calibri" w:eastAsia="Calibri" w:hAnsi="Calibri"/>
                <w:sz w:val="12"/>
                <w:szCs w:val="12"/>
                <w:b w:val="1"/>
                <w:bCs w:val="1"/>
                <w:color w:val="auto"/>
              </w:rPr>
              <w:t>19,332,463</w:t>
            </w:r>
          </w:p>
        </w:tc>
        <w:tc>
          <w:tcPr>
            <w:tcW w:w="2080" w:type="dxa"/>
            <w:vAlign w:val="bottom"/>
            <w:tcBorders>
              <w:bottom w:val="single" w:sz="8" w:color="auto"/>
            </w:tcBorders>
          </w:tcPr>
          <w:p>
            <w:pPr>
              <w:jc w:val="center"/>
              <w:ind w:left="176"/>
              <w:spacing w:after="0" w:line="145" w:lineRule="exact"/>
              <w:rPr>
                <w:sz w:val="20"/>
                <w:szCs w:val="20"/>
                <w:color w:val="auto"/>
              </w:rPr>
            </w:pPr>
            <w:r>
              <w:rPr>
                <w:rFonts w:ascii="Calibri" w:cs="Calibri" w:eastAsia="Calibri" w:hAnsi="Calibri"/>
                <w:sz w:val="12"/>
                <w:szCs w:val="12"/>
                <w:b w:val="1"/>
                <w:bCs w:val="1"/>
                <w:color w:val="auto"/>
              </w:rPr>
              <w:t>18,778,449</w:t>
            </w:r>
          </w:p>
        </w:tc>
        <w:tc>
          <w:tcPr>
            <w:tcW w:w="18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20,592,923</w:t>
            </w:r>
          </w:p>
        </w:tc>
        <w:tc>
          <w:tcPr>
            <w:tcW w:w="800" w:type="dxa"/>
            <w:vAlign w:val="bottom"/>
            <w:tcBorders>
              <w:bottom w:val="single" w:sz="8" w:color="auto"/>
            </w:tcBorders>
          </w:tcPr>
          <w:p>
            <w:pPr>
              <w:jc w:val="center"/>
              <w:ind w:left="217"/>
              <w:spacing w:after="0" w:line="145" w:lineRule="exact"/>
              <w:rPr>
                <w:sz w:val="20"/>
                <w:szCs w:val="20"/>
                <w:color w:val="auto"/>
              </w:rPr>
            </w:pPr>
            <w:r>
              <w:rPr>
                <w:rFonts w:ascii="Calibri" w:cs="Calibri" w:eastAsia="Calibri" w:hAnsi="Calibri"/>
                <w:sz w:val="12"/>
                <w:szCs w:val="12"/>
                <w:b w:val="1"/>
                <w:bCs w:val="1"/>
                <w:color w:val="auto"/>
                <w:w w:val="99"/>
              </w:rPr>
              <w:t>9.7%</w:t>
            </w:r>
          </w:p>
        </w:tc>
        <w:tc>
          <w:tcPr>
            <w:tcW w:w="1440" w:type="dxa"/>
            <w:vAlign w:val="bottom"/>
            <w:tcBorders>
              <w:bottom w:val="single" w:sz="8" w:color="auto"/>
              <w:right w:val="single" w:sz="8" w:color="auto"/>
            </w:tcBorders>
          </w:tcPr>
          <w:p>
            <w:pPr>
              <w:jc w:val="center"/>
              <w:ind w:left="197"/>
              <w:spacing w:after="0" w:line="145" w:lineRule="exact"/>
              <w:rPr>
                <w:sz w:val="20"/>
                <w:szCs w:val="20"/>
                <w:color w:val="auto"/>
              </w:rPr>
            </w:pPr>
            <w:r>
              <w:rPr>
                <w:rFonts w:ascii="Calibri" w:cs="Calibri" w:eastAsia="Calibri" w:hAnsi="Calibri"/>
                <w:sz w:val="12"/>
                <w:szCs w:val="12"/>
                <w:b w:val="1"/>
                <w:bCs w:val="1"/>
                <w:color w:val="auto"/>
              </w:rPr>
              <w:t>6.5%</w:t>
            </w:r>
          </w:p>
        </w:tc>
      </w:tr>
      <w:tr>
        <w:trPr>
          <w:trHeight w:val="193"/>
        </w:trPr>
        <w:tc>
          <w:tcPr>
            <w:tcW w:w="3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36"/>
        </w:trPr>
        <w:tc>
          <w:tcPr>
            <w:tcW w:w="3860" w:type="dxa"/>
            <w:vAlign w:val="bottom"/>
            <w:tcBorders>
              <w:bottom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b w:val="1"/>
                <w:bCs w:val="1"/>
                <w:color w:val="auto"/>
              </w:rPr>
              <w:t>Adjusted RWAs IFRS</w:t>
            </w:r>
          </w:p>
        </w:tc>
        <w:tc>
          <w:tcPr>
            <w:tcW w:w="1240" w:type="dxa"/>
            <w:vAlign w:val="bottom"/>
            <w:tcBorders>
              <w:bottom w:val="single" w:sz="8" w:color="auto"/>
            </w:tcBorders>
          </w:tcPr>
          <w:p>
            <w:pPr>
              <w:jc w:val="center"/>
              <w:ind w:left="117"/>
              <w:spacing w:after="0" w:line="137" w:lineRule="exact"/>
              <w:rPr>
                <w:sz w:val="20"/>
                <w:szCs w:val="20"/>
                <w:color w:val="auto"/>
              </w:rPr>
            </w:pPr>
            <w:r>
              <w:rPr>
                <w:rFonts w:ascii="Calibri" w:cs="Calibri" w:eastAsia="Calibri" w:hAnsi="Calibri"/>
                <w:sz w:val="12"/>
                <w:szCs w:val="12"/>
                <w:b w:val="1"/>
                <w:bCs w:val="1"/>
                <w:color w:val="auto"/>
              </w:rPr>
              <w:t>160,418,064</w:t>
            </w:r>
          </w:p>
        </w:tc>
        <w:tc>
          <w:tcPr>
            <w:tcW w:w="2080" w:type="dxa"/>
            <w:vAlign w:val="bottom"/>
            <w:tcBorders>
              <w:bottom w:val="single" w:sz="8" w:color="auto"/>
            </w:tcBorders>
          </w:tcPr>
          <w:p>
            <w:pPr>
              <w:jc w:val="center"/>
              <w:ind w:left="176"/>
              <w:spacing w:after="0" w:line="137" w:lineRule="exact"/>
              <w:rPr>
                <w:sz w:val="20"/>
                <w:szCs w:val="20"/>
                <w:color w:val="auto"/>
              </w:rPr>
            </w:pPr>
            <w:r>
              <w:rPr>
                <w:rFonts w:ascii="Calibri" w:cs="Calibri" w:eastAsia="Calibri" w:hAnsi="Calibri"/>
                <w:sz w:val="12"/>
                <w:szCs w:val="12"/>
                <w:b w:val="1"/>
                <w:bCs w:val="1"/>
                <w:color w:val="auto"/>
                <w:w w:val="98"/>
              </w:rPr>
              <w:t>161,628,694</w:t>
            </w:r>
          </w:p>
        </w:tc>
        <w:tc>
          <w:tcPr>
            <w:tcW w:w="1840" w:type="dxa"/>
            <w:vAlign w:val="bottom"/>
            <w:tcBorders>
              <w:bottom w:val="single" w:sz="8" w:color="auto"/>
              <w:right w:val="single" w:sz="8" w:color="auto"/>
            </w:tcBorders>
          </w:tcPr>
          <w:p>
            <w:pPr>
              <w:jc w:val="center"/>
              <w:spacing w:after="0" w:line="137" w:lineRule="exact"/>
              <w:rPr>
                <w:sz w:val="20"/>
                <w:szCs w:val="20"/>
                <w:color w:val="auto"/>
              </w:rPr>
            </w:pPr>
            <w:r>
              <w:rPr>
                <w:rFonts w:ascii="Calibri" w:cs="Calibri" w:eastAsia="Calibri" w:hAnsi="Calibri"/>
                <w:sz w:val="12"/>
                <w:szCs w:val="12"/>
                <w:b w:val="1"/>
                <w:bCs w:val="1"/>
                <w:color w:val="auto"/>
              </w:rPr>
              <w:t>163,938,888</w:t>
            </w:r>
          </w:p>
        </w:tc>
        <w:tc>
          <w:tcPr>
            <w:tcW w:w="800" w:type="dxa"/>
            <w:vAlign w:val="bottom"/>
            <w:tcBorders>
              <w:bottom w:val="single" w:sz="8" w:color="auto"/>
            </w:tcBorders>
          </w:tcPr>
          <w:p>
            <w:pPr>
              <w:jc w:val="center"/>
              <w:ind w:left="217"/>
              <w:spacing w:after="0" w:line="137" w:lineRule="exact"/>
              <w:rPr>
                <w:sz w:val="20"/>
                <w:szCs w:val="20"/>
                <w:color w:val="auto"/>
              </w:rPr>
            </w:pPr>
            <w:r>
              <w:rPr>
                <w:rFonts w:ascii="Calibri" w:cs="Calibri" w:eastAsia="Calibri" w:hAnsi="Calibri"/>
                <w:sz w:val="12"/>
                <w:szCs w:val="12"/>
                <w:b w:val="1"/>
                <w:bCs w:val="1"/>
                <w:color w:val="auto"/>
                <w:w w:val="99"/>
              </w:rPr>
              <w:t>1.4%</w:t>
            </w:r>
          </w:p>
        </w:tc>
        <w:tc>
          <w:tcPr>
            <w:tcW w:w="1440" w:type="dxa"/>
            <w:vAlign w:val="bottom"/>
            <w:tcBorders>
              <w:bottom w:val="single" w:sz="8" w:color="auto"/>
              <w:right w:val="single" w:sz="8" w:color="auto"/>
            </w:tcBorders>
          </w:tcPr>
          <w:p>
            <w:pPr>
              <w:jc w:val="center"/>
              <w:ind w:left="197"/>
              <w:spacing w:after="0" w:line="137" w:lineRule="exact"/>
              <w:rPr>
                <w:sz w:val="20"/>
                <w:szCs w:val="20"/>
                <w:color w:val="auto"/>
              </w:rPr>
            </w:pPr>
            <w:r>
              <w:rPr>
                <w:rFonts w:ascii="Calibri" w:cs="Calibri" w:eastAsia="Calibri" w:hAnsi="Calibri"/>
                <w:sz w:val="12"/>
                <w:szCs w:val="12"/>
                <w:b w:val="1"/>
                <w:bCs w:val="1"/>
                <w:color w:val="auto"/>
              </w:rPr>
              <w:t>2.2%</w:t>
            </w:r>
          </w:p>
        </w:tc>
      </w:tr>
      <w:tr>
        <w:trPr>
          <w:trHeight w:val="125"/>
        </w:trPr>
        <w:tc>
          <w:tcPr>
            <w:tcW w:w="3860" w:type="dxa"/>
            <w:vAlign w:val="bottom"/>
            <w:tcBorders>
              <w:right w:val="single" w:sz="8" w:color="auto"/>
            </w:tcBorders>
          </w:tcPr>
          <w:p>
            <w:pPr>
              <w:ind w:left="180"/>
              <w:spacing w:after="0" w:line="126" w:lineRule="exact"/>
              <w:rPr>
                <w:sz w:val="20"/>
                <w:szCs w:val="20"/>
                <w:color w:val="auto"/>
              </w:rPr>
            </w:pPr>
            <w:r>
              <w:rPr>
                <w:rFonts w:ascii="Calibri" w:cs="Calibri" w:eastAsia="Calibri" w:hAnsi="Calibri"/>
                <w:sz w:val="12"/>
                <w:szCs w:val="12"/>
                <w:color w:val="auto"/>
              </w:rPr>
              <w:t>Adjusted Credit RWAs IFRS</w:t>
            </w:r>
          </w:p>
        </w:tc>
        <w:tc>
          <w:tcPr>
            <w:tcW w:w="1240" w:type="dxa"/>
            <w:vAlign w:val="bottom"/>
          </w:tcPr>
          <w:p>
            <w:pPr>
              <w:jc w:val="center"/>
              <w:ind w:left="117"/>
              <w:spacing w:after="0" w:line="126" w:lineRule="exact"/>
              <w:rPr>
                <w:sz w:val="20"/>
                <w:szCs w:val="20"/>
                <w:color w:val="auto"/>
              </w:rPr>
            </w:pPr>
            <w:r>
              <w:rPr>
                <w:rFonts w:ascii="Calibri" w:cs="Calibri" w:eastAsia="Calibri" w:hAnsi="Calibri"/>
                <w:sz w:val="12"/>
                <w:szCs w:val="12"/>
                <w:color w:val="auto"/>
              </w:rPr>
              <w:t>139,781,938</w:t>
            </w:r>
          </w:p>
        </w:tc>
        <w:tc>
          <w:tcPr>
            <w:tcW w:w="2080" w:type="dxa"/>
            <w:vAlign w:val="bottom"/>
          </w:tcPr>
          <w:p>
            <w:pPr>
              <w:jc w:val="center"/>
              <w:ind w:left="176"/>
              <w:spacing w:after="0" w:line="126" w:lineRule="exact"/>
              <w:rPr>
                <w:sz w:val="20"/>
                <w:szCs w:val="20"/>
                <w:color w:val="auto"/>
              </w:rPr>
            </w:pPr>
            <w:r>
              <w:rPr>
                <w:rFonts w:ascii="Calibri" w:cs="Calibri" w:eastAsia="Calibri" w:hAnsi="Calibri"/>
                <w:sz w:val="12"/>
                <w:szCs w:val="12"/>
                <w:color w:val="auto"/>
                <w:w w:val="98"/>
              </w:rPr>
              <w:t>138,830,109</w:t>
            </w:r>
          </w:p>
        </w:tc>
        <w:tc>
          <w:tcPr>
            <w:tcW w:w="1840" w:type="dxa"/>
            <w:vAlign w:val="bottom"/>
            <w:tcBorders>
              <w:right w:val="single" w:sz="8" w:color="auto"/>
            </w:tcBorders>
          </w:tcPr>
          <w:p>
            <w:pPr>
              <w:jc w:val="center"/>
              <w:spacing w:after="0" w:line="126" w:lineRule="exact"/>
              <w:rPr>
                <w:sz w:val="20"/>
                <w:szCs w:val="20"/>
                <w:color w:val="auto"/>
              </w:rPr>
            </w:pPr>
            <w:r>
              <w:rPr>
                <w:rFonts w:ascii="Calibri" w:cs="Calibri" w:eastAsia="Calibri" w:hAnsi="Calibri"/>
                <w:sz w:val="12"/>
                <w:szCs w:val="12"/>
                <w:color w:val="auto"/>
                <w:w w:val="98"/>
              </w:rPr>
              <w:t>140,154,641</w:t>
            </w:r>
          </w:p>
        </w:tc>
        <w:tc>
          <w:tcPr>
            <w:tcW w:w="800" w:type="dxa"/>
            <w:vAlign w:val="bottom"/>
          </w:tcPr>
          <w:p>
            <w:pPr>
              <w:jc w:val="center"/>
              <w:ind w:left="217"/>
              <w:spacing w:after="0" w:line="126" w:lineRule="exact"/>
              <w:rPr>
                <w:sz w:val="20"/>
                <w:szCs w:val="20"/>
                <w:color w:val="auto"/>
              </w:rPr>
            </w:pPr>
            <w:r>
              <w:rPr>
                <w:rFonts w:ascii="Calibri" w:cs="Calibri" w:eastAsia="Calibri" w:hAnsi="Calibri"/>
                <w:sz w:val="12"/>
                <w:szCs w:val="12"/>
                <w:color w:val="auto"/>
              </w:rPr>
              <w:t>1.0%</w:t>
            </w:r>
          </w:p>
        </w:tc>
        <w:tc>
          <w:tcPr>
            <w:tcW w:w="1440" w:type="dxa"/>
            <w:vAlign w:val="bottom"/>
            <w:tcBorders>
              <w:right w:val="single" w:sz="8" w:color="auto"/>
            </w:tcBorders>
          </w:tcPr>
          <w:p>
            <w:pPr>
              <w:jc w:val="center"/>
              <w:ind w:left="217"/>
              <w:spacing w:after="0" w:line="126" w:lineRule="exact"/>
              <w:rPr>
                <w:sz w:val="20"/>
                <w:szCs w:val="20"/>
                <w:color w:val="auto"/>
              </w:rPr>
            </w:pPr>
            <w:r>
              <w:rPr>
                <w:rFonts w:ascii="Calibri" w:cs="Calibri" w:eastAsia="Calibri" w:hAnsi="Calibri"/>
                <w:sz w:val="12"/>
                <w:szCs w:val="12"/>
                <w:color w:val="auto"/>
              </w:rPr>
              <w:t>0.3%</w:t>
            </w:r>
          </w:p>
        </w:tc>
      </w:tr>
      <w:tr>
        <w:trPr>
          <w:trHeight w:val="150"/>
        </w:trPr>
        <w:tc>
          <w:tcPr>
            <w:tcW w:w="3860" w:type="dxa"/>
            <w:vAlign w:val="bottom"/>
            <w:tcBorders>
              <w:bottom w:val="single" w:sz="8" w:color="auto"/>
              <w:righ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Others</w:t>
            </w:r>
          </w:p>
        </w:tc>
        <w:tc>
          <w:tcPr>
            <w:tcW w:w="1240" w:type="dxa"/>
            <w:vAlign w:val="bottom"/>
            <w:tcBorders>
              <w:bottom w:val="single" w:sz="8" w:color="auto"/>
            </w:tcBorders>
          </w:tcPr>
          <w:p>
            <w:pPr>
              <w:jc w:val="center"/>
              <w:ind w:left="137"/>
              <w:spacing w:after="0" w:line="145" w:lineRule="exact"/>
              <w:rPr>
                <w:sz w:val="20"/>
                <w:szCs w:val="20"/>
                <w:color w:val="auto"/>
              </w:rPr>
            </w:pPr>
            <w:r>
              <w:rPr>
                <w:rFonts w:ascii="Calibri" w:cs="Calibri" w:eastAsia="Calibri" w:hAnsi="Calibri"/>
                <w:sz w:val="12"/>
                <w:szCs w:val="12"/>
                <w:color w:val="auto"/>
              </w:rPr>
              <w:t>20,636,126</w:t>
            </w:r>
          </w:p>
        </w:tc>
        <w:tc>
          <w:tcPr>
            <w:tcW w:w="2080" w:type="dxa"/>
            <w:vAlign w:val="bottom"/>
            <w:tcBorders>
              <w:bottom w:val="single" w:sz="8" w:color="auto"/>
            </w:tcBorders>
          </w:tcPr>
          <w:p>
            <w:pPr>
              <w:jc w:val="center"/>
              <w:ind w:left="176"/>
              <w:spacing w:after="0" w:line="145" w:lineRule="exact"/>
              <w:rPr>
                <w:sz w:val="20"/>
                <w:szCs w:val="20"/>
                <w:color w:val="auto"/>
              </w:rPr>
            </w:pPr>
            <w:r>
              <w:rPr>
                <w:rFonts w:ascii="Calibri" w:cs="Calibri" w:eastAsia="Calibri" w:hAnsi="Calibri"/>
                <w:sz w:val="12"/>
                <w:szCs w:val="12"/>
                <w:color w:val="auto"/>
              </w:rPr>
              <w:t>22,798,584</w:t>
            </w:r>
          </w:p>
        </w:tc>
        <w:tc>
          <w:tcPr>
            <w:tcW w:w="184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23,784,246</w:t>
            </w:r>
          </w:p>
        </w:tc>
        <w:tc>
          <w:tcPr>
            <w:tcW w:w="800" w:type="dxa"/>
            <w:vAlign w:val="bottom"/>
            <w:tcBorders>
              <w:bottom w:val="single" w:sz="8" w:color="auto"/>
            </w:tcBorders>
          </w:tcPr>
          <w:p>
            <w:pPr>
              <w:jc w:val="center"/>
              <w:ind w:left="217"/>
              <w:spacing w:after="0" w:line="145" w:lineRule="exact"/>
              <w:rPr>
                <w:sz w:val="20"/>
                <w:szCs w:val="20"/>
                <w:color w:val="auto"/>
              </w:rPr>
            </w:pPr>
            <w:r>
              <w:rPr>
                <w:rFonts w:ascii="Calibri" w:cs="Calibri" w:eastAsia="Calibri" w:hAnsi="Calibri"/>
                <w:sz w:val="12"/>
                <w:szCs w:val="12"/>
                <w:color w:val="auto"/>
              </w:rPr>
              <w:t>4.3%</w:t>
            </w:r>
          </w:p>
        </w:tc>
        <w:tc>
          <w:tcPr>
            <w:tcW w:w="1440" w:type="dxa"/>
            <w:vAlign w:val="bottom"/>
            <w:tcBorders>
              <w:bottom w:val="single" w:sz="8" w:color="auto"/>
              <w:right w:val="single" w:sz="8" w:color="auto"/>
            </w:tcBorders>
          </w:tcPr>
          <w:p>
            <w:pPr>
              <w:jc w:val="center"/>
              <w:ind w:left="197"/>
              <w:spacing w:after="0" w:line="145" w:lineRule="exact"/>
              <w:rPr>
                <w:sz w:val="20"/>
                <w:szCs w:val="20"/>
                <w:color w:val="auto"/>
              </w:rPr>
            </w:pPr>
            <w:r>
              <w:rPr>
                <w:rFonts w:ascii="Calibri" w:cs="Calibri" w:eastAsia="Calibri" w:hAnsi="Calibri"/>
                <w:sz w:val="12"/>
                <w:szCs w:val="12"/>
                <w:color w:val="auto"/>
              </w:rPr>
              <w:t>15.3%</w:t>
            </w:r>
          </w:p>
        </w:tc>
      </w:tr>
      <w:tr>
        <w:trPr>
          <w:trHeight w:val="193"/>
        </w:trPr>
        <w:tc>
          <w:tcPr>
            <w:tcW w:w="3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36"/>
        </w:trPr>
        <w:tc>
          <w:tcPr>
            <w:tcW w:w="3860" w:type="dxa"/>
            <w:vAlign w:val="bottom"/>
            <w:tcBorders>
              <w:left w:val="single" w:sz="8" w:color="auto"/>
              <w:bottom w:val="single" w:sz="8" w:color="auto"/>
              <w:right w:val="single" w:sz="8" w:color="auto"/>
            </w:tcBorders>
          </w:tcPr>
          <w:p>
            <w:pPr>
              <w:ind w:left="20"/>
              <w:spacing w:after="0" w:line="136" w:lineRule="exact"/>
              <w:rPr>
                <w:sz w:val="20"/>
                <w:szCs w:val="20"/>
                <w:color w:val="auto"/>
              </w:rPr>
            </w:pPr>
            <w:r>
              <w:rPr>
                <w:rFonts w:ascii="Calibri" w:cs="Calibri" w:eastAsia="Calibri" w:hAnsi="Calibri"/>
                <w:sz w:val="12"/>
                <w:szCs w:val="12"/>
                <w:b w:val="1"/>
                <w:bCs w:val="1"/>
                <w:color w:val="auto"/>
              </w:rPr>
              <w:t>CET1 rato IFRS</w:t>
            </w:r>
          </w:p>
        </w:tc>
        <w:tc>
          <w:tcPr>
            <w:tcW w:w="1240" w:type="dxa"/>
            <w:vAlign w:val="bottom"/>
            <w:tcBorders>
              <w:bottom w:val="single" w:sz="8" w:color="auto"/>
            </w:tcBorders>
          </w:tcPr>
          <w:p>
            <w:pPr>
              <w:jc w:val="center"/>
              <w:ind w:left="137"/>
              <w:spacing w:after="0" w:line="136" w:lineRule="exact"/>
              <w:rPr>
                <w:sz w:val="20"/>
                <w:szCs w:val="20"/>
                <w:color w:val="auto"/>
              </w:rPr>
            </w:pPr>
            <w:r>
              <w:rPr>
                <w:rFonts w:ascii="Calibri" w:cs="Calibri" w:eastAsia="Calibri" w:hAnsi="Calibri"/>
                <w:sz w:val="12"/>
                <w:szCs w:val="12"/>
                <w:b w:val="1"/>
                <w:bCs w:val="1"/>
                <w:color w:val="auto"/>
                <w:w w:val="99"/>
              </w:rPr>
              <w:t>12.05%</w:t>
            </w:r>
          </w:p>
        </w:tc>
        <w:tc>
          <w:tcPr>
            <w:tcW w:w="2080" w:type="dxa"/>
            <w:vAlign w:val="bottom"/>
            <w:tcBorders>
              <w:bottom w:val="single" w:sz="8" w:color="auto"/>
            </w:tcBorders>
          </w:tcPr>
          <w:p>
            <w:pPr>
              <w:jc w:val="center"/>
              <w:ind w:left="176"/>
              <w:spacing w:after="0" w:line="136" w:lineRule="exact"/>
              <w:rPr>
                <w:sz w:val="20"/>
                <w:szCs w:val="20"/>
                <w:color w:val="auto"/>
              </w:rPr>
            </w:pPr>
            <w:r>
              <w:rPr>
                <w:rFonts w:ascii="Calibri" w:cs="Calibri" w:eastAsia="Calibri" w:hAnsi="Calibri"/>
                <w:sz w:val="12"/>
                <w:szCs w:val="12"/>
                <w:b w:val="1"/>
                <w:bCs w:val="1"/>
                <w:color w:val="auto"/>
                <w:w w:val="99"/>
              </w:rPr>
              <w:t>11.62%</w:t>
            </w:r>
          </w:p>
        </w:tc>
        <w:tc>
          <w:tcPr>
            <w:tcW w:w="1840" w:type="dxa"/>
            <w:vAlign w:val="bottom"/>
            <w:tcBorders>
              <w:bottom w:val="single" w:sz="8" w:color="auto"/>
              <w:right w:val="single" w:sz="8" w:color="auto"/>
            </w:tcBorders>
          </w:tcPr>
          <w:p>
            <w:pPr>
              <w:jc w:val="center"/>
              <w:spacing w:after="0" w:line="136" w:lineRule="exact"/>
              <w:rPr>
                <w:sz w:val="20"/>
                <w:szCs w:val="20"/>
                <w:color w:val="auto"/>
              </w:rPr>
            </w:pPr>
            <w:r>
              <w:rPr>
                <w:rFonts w:ascii="Calibri" w:cs="Calibri" w:eastAsia="Calibri" w:hAnsi="Calibri"/>
                <w:sz w:val="12"/>
                <w:szCs w:val="12"/>
                <w:b w:val="1"/>
                <w:bCs w:val="1"/>
                <w:color w:val="auto"/>
                <w:w w:val="99"/>
              </w:rPr>
              <w:t>12.56%</w:t>
            </w:r>
          </w:p>
        </w:tc>
        <w:tc>
          <w:tcPr>
            <w:tcW w:w="800" w:type="dxa"/>
            <w:vAlign w:val="bottom"/>
            <w:tcBorders>
              <w:bottom w:val="single" w:sz="8" w:color="auto"/>
            </w:tcBorders>
          </w:tcPr>
          <w:p>
            <w:pPr>
              <w:jc w:val="center"/>
              <w:ind w:left="237"/>
              <w:spacing w:after="0" w:line="136" w:lineRule="exact"/>
              <w:rPr>
                <w:sz w:val="20"/>
                <w:szCs w:val="20"/>
                <w:color w:val="auto"/>
              </w:rPr>
            </w:pPr>
            <w:r>
              <w:rPr>
                <w:rFonts w:ascii="Calibri" w:cs="Calibri" w:eastAsia="Calibri" w:hAnsi="Calibri"/>
                <w:sz w:val="12"/>
                <w:szCs w:val="12"/>
                <w:b w:val="1"/>
                <w:bCs w:val="1"/>
                <w:color w:val="auto"/>
              </w:rPr>
              <w:t>94 bps</w:t>
            </w:r>
          </w:p>
        </w:tc>
        <w:tc>
          <w:tcPr>
            <w:tcW w:w="1440" w:type="dxa"/>
            <w:vAlign w:val="bottom"/>
            <w:tcBorders>
              <w:bottom w:val="single" w:sz="8" w:color="auto"/>
              <w:right w:val="single" w:sz="8" w:color="auto"/>
            </w:tcBorders>
          </w:tcPr>
          <w:p>
            <w:pPr>
              <w:jc w:val="center"/>
              <w:ind w:left="197"/>
              <w:spacing w:after="0" w:line="136" w:lineRule="exact"/>
              <w:rPr>
                <w:sz w:val="20"/>
                <w:szCs w:val="20"/>
                <w:color w:val="auto"/>
              </w:rPr>
            </w:pPr>
            <w:r>
              <w:rPr>
                <w:rFonts w:ascii="Calibri" w:cs="Calibri" w:eastAsia="Calibri" w:hAnsi="Calibri"/>
                <w:sz w:val="12"/>
                <w:szCs w:val="12"/>
                <w:b w:val="1"/>
                <w:bCs w:val="1"/>
                <w:color w:val="auto"/>
              </w:rPr>
              <w:t>51 bps</w:t>
            </w:r>
          </w:p>
        </w:tc>
      </w:tr>
      <w:tr>
        <w:trPr>
          <w:trHeight w:val="373"/>
        </w:trPr>
        <w:tc>
          <w:tcPr>
            <w:tcW w:w="3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80" w:type="dxa"/>
            <w:vAlign w:val="bottom"/>
          </w:tcPr>
          <w:p>
            <w:pPr>
              <w:ind w:left="220"/>
              <w:spacing w:after="0"/>
              <w:rPr>
                <w:sz w:val="20"/>
                <w:szCs w:val="20"/>
                <w:color w:val="auto"/>
              </w:rPr>
            </w:pPr>
            <w:r>
              <w:rPr>
                <w:rFonts w:ascii="Calibri" w:cs="Calibri" w:eastAsia="Calibri" w:hAnsi="Calibri"/>
                <w:sz w:val="17"/>
                <w:szCs w:val="17"/>
                <w:b w:val="1"/>
                <w:bCs w:val="1"/>
                <w:color w:val="auto"/>
              </w:rPr>
              <w:t>Mibanco</w:t>
            </w: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8"/>
        </w:trPr>
        <w:tc>
          <w:tcPr>
            <w:tcW w:w="3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49"/>
        </w:trPr>
        <w:tc>
          <w:tcPr>
            <w:tcW w:w="3860" w:type="dxa"/>
            <w:vAlign w:val="bottom"/>
            <w:tcBorders>
              <w:left w:val="single" w:sz="8" w:color="33CCCC"/>
              <w:right w:val="single" w:sz="8" w:color="auto"/>
            </w:tcBorders>
            <w:shd w:val="clear" w:color="auto" w:fill="33CCCC"/>
          </w:tcPr>
          <w:p>
            <w:pPr>
              <w:ind w:left="20"/>
              <w:spacing w:after="0" w:line="149" w:lineRule="exact"/>
              <w:rPr>
                <w:sz w:val="20"/>
                <w:szCs w:val="20"/>
                <w:color w:val="auto"/>
              </w:rPr>
            </w:pPr>
            <w:r>
              <w:rPr>
                <w:rFonts w:ascii="Calibri" w:cs="Calibri" w:eastAsia="Calibri" w:hAnsi="Calibri"/>
                <w:sz w:val="13"/>
                <w:szCs w:val="13"/>
                <w:b w:val="1"/>
                <w:bCs w:val="1"/>
                <w:color w:val="FFFFFF"/>
              </w:rPr>
              <w:t>Common Equity Tier 1 IFRS</w:t>
            </w:r>
          </w:p>
        </w:tc>
        <w:tc>
          <w:tcPr>
            <w:tcW w:w="1240" w:type="dxa"/>
            <w:vAlign w:val="bottom"/>
            <w:shd w:val="clear" w:color="auto" w:fill="33CCCC"/>
          </w:tcPr>
          <w:p>
            <w:pPr>
              <w:spacing w:after="0"/>
              <w:rPr>
                <w:sz w:val="12"/>
                <w:szCs w:val="12"/>
                <w:color w:val="auto"/>
              </w:rPr>
            </w:pPr>
          </w:p>
        </w:tc>
        <w:tc>
          <w:tcPr>
            <w:tcW w:w="2080" w:type="dxa"/>
            <w:vAlign w:val="bottom"/>
            <w:shd w:val="clear" w:color="auto" w:fill="33CCCC"/>
          </w:tcPr>
          <w:p>
            <w:pPr>
              <w:jc w:val="center"/>
              <w:ind w:left="176"/>
              <w:spacing w:after="0" w:line="149" w:lineRule="exact"/>
              <w:rPr>
                <w:sz w:val="20"/>
                <w:szCs w:val="20"/>
                <w:color w:val="auto"/>
              </w:rPr>
            </w:pPr>
            <w:r>
              <w:rPr>
                <w:rFonts w:ascii="Calibri" w:cs="Calibri" w:eastAsia="Calibri" w:hAnsi="Calibri"/>
                <w:sz w:val="13"/>
                <w:szCs w:val="13"/>
                <w:b w:val="1"/>
                <w:bCs w:val="1"/>
                <w:color w:val="FFFFFF"/>
              </w:rPr>
              <w:t>As of</w:t>
            </w:r>
          </w:p>
        </w:tc>
        <w:tc>
          <w:tcPr>
            <w:tcW w:w="1840" w:type="dxa"/>
            <w:vAlign w:val="bottom"/>
            <w:tcBorders>
              <w:right w:val="single" w:sz="8" w:color="auto"/>
            </w:tcBorders>
            <w:shd w:val="clear" w:color="auto" w:fill="33CCCC"/>
          </w:tcPr>
          <w:p>
            <w:pPr>
              <w:spacing w:after="0"/>
              <w:rPr>
                <w:sz w:val="12"/>
                <w:szCs w:val="12"/>
                <w:color w:val="auto"/>
              </w:rPr>
            </w:pPr>
          </w:p>
        </w:tc>
        <w:tc>
          <w:tcPr>
            <w:tcW w:w="800" w:type="dxa"/>
            <w:vAlign w:val="bottom"/>
            <w:shd w:val="clear" w:color="auto" w:fill="33CCCC"/>
          </w:tcPr>
          <w:p>
            <w:pPr>
              <w:spacing w:after="0"/>
              <w:rPr>
                <w:sz w:val="12"/>
                <w:szCs w:val="12"/>
                <w:color w:val="auto"/>
              </w:rPr>
            </w:pPr>
          </w:p>
        </w:tc>
        <w:tc>
          <w:tcPr>
            <w:tcW w:w="1440" w:type="dxa"/>
            <w:vAlign w:val="bottom"/>
            <w:tcBorders>
              <w:right w:val="single" w:sz="8" w:color="auto"/>
            </w:tcBorders>
            <w:shd w:val="clear" w:color="auto" w:fill="33CCCC"/>
          </w:tcPr>
          <w:p>
            <w:pPr>
              <w:jc w:val="center"/>
              <w:ind w:right="777"/>
              <w:spacing w:after="0" w:line="149" w:lineRule="exact"/>
              <w:rPr>
                <w:sz w:val="20"/>
                <w:szCs w:val="20"/>
                <w:color w:val="auto"/>
              </w:rPr>
            </w:pPr>
            <w:r>
              <w:rPr>
                <w:rFonts w:ascii="Calibri" w:cs="Calibri" w:eastAsia="Calibri" w:hAnsi="Calibri"/>
                <w:sz w:val="13"/>
                <w:szCs w:val="13"/>
                <w:b w:val="1"/>
                <w:bCs w:val="1"/>
                <w:color w:val="FFFFFF"/>
                <w:w w:val="99"/>
              </w:rPr>
              <w:t>% Change</w:t>
            </w:r>
          </w:p>
        </w:tc>
      </w:tr>
      <w:tr>
        <w:trPr>
          <w:trHeight w:val="214"/>
        </w:trPr>
        <w:tc>
          <w:tcPr>
            <w:tcW w:w="3860" w:type="dxa"/>
            <w:vAlign w:val="bottom"/>
            <w:tcBorders>
              <w:left w:val="single" w:sz="8" w:color="33CCCC"/>
              <w:bottom w:val="single" w:sz="8" w:color="33CCCC"/>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color w:val="FFFFFF"/>
              </w:rPr>
              <w:t>(S/ thousand)</w:t>
            </w:r>
          </w:p>
        </w:tc>
        <w:tc>
          <w:tcPr>
            <w:tcW w:w="1240" w:type="dxa"/>
            <w:vAlign w:val="bottom"/>
            <w:tcBorders>
              <w:bottom w:val="single" w:sz="8" w:color="33CCCC"/>
            </w:tcBorders>
            <w:shd w:val="clear" w:color="auto" w:fill="33CCCC"/>
          </w:tcPr>
          <w:p>
            <w:pPr>
              <w:ind w:left="540"/>
              <w:spacing w:after="0"/>
              <w:rPr>
                <w:sz w:val="20"/>
                <w:szCs w:val="20"/>
                <w:color w:val="auto"/>
              </w:rPr>
            </w:pPr>
            <w:r>
              <w:rPr>
                <w:rFonts w:ascii="Calibri" w:cs="Calibri" w:eastAsia="Calibri" w:hAnsi="Calibri"/>
                <w:sz w:val="13"/>
                <w:szCs w:val="13"/>
                <w:b w:val="1"/>
                <w:bCs w:val="1"/>
                <w:color w:val="FFFFFF"/>
              </w:rPr>
              <w:t>Jun 24</w:t>
            </w:r>
          </w:p>
        </w:tc>
        <w:tc>
          <w:tcPr>
            <w:tcW w:w="2080" w:type="dxa"/>
            <w:vAlign w:val="bottom"/>
            <w:tcBorders>
              <w:bottom w:val="single" w:sz="8" w:color="33CCCC"/>
            </w:tcBorders>
            <w:shd w:val="clear" w:color="auto" w:fill="33CCCC"/>
          </w:tcPr>
          <w:p>
            <w:pPr>
              <w:jc w:val="center"/>
              <w:ind w:left="176"/>
              <w:spacing w:after="0"/>
              <w:rPr>
                <w:sz w:val="20"/>
                <w:szCs w:val="20"/>
                <w:color w:val="auto"/>
              </w:rPr>
            </w:pPr>
            <w:r>
              <w:rPr>
                <w:rFonts w:ascii="Calibri" w:cs="Calibri" w:eastAsia="Calibri" w:hAnsi="Calibri"/>
                <w:sz w:val="13"/>
                <w:szCs w:val="13"/>
                <w:b w:val="1"/>
                <w:bCs w:val="1"/>
                <w:color w:val="FFFFFF"/>
              </w:rPr>
              <w:t>Mar 25</w:t>
            </w:r>
          </w:p>
        </w:tc>
        <w:tc>
          <w:tcPr>
            <w:tcW w:w="1840" w:type="dxa"/>
            <w:vAlign w:val="bottom"/>
            <w:tcBorders>
              <w:bottom w:val="single" w:sz="8" w:color="33CCCC"/>
              <w:right w:val="single" w:sz="8" w:color="auto"/>
            </w:tcBorders>
            <w:shd w:val="clear" w:color="auto" w:fill="33CCCC"/>
          </w:tcPr>
          <w:p>
            <w:pPr>
              <w:ind w:left="760"/>
              <w:spacing w:after="0"/>
              <w:rPr>
                <w:sz w:val="20"/>
                <w:szCs w:val="20"/>
                <w:color w:val="auto"/>
              </w:rPr>
            </w:pPr>
            <w:r>
              <w:rPr>
                <w:rFonts w:ascii="Calibri" w:cs="Calibri" w:eastAsia="Calibri" w:hAnsi="Calibri"/>
                <w:sz w:val="13"/>
                <w:szCs w:val="13"/>
                <w:b w:val="1"/>
                <w:bCs w:val="1"/>
                <w:color w:val="FFFFFF"/>
              </w:rPr>
              <w:t>Jun 25</w:t>
            </w:r>
          </w:p>
        </w:tc>
        <w:tc>
          <w:tcPr>
            <w:tcW w:w="800" w:type="dxa"/>
            <w:vAlign w:val="bottom"/>
            <w:tcBorders>
              <w:bottom w:val="single" w:sz="8" w:color="33CCCC"/>
            </w:tcBorders>
            <w:shd w:val="clear" w:color="auto" w:fill="33CCCC"/>
          </w:tcPr>
          <w:p>
            <w:pPr>
              <w:jc w:val="center"/>
              <w:ind w:left="237"/>
              <w:spacing w:after="0"/>
              <w:rPr>
                <w:sz w:val="20"/>
                <w:szCs w:val="20"/>
                <w:color w:val="auto"/>
              </w:rPr>
            </w:pPr>
            <w:r>
              <w:rPr>
                <w:rFonts w:ascii="Calibri" w:cs="Calibri" w:eastAsia="Calibri" w:hAnsi="Calibri"/>
                <w:sz w:val="13"/>
                <w:szCs w:val="13"/>
                <w:b w:val="1"/>
                <w:bCs w:val="1"/>
                <w:color w:val="FFFFFF"/>
              </w:rPr>
              <w:t>QoQ</w:t>
            </w:r>
          </w:p>
        </w:tc>
        <w:tc>
          <w:tcPr>
            <w:tcW w:w="1440" w:type="dxa"/>
            <w:vAlign w:val="bottom"/>
            <w:tcBorders>
              <w:bottom w:val="single" w:sz="8" w:color="33CCCC"/>
              <w:right w:val="single" w:sz="8" w:color="auto"/>
            </w:tcBorders>
            <w:shd w:val="clear" w:color="auto" w:fill="33CCCC"/>
          </w:tcPr>
          <w:p>
            <w:pPr>
              <w:jc w:val="center"/>
              <w:ind w:left="197"/>
              <w:spacing w:after="0"/>
              <w:rPr>
                <w:sz w:val="20"/>
                <w:szCs w:val="20"/>
                <w:color w:val="auto"/>
              </w:rPr>
            </w:pPr>
            <w:r>
              <w:rPr>
                <w:rFonts w:ascii="Calibri" w:cs="Calibri" w:eastAsia="Calibri" w:hAnsi="Calibri"/>
                <w:sz w:val="13"/>
                <w:szCs w:val="13"/>
                <w:b w:val="1"/>
                <w:bCs w:val="1"/>
                <w:color w:val="FFFFFF"/>
                <w:w w:val="87"/>
              </w:rPr>
              <w:t>YoY</w:t>
            </w:r>
          </w:p>
        </w:tc>
      </w:tr>
      <w:tr>
        <w:trPr>
          <w:trHeight w:val="149"/>
        </w:trPr>
        <w:tc>
          <w:tcPr>
            <w:tcW w:w="3860" w:type="dxa"/>
            <w:vAlign w:val="bottom"/>
            <w:tcBorders>
              <w:top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Capital and reserves</w:t>
            </w:r>
          </w:p>
        </w:tc>
        <w:tc>
          <w:tcPr>
            <w:tcW w:w="1240" w:type="dxa"/>
            <w:vAlign w:val="bottom"/>
            <w:tcBorders>
              <w:top w:val="single" w:sz="8" w:color="auto"/>
            </w:tcBorders>
          </w:tcPr>
          <w:p>
            <w:pPr>
              <w:jc w:val="center"/>
              <w:ind w:left="137"/>
              <w:spacing w:after="0" w:line="149" w:lineRule="exact"/>
              <w:rPr>
                <w:sz w:val="20"/>
                <w:szCs w:val="20"/>
                <w:color w:val="auto"/>
              </w:rPr>
            </w:pPr>
            <w:r>
              <w:rPr>
                <w:rFonts w:ascii="Calibri" w:cs="Calibri" w:eastAsia="Calibri" w:hAnsi="Calibri"/>
                <w:sz w:val="13"/>
                <w:szCs w:val="13"/>
                <w:color w:val="auto"/>
                <w:w w:val="98"/>
              </w:rPr>
              <w:t>2,703,385</w:t>
            </w:r>
          </w:p>
        </w:tc>
        <w:tc>
          <w:tcPr>
            <w:tcW w:w="2080" w:type="dxa"/>
            <w:vAlign w:val="bottom"/>
            <w:tcBorders>
              <w:top w:val="single" w:sz="8" w:color="auto"/>
            </w:tcBorders>
          </w:tcPr>
          <w:p>
            <w:pPr>
              <w:jc w:val="center"/>
              <w:ind w:left="176"/>
              <w:spacing w:after="0" w:line="149" w:lineRule="exact"/>
              <w:rPr>
                <w:sz w:val="20"/>
                <w:szCs w:val="20"/>
                <w:color w:val="auto"/>
              </w:rPr>
            </w:pPr>
            <w:r>
              <w:rPr>
                <w:rFonts w:ascii="Calibri" w:cs="Calibri" w:eastAsia="Calibri" w:hAnsi="Calibri"/>
                <w:sz w:val="13"/>
                <w:szCs w:val="13"/>
                <w:color w:val="auto"/>
                <w:w w:val="98"/>
              </w:rPr>
              <w:t>2,734,582</w:t>
            </w:r>
          </w:p>
        </w:tc>
        <w:tc>
          <w:tcPr>
            <w:tcW w:w="1840" w:type="dxa"/>
            <w:vAlign w:val="bottom"/>
            <w:tcBorders>
              <w:top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2,734,582</w:t>
            </w:r>
          </w:p>
        </w:tc>
        <w:tc>
          <w:tcPr>
            <w:tcW w:w="800" w:type="dxa"/>
            <w:vAlign w:val="bottom"/>
            <w:tcBorders>
              <w:top w:val="single" w:sz="8" w:color="auto"/>
            </w:tcBorders>
          </w:tcPr>
          <w:p>
            <w:pPr>
              <w:jc w:val="center"/>
              <w:ind w:left="237"/>
              <w:spacing w:after="0" w:line="149" w:lineRule="exact"/>
              <w:rPr>
                <w:sz w:val="20"/>
                <w:szCs w:val="20"/>
                <w:color w:val="auto"/>
              </w:rPr>
            </w:pPr>
            <w:r>
              <w:rPr>
                <w:rFonts w:ascii="Calibri" w:cs="Calibri" w:eastAsia="Calibri" w:hAnsi="Calibri"/>
                <w:sz w:val="13"/>
                <w:szCs w:val="13"/>
                <w:color w:val="auto"/>
              </w:rPr>
              <w:t>0.0%</w:t>
            </w:r>
          </w:p>
        </w:tc>
        <w:tc>
          <w:tcPr>
            <w:tcW w:w="1440" w:type="dxa"/>
            <w:vAlign w:val="bottom"/>
            <w:tcBorders>
              <w:top w:val="single" w:sz="8" w:color="auto"/>
              <w:right w:val="single" w:sz="8" w:color="auto"/>
            </w:tcBorders>
          </w:tcPr>
          <w:p>
            <w:pPr>
              <w:jc w:val="center"/>
              <w:ind w:left="197"/>
              <w:spacing w:after="0" w:line="149" w:lineRule="exact"/>
              <w:rPr>
                <w:sz w:val="20"/>
                <w:szCs w:val="20"/>
                <w:color w:val="auto"/>
              </w:rPr>
            </w:pPr>
            <w:r>
              <w:rPr>
                <w:rFonts w:ascii="Calibri" w:cs="Calibri" w:eastAsia="Calibri" w:hAnsi="Calibri"/>
                <w:sz w:val="13"/>
                <w:szCs w:val="13"/>
                <w:color w:val="auto"/>
              </w:rPr>
              <w:t>1.2%</w:t>
            </w:r>
          </w:p>
        </w:tc>
      </w:tr>
      <w:tr>
        <w:trPr>
          <w:trHeight w:val="163"/>
        </w:trPr>
        <w:tc>
          <w:tcPr>
            <w:tcW w:w="3860" w:type="dxa"/>
            <w:vAlign w:val="bottom"/>
            <w:tcBorders>
              <w:right w:val="single" w:sz="8" w:color="auto"/>
            </w:tcBorders>
          </w:tcPr>
          <w:p>
            <w:pPr>
              <w:ind w:left="20"/>
              <w:spacing w:after="0"/>
              <w:rPr>
                <w:sz w:val="20"/>
                <w:szCs w:val="20"/>
                <w:color w:val="auto"/>
              </w:rPr>
            </w:pPr>
            <w:r>
              <w:rPr>
                <w:rFonts w:ascii="Calibri" w:cs="Calibri" w:eastAsia="Calibri" w:hAnsi="Calibri"/>
                <w:sz w:val="13"/>
                <w:szCs w:val="13"/>
                <w:color w:val="auto"/>
              </w:rPr>
              <w:t>Retained earnings</w:t>
            </w:r>
          </w:p>
        </w:tc>
        <w:tc>
          <w:tcPr>
            <w:tcW w:w="1240" w:type="dxa"/>
            <w:vAlign w:val="bottom"/>
          </w:tcPr>
          <w:p>
            <w:pPr>
              <w:jc w:val="center"/>
              <w:ind w:left="137"/>
              <w:spacing w:after="0"/>
              <w:rPr>
                <w:sz w:val="20"/>
                <w:szCs w:val="20"/>
                <w:color w:val="auto"/>
              </w:rPr>
            </w:pPr>
            <w:r>
              <w:rPr>
                <w:rFonts w:ascii="Calibri" w:cs="Calibri" w:eastAsia="Calibri" w:hAnsi="Calibri"/>
                <w:sz w:val="13"/>
                <w:szCs w:val="13"/>
                <w:color w:val="auto"/>
                <w:w w:val="99"/>
              </w:rPr>
              <w:t>(26,918)</w:t>
            </w:r>
          </w:p>
        </w:tc>
        <w:tc>
          <w:tcPr>
            <w:tcW w:w="2080" w:type="dxa"/>
            <w:vAlign w:val="bottom"/>
          </w:tcPr>
          <w:p>
            <w:pPr>
              <w:jc w:val="center"/>
              <w:ind w:left="176"/>
              <w:spacing w:after="0"/>
              <w:rPr>
                <w:sz w:val="20"/>
                <w:szCs w:val="20"/>
                <w:color w:val="auto"/>
              </w:rPr>
            </w:pPr>
            <w:r>
              <w:rPr>
                <w:rFonts w:ascii="Calibri" w:cs="Calibri" w:eastAsia="Calibri" w:hAnsi="Calibri"/>
                <w:sz w:val="13"/>
                <w:szCs w:val="13"/>
                <w:color w:val="auto"/>
              </w:rPr>
              <w:t>(247,483)</w:t>
            </w:r>
          </w:p>
        </w:tc>
        <w:tc>
          <w:tcPr>
            <w:tcW w:w="18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(202,552)</w:t>
            </w:r>
          </w:p>
        </w:tc>
        <w:tc>
          <w:tcPr>
            <w:tcW w:w="800" w:type="dxa"/>
            <w:vAlign w:val="bottom"/>
          </w:tcPr>
          <w:p>
            <w:pPr>
              <w:jc w:val="center"/>
              <w:ind w:left="217"/>
              <w:spacing w:after="0"/>
              <w:rPr>
                <w:sz w:val="20"/>
                <w:szCs w:val="20"/>
                <w:color w:val="auto"/>
              </w:rPr>
            </w:pPr>
            <w:r>
              <w:rPr>
                <w:rFonts w:ascii="Calibri" w:cs="Calibri" w:eastAsia="Calibri" w:hAnsi="Calibri"/>
                <w:sz w:val="13"/>
                <w:szCs w:val="13"/>
                <w:color w:val="auto"/>
                <w:w w:val="98"/>
              </w:rPr>
              <w:t>-18.2%</w:t>
            </w:r>
          </w:p>
        </w:tc>
        <w:tc>
          <w:tcPr>
            <w:tcW w:w="144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color w:val="auto"/>
                <w:w w:val="97"/>
              </w:rPr>
              <w:t>652.5%</w:t>
            </w:r>
          </w:p>
        </w:tc>
      </w:tr>
      <w:tr>
        <w:trPr>
          <w:trHeight w:val="169"/>
        </w:trPr>
        <w:tc>
          <w:tcPr>
            <w:tcW w:w="3860" w:type="dxa"/>
            <w:vAlign w:val="bottom"/>
            <w:tcBorders>
              <w:right w:val="single" w:sz="8" w:color="auto"/>
            </w:tcBorders>
          </w:tcPr>
          <w:p>
            <w:pPr>
              <w:ind w:left="20"/>
              <w:spacing w:after="0"/>
              <w:rPr>
                <w:sz w:val="20"/>
                <w:szCs w:val="20"/>
                <w:color w:val="auto"/>
              </w:rPr>
            </w:pPr>
            <w:r>
              <w:rPr>
                <w:rFonts w:ascii="Calibri" w:cs="Calibri" w:eastAsia="Calibri" w:hAnsi="Calibri"/>
                <w:sz w:val="13"/>
                <w:szCs w:val="13"/>
                <w:color w:val="auto"/>
              </w:rPr>
              <w:t>Unrealized gains (losses)</w:t>
            </w:r>
          </w:p>
        </w:tc>
        <w:tc>
          <w:tcPr>
            <w:tcW w:w="1240" w:type="dxa"/>
            <w:vAlign w:val="bottom"/>
          </w:tcPr>
          <w:p>
            <w:pPr>
              <w:jc w:val="center"/>
              <w:ind w:left="117"/>
              <w:spacing w:after="0"/>
              <w:rPr>
                <w:sz w:val="20"/>
                <w:szCs w:val="20"/>
                <w:color w:val="auto"/>
              </w:rPr>
            </w:pPr>
            <w:r>
              <w:rPr>
                <w:rFonts w:ascii="Calibri" w:cs="Calibri" w:eastAsia="Calibri" w:hAnsi="Calibri"/>
                <w:sz w:val="13"/>
                <w:szCs w:val="13"/>
                <w:color w:val="auto"/>
              </w:rPr>
              <w:t>(3,821)</w:t>
            </w:r>
          </w:p>
        </w:tc>
        <w:tc>
          <w:tcPr>
            <w:tcW w:w="2080" w:type="dxa"/>
            <w:vAlign w:val="bottom"/>
          </w:tcPr>
          <w:p>
            <w:pPr>
              <w:jc w:val="center"/>
              <w:ind w:left="176"/>
              <w:spacing w:after="0"/>
              <w:rPr>
                <w:sz w:val="20"/>
                <w:szCs w:val="20"/>
                <w:color w:val="auto"/>
              </w:rPr>
            </w:pPr>
            <w:r>
              <w:rPr>
                <w:rFonts w:ascii="Calibri" w:cs="Calibri" w:eastAsia="Calibri" w:hAnsi="Calibri"/>
                <w:sz w:val="13"/>
                <w:szCs w:val="13"/>
                <w:color w:val="auto"/>
                <w:w w:val="95"/>
              </w:rPr>
              <w:t>(4,257)</w:t>
            </w:r>
          </w:p>
        </w:tc>
        <w:tc>
          <w:tcPr>
            <w:tcW w:w="18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2,712</w:t>
            </w:r>
          </w:p>
        </w:tc>
        <w:tc>
          <w:tcPr>
            <w:tcW w:w="800" w:type="dxa"/>
            <w:vAlign w:val="bottom"/>
          </w:tcPr>
          <w:p>
            <w:pPr>
              <w:jc w:val="center"/>
              <w:ind w:left="237"/>
              <w:spacing w:after="0"/>
              <w:rPr>
                <w:sz w:val="20"/>
                <w:szCs w:val="20"/>
                <w:color w:val="auto"/>
              </w:rPr>
            </w:pPr>
            <w:r>
              <w:rPr>
                <w:rFonts w:ascii="Calibri" w:cs="Calibri" w:eastAsia="Calibri" w:hAnsi="Calibri"/>
                <w:sz w:val="13"/>
                <w:szCs w:val="13"/>
                <w:color w:val="auto"/>
                <w:w w:val="97"/>
              </w:rPr>
              <w:t>-163.7%</w:t>
            </w:r>
          </w:p>
        </w:tc>
        <w:tc>
          <w:tcPr>
            <w:tcW w:w="144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color w:val="auto"/>
                <w:w w:val="97"/>
              </w:rPr>
              <w:t>-171.0%</w:t>
            </w:r>
          </w:p>
        </w:tc>
      </w:tr>
      <w:tr>
        <w:trPr>
          <w:trHeight w:val="169"/>
        </w:trPr>
        <w:tc>
          <w:tcPr>
            <w:tcW w:w="3860" w:type="dxa"/>
            <w:vAlign w:val="bottom"/>
            <w:tcBorders>
              <w:right w:val="single" w:sz="8" w:color="auto"/>
            </w:tcBorders>
          </w:tcPr>
          <w:p>
            <w:pPr>
              <w:ind w:left="20"/>
              <w:spacing w:after="0"/>
              <w:rPr>
                <w:sz w:val="20"/>
                <w:szCs w:val="20"/>
                <w:color w:val="auto"/>
              </w:rPr>
            </w:pPr>
            <w:r>
              <w:rPr>
                <w:rFonts w:ascii="Calibri" w:cs="Calibri" w:eastAsia="Calibri" w:hAnsi="Calibri"/>
                <w:sz w:val="13"/>
                <w:szCs w:val="13"/>
                <w:color w:val="auto"/>
              </w:rPr>
              <w:t>Goodwill and intangibles</w:t>
            </w:r>
          </w:p>
        </w:tc>
        <w:tc>
          <w:tcPr>
            <w:tcW w:w="1240" w:type="dxa"/>
            <w:vAlign w:val="bottom"/>
          </w:tcPr>
          <w:p>
            <w:pPr>
              <w:jc w:val="center"/>
              <w:ind w:left="137"/>
              <w:spacing w:after="0"/>
              <w:rPr>
                <w:sz w:val="20"/>
                <w:szCs w:val="20"/>
                <w:color w:val="auto"/>
              </w:rPr>
            </w:pPr>
            <w:r>
              <w:rPr>
                <w:rFonts w:ascii="Calibri" w:cs="Calibri" w:eastAsia="Calibri" w:hAnsi="Calibri"/>
                <w:sz w:val="13"/>
                <w:szCs w:val="13"/>
                <w:color w:val="auto"/>
              </w:rPr>
              <w:t>(355,382)</w:t>
            </w:r>
          </w:p>
        </w:tc>
        <w:tc>
          <w:tcPr>
            <w:tcW w:w="2080" w:type="dxa"/>
            <w:vAlign w:val="bottom"/>
          </w:tcPr>
          <w:p>
            <w:pPr>
              <w:jc w:val="center"/>
              <w:ind w:left="176"/>
              <w:spacing w:after="0"/>
              <w:rPr>
                <w:sz w:val="20"/>
                <w:szCs w:val="20"/>
                <w:color w:val="auto"/>
              </w:rPr>
            </w:pPr>
            <w:r>
              <w:rPr>
                <w:rFonts w:ascii="Calibri" w:cs="Calibri" w:eastAsia="Calibri" w:hAnsi="Calibri"/>
                <w:sz w:val="13"/>
                <w:szCs w:val="13"/>
                <w:color w:val="auto"/>
              </w:rPr>
              <w:t>(292,948)</w:t>
            </w:r>
          </w:p>
        </w:tc>
        <w:tc>
          <w:tcPr>
            <w:tcW w:w="18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(296,719)</w:t>
            </w:r>
          </w:p>
        </w:tc>
        <w:tc>
          <w:tcPr>
            <w:tcW w:w="800" w:type="dxa"/>
            <w:vAlign w:val="bottom"/>
          </w:tcPr>
          <w:p>
            <w:pPr>
              <w:jc w:val="center"/>
              <w:ind w:left="237"/>
              <w:spacing w:after="0"/>
              <w:rPr>
                <w:sz w:val="20"/>
                <w:szCs w:val="20"/>
                <w:color w:val="auto"/>
              </w:rPr>
            </w:pPr>
            <w:r>
              <w:rPr>
                <w:rFonts w:ascii="Calibri" w:cs="Calibri" w:eastAsia="Calibri" w:hAnsi="Calibri"/>
                <w:sz w:val="13"/>
                <w:szCs w:val="13"/>
                <w:color w:val="auto"/>
              </w:rPr>
              <w:t>1.3%</w:t>
            </w:r>
          </w:p>
        </w:tc>
        <w:tc>
          <w:tcPr>
            <w:tcW w:w="144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color w:val="auto"/>
              </w:rPr>
              <w:t>-16.5%</w:t>
            </w:r>
          </w:p>
        </w:tc>
      </w:tr>
      <w:tr>
        <w:trPr>
          <w:trHeight w:val="169"/>
        </w:trPr>
        <w:tc>
          <w:tcPr>
            <w:tcW w:w="3860" w:type="dxa"/>
            <w:vAlign w:val="bottom"/>
            <w:tcBorders>
              <w:right w:val="single" w:sz="8" w:color="auto"/>
            </w:tcBorders>
          </w:tcPr>
          <w:p>
            <w:pPr>
              <w:ind w:left="20"/>
              <w:spacing w:after="0"/>
              <w:rPr>
                <w:sz w:val="20"/>
                <w:szCs w:val="20"/>
                <w:color w:val="auto"/>
              </w:rPr>
            </w:pPr>
            <w:r>
              <w:rPr>
                <w:rFonts w:ascii="Calibri" w:cs="Calibri" w:eastAsia="Calibri" w:hAnsi="Calibri"/>
                <w:sz w:val="13"/>
                <w:szCs w:val="13"/>
                <w:color w:val="auto"/>
              </w:rPr>
              <w:t>Investments in subsidiaries</w:t>
            </w:r>
          </w:p>
        </w:tc>
        <w:tc>
          <w:tcPr>
            <w:tcW w:w="1240" w:type="dxa"/>
            <w:vAlign w:val="bottom"/>
          </w:tcPr>
          <w:p>
            <w:pPr>
              <w:jc w:val="center"/>
              <w:ind w:left="137"/>
              <w:spacing w:after="0"/>
              <w:rPr>
                <w:sz w:val="20"/>
                <w:szCs w:val="20"/>
                <w:color w:val="auto"/>
              </w:rPr>
            </w:pPr>
            <w:r>
              <w:rPr>
                <w:rFonts w:ascii="Calibri" w:cs="Calibri" w:eastAsia="Calibri" w:hAnsi="Calibri"/>
                <w:sz w:val="13"/>
                <w:szCs w:val="13"/>
                <w:color w:val="auto"/>
              </w:rPr>
              <w:t>(281)</w:t>
            </w:r>
          </w:p>
        </w:tc>
        <w:tc>
          <w:tcPr>
            <w:tcW w:w="2080" w:type="dxa"/>
            <w:vAlign w:val="bottom"/>
          </w:tcPr>
          <w:p>
            <w:pPr>
              <w:jc w:val="center"/>
              <w:ind w:left="176"/>
              <w:spacing w:after="0"/>
              <w:rPr>
                <w:sz w:val="20"/>
                <w:szCs w:val="20"/>
                <w:color w:val="auto"/>
              </w:rPr>
            </w:pPr>
            <w:r>
              <w:rPr>
                <w:rFonts w:ascii="Calibri" w:cs="Calibri" w:eastAsia="Calibri" w:hAnsi="Calibri"/>
                <w:sz w:val="13"/>
                <w:szCs w:val="13"/>
                <w:color w:val="auto"/>
              </w:rPr>
              <w:t>(299)</w:t>
            </w:r>
          </w:p>
        </w:tc>
        <w:tc>
          <w:tcPr>
            <w:tcW w:w="18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(152)</w:t>
            </w:r>
          </w:p>
        </w:tc>
        <w:tc>
          <w:tcPr>
            <w:tcW w:w="800" w:type="dxa"/>
            <w:vAlign w:val="bottom"/>
          </w:tcPr>
          <w:p>
            <w:pPr>
              <w:jc w:val="center"/>
              <w:ind w:left="217"/>
              <w:spacing w:after="0"/>
              <w:rPr>
                <w:sz w:val="20"/>
                <w:szCs w:val="20"/>
                <w:color w:val="auto"/>
              </w:rPr>
            </w:pPr>
            <w:r>
              <w:rPr>
                <w:rFonts w:ascii="Calibri" w:cs="Calibri" w:eastAsia="Calibri" w:hAnsi="Calibri"/>
                <w:sz w:val="13"/>
                <w:szCs w:val="13"/>
                <w:color w:val="auto"/>
                <w:w w:val="98"/>
              </w:rPr>
              <w:t>-49.1%</w:t>
            </w:r>
          </w:p>
        </w:tc>
        <w:tc>
          <w:tcPr>
            <w:tcW w:w="144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color w:val="auto"/>
              </w:rPr>
              <w:t>-45.8%</w:t>
            </w:r>
          </w:p>
        </w:tc>
      </w:tr>
      <w:tr>
        <w:trPr>
          <w:trHeight w:val="169"/>
        </w:trPr>
        <w:tc>
          <w:tcPr>
            <w:tcW w:w="3860" w:type="dxa"/>
            <w:vAlign w:val="bottom"/>
            <w:tcBorders>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w:t>
            </w:r>
          </w:p>
        </w:tc>
        <w:tc>
          <w:tcPr>
            <w:tcW w:w="1240" w:type="dxa"/>
            <w:vAlign w:val="bottom"/>
          </w:tcPr>
          <w:p>
            <w:pPr>
              <w:jc w:val="center"/>
              <w:ind w:left="137"/>
              <w:spacing w:after="0"/>
              <w:rPr>
                <w:sz w:val="20"/>
                <w:szCs w:val="20"/>
                <w:color w:val="auto"/>
              </w:rPr>
            </w:pPr>
            <w:r>
              <w:rPr>
                <w:rFonts w:ascii="Calibri" w:cs="Calibri" w:eastAsia="Calibri" w:hAnsi="Calibri"/>
                <w:sz w:val="13"/>
                <w:szCs w:val="13"/>
                <w:b w:val="1"/>
                <w:bCs w:val="1"/>
                <w:color w:val="auto"/>
                <w:w w:val="98"/>
              </w:rPr>
              <w:t>2,316,984</w:t>
            </w:r>
          </w:p>
        </w:tc>
        <w:tc>
          <w:tcPr>
            <w:tcW w:w="2080" w:type="dxa"/>
            <w:vAlign w:val="bottom"/>
          </w:tcPr>
          <w:p>
            <w:pPr>
              <w:jc w:val="center"/>
              <w:ind w:left="176"/>
              <w:spacing w:after="0"/>
              <w:rPr>
                <w:sz w:val="20"/>
                <w:szCs w:val="20"/>
                <w:color w:val="auto"/>
              </w:rPr>
            </w:pPr>
            <w:r>
              <w:rPr>
                <w:rFonts w:ascii="Calibri" w:cs="Calibri" w:eastAsia="Calibri" w:hAnsi="Calibri"/>
                <w:sz w:val="13"/>
                <w:szCs w:val="13"/>
                <w:b w:val="1"/>
                <w:bCs w:val="1"/>
                <w:color w:val="auto"/>
                <w:w w:val="98"/>
              </w:rPr>
              <w:t>2,189,595</w:t>
            </w:r>
          </w:p>
        </w:tc>
        <w:tc>
          <w:tcPr>
            <w:tcW w:w="18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8"/>
              </w:rPr>
              <w:t>2,237,872</w:t>
            </w:r>
          </w:p>
        </w:tc>
        <w:tc>
          <w:tcPr>
            <w:tcW w:w="800" w:type="dxa"/>
            <w:vAlign w:val="bottom"/>
          </w:tcPr>
          <w:p>
            <w:pPr>
              <w:jc w:val="center"/>
              <w:ind w:left="237"/>
              <w:spacing w:after="0"/>
              <w:rPr>
                <w:sz w:val="20"/>
                <w:szCs w:val="20"/>
                <w:color w:val="auto"/>
              </w:rPr>
            </w:pPr>
            <w:r>
              <w:rPr>
                <w:rFonts w:ascii="Calibri" w:cs="Calibri" w:eastAsia="Calibri" w:hAnsi="Calibri"/>
                <w:sz w:val="13"/>
                <w:szCs w:val="13"/>
                <w:b w:val="1"/>
                <w:bCs w:val="1"/>
                <w:color w:val="auto"/>
                <w:w w:val="99"/>
              </w:rPr>
              <w:t>2.2%</w:t>
            </w:r>
          </w:p>
        </w:tc>
        <w:tc>
          <w:tcPr>
            <w:tcW w:w="144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b w:val="1"/>
                <w:bCs w:val="1"/>
                <w:color w:val="auto"/>
                <w:w w:val="99"/>
              </w:rPr>
              <w:t>-3.4%</w:t>
            </w:r>
          </w:p>
        </w:tc>
      </w:tr>
      <w:tr>
        <w:trPr>
          <w:trHeight w:val="20"/>
        </w:trPr>
        <w:tc>
          <w:tcPr>
            <w:tcW w:w="38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55"/>
        </w:trPr>
        <w:tc>
          <w:tcPr>
            <w:tcW w:w="3860" w:type="dxa"/>
            <w:vAlign w:val="bottom"/>
            <w:tcBorders>
              <w:bottom w:val="single" w:sz="8" w:color="auto"/>
              <w:right w:val="single" w:sz="8" w:color="auto"/>
            </w:tcBorders>
          </w:tcPr>
          <w:p>
            <w:pPr>
              <w:ind w:left="20"/>
              <w:spacing w:after="0" w:line="155" w:lineRule="exact"/>
              <w:rPr>
                <w:sz w:val="20"/>
                <w:szCs w:val="20"/>
                <w:color w:val="auto"/>
              </w:rPr>
            </w:pPr>
            <w:r>
              <w:rPr>
                <w:rFonts w:ascii="Calibri" w:cs="Calibri" w:eastAsia="Calibri" w:hAnsi="Calibri"/>
                <w:sz w:val="13"/>
                <w:szCs w:val="13"/>
                <w:b w:val="1"/>
                <w:bCs w:val="1"/>
                <w:color w:val="auto"/>
              </w:rPr>
              <w:t>Adjusted RWAs IFRS</w:t>
            </w:r>
          </w:p>
        </w:tc>
        <w:tc>
          <w:tcPr>
            <w:tcW w:w="1240" w:type="dxa"/>
            <w:vAlign w:val="bottom"/>
            <w:tcBorders>
              <w:bottom w:val="single" w:sz="8" w:color="auto"/>
            </w:tcBorders>
          </w:tcPr>
          <w:p>
            <w:pPr>
              <w:jc w:val="center"/>
              <w:ind w:left="137"/>
              <w:spacing w:after="0" w:line="155" w:lineRule="exact"/>
              <w:rPr>
                <w:sz w:val="20"/>
                <w:szCs w:val="20"/>
                <w:color w:val="auto"/>
              </w:rPr>
            </w:pPr>
            <w:r>
              <w:rPr>
                <w:rFonts w:ascii="Calibri" w:cs="Calibri" w:eastAsia="Calibri" w:hAnsi="Calibri"/>
                <w:sz w:val="13"/>
                <w:szCs w:val="13"/>
                <w:b w:val="1"/>
                <w:bCs w:val="1"/>
                <w:color w:val="auto"/>
              </w:rPr>
              <w:t>13,852,449</w:t>
            </w:r>
          </w:p>
        </w:tc>
        <w:tc>
          <w:tcPr>
            <w:tcW w:w="2080" w:type="dxa"/>
            <w:vAlign w:val="bottom"/>
            <w:tcBorders>
              <w:bottom w:val="single" w:sz="8" w:color="auto"/>
            </w:tcBorders>
          </w:tcPr>
          <w:p>
            <w:pPr>
              <w:jc w:val="center"/>
              <w:ind w:left="176"/>
              <w:spacing w:after="0" w:line="155" w:lineRule="exact"/>
              <w:rPr>
                <w:sz w:val="20"/>
                <w:szCs w:val="20"/>
                <w:color w:val="auto"/>
              </w:rPr>
            </w:pPr>
            <w:r>
              <w:rPr>
                <w:rFonts w:ascii="Calibri" w:cs="Calibri" w:eastAsia="Calibri" w:hAnsi="Calibri"/>
                <w:sz w:val="13"/>
                <w:szCs w:val="13"/>
                <w:b w:val="1"/>
                <w:bCs w:val="1"/>
                <w:color w:val="auto"/>
              </w:rPr>
              <w:t>13,782,186</w:t>
            </w:r>
          </w:p>
        </w:tc>
        <w:tc>
          <w:tcPr>
            <w:tcW w:w="1840" w:type="dxa"/>
            <w:vAlign w:val="bottom"/>
            <w:tcBorders>
              <w:bottom w:val="single" w:sz="8" w:color="auto"/>
              <w:right w:val="single" w:sz="8" w:color="auto"/>
            </w:tcBorders>
          </w:tcPr>
          <w:p>
            <w:pPr>
              <w:jc w:val="center"/>
              <w:spacing w:after="0" w:line="155" w:lineRule="exact"/>
              <w:rPr>
                <w:sz w:val="20"/>
                <w:szCs w:val="20"/>
                <w:color w:val="auto"/>
              </w:rPr>
            </w:pPr>
            <w:r>
              <w:rPr>
                <w:rFonts w:ascii="Calibri" w:cs="Calibri" w:eastAsia="Calibri" w:hAnsi="Calibri"/>
                <w:sz w:val="13"/>
                <w:szCs w:val="13"/>
                <w:b w:val="1"/>
                <w:bCs w:val="1"/>
                <w:color w:val="auto"/>
              </w:rPr>
              <w:t>13,378,616</w:t>
            </w:r>
          </w:p>
        </w:tc>
        <w:tc>
          <w:tcPr>
            <w:tcW w:w="800" w:type="dxa"/>
            <w:vAlign w:val="bottom"/>
            <w:tcBorders>
              <w:bottom w:val="single" w:sz="8" w:color="auto"/>
            </w:tcBorders>
          </w:tcPr>
          <w:p>
            <w:pPr>
              <w:jc w:val="center"/>
              <w:ind w:left="237"/>
              <w:spacing w:after="0" w:line="155" w:lineRule="exact"/>
              <w:rPr>
                <w:sz w:val="20"/>
                <w:szCs w:val="20"/>
                <w:color w:val="auto"/>
              </w:rPr>
            </w:pPr>
            <w:r>
              <w:rPr>
                <w:rFonts w:ascii="Calibri" w:cs="Calibri" w:eastAsia="Calibri" w:hAnsi="Calibri"/>
                <w:sz w:val="13"/>
                <w:szCs w:val="13"/>
                <w:b w:val="1"/>
                <w:bCs w:val="1"/>
                <w:color w:val="auto"/>
                <w:w w:val="99"/>
              </w:rPr>
              <w:t>-2.9%</w:t>
            </w:r>
          </w:p>
        </w:tc>
        <w:tc>
          <w:tcPr>
            <w:tcW w:w="1440" w:type="dxa"/>
            <w:vAlign w:val="bottom"/>
            <w:tcBorders>
              <w:bottom w:val="single" w:sz="8" w:color="auto"/>
              <w:right w:val="single" w:sz="8" w:color="auto"/>
            </w:tcBorders>
          </w:tcPr>
          <w:p>
            <w:pPr>
              <w:jc w:val="center"/>
              <w:ind w:left="197"/>
              <w:spacing w:after="0" w:line="155" w:lineRule="exact"/>
              <w:rPr>
                <w:sz w:val="20"/>
                <w:szCs w:val="20"/>
                <w:color w:val="auto"/>
              </w:rPr>
            </w:pPr>
            <w:r>
              <w:rPr>
                <w:rFonts w:ascii="Calibri" w:cs="Calibri" w:eastAsia="Calibri" w:hAnsi="Calibri"/>
                <w:sz w:val="13"/>
                <w:szCs w:val="13"/>
                <w:b w:val="1"/>
                <w:bCs w:val="1"/>
                <w:color w:val="auto"/>
                <w:w w:val="99"/>
              </w:rPr>
              <w:t>-3.4%</w:t>
            </w:r>
          </w:p>
        </w:tc>
      </w:tr>
      <w:tr>
        <w:trPr>
          <w:trHeight w:val="155"/>
        </w:trPr>
        <w:tc>
          <w:tcPr>
            <w:tcW w:w="3860" w:type="dxa"/>
            <w:vAlign w:val="bottom"/>
            <w:tcBorders>
              <w:right w:val="single" w:sz="8" w:color="auto"/>
            </w:tcBorders>
          </w:tcPr>
          <w:p>
            <w:pPr>
              <w:ind w:left="20"/>
              <w:spacing w:after="0" w:line="155" w:lineRule="exact"/>
              <w:rPr>
                <w:sz w:val="20"/>
                <w:szCs w:val="20"/>
                <w:color w:val="auto"/>
              </w:rPr>
            </w:pPr>
            <w:r>
              <w:rPr>
                <w:rFonts w:ascii="Calibri" w:cs="Calibri" w:eastAsia="Calibri" w:hAnsi="Calibri"/>
                <w:sz w:val="13"/>
                <w:szCs w:val="13"/>
                <w:color w:val="auto"/>
              </w:rPr>
              <w:t>Adjusted Credit RWAs IFRS</w:t>
            </w:r>
          </w:p>
        </w:tc>
        <w:tc>
          <w:tcPr>
            <w:tcW w:w="1240" w:type="dxa"/>
            <w:vAlign w:val="bottom"/>
          </w:tcPr>
          <w:p>
            <w:pPr>
              <w:jc w:val="center"/>
              <w:ind w:left="137"/>
              <w:spacing w:after="0" w:line="155" w:lineRule="exact"/>
              <w:rPr>
                <w:sz w:val="20"/>
                <w:szCs w:val="20"/>
                <w:color w:val="auto"/>
              </w:rPr>
            </w:pPr>
            <w:r>
              <w:rPr>
                <w:rFonts w:ascii="Calibri" w:cs="Calibri" w:eastAsia="Calibri" w:hAnsi="Calibri"/>
                <w:sz w:val="13"/>
                <w:szCs w:val="13"/>
                <w:color w:val="auto"/>
              </w:rPr>
              <w:t>12,013,076</w:t>
            </w:r>
          </w:p>
        </w:tc>
        <w:tc>
          <w:tcPr>
            <w:tcW w:w="2080" w:type="dxa"/>
            <w:vAlign w:val="bottom"/>
          </w:tcPr>
          <w:p>
            <w:pPr>
              <w:jc w:val="center"/>
              <w:ind w:left="176"/>
              <w:spacing w:after="0" w:line="155" w:lineRule="exact"/>
              <w:rPr>
                <w:sz w:val="20"/>
                <w:szCs w:val="20"/>
                <w:color w:val="auto"/>
              </w:rPr>
            </w:pPr>
            <w:r>
              <w:rPr>
                <w:rFonts w:ascii="Calibri" w:cs="Calibri" w:eastAsia="Calibri" w:hAnsi="Calibri"/>
                <w:sz w:val="13"/>
                <w:szCs w:val="13"/>
                <w:color w:val="auto"/>
              </w:rPr>
              <w:t>11,933,425</w:t>
            </w:r>
          </w:p>
        </w:tc>
        <w:tc>
          <w:tcPr>
            <w:tcW w:w="1840" w:type="dxa"/>
            <w:vAlign w:val="bottom"/>
            <w:tcBorders>
              <w:right w:val="single" w:sz="8" w:color="auto"/>
            </w:tcBorders>
          </w:tcPr>
          <w:p>
            <w:pPr>
              <w:jc w:val="center"/>
              <w:spacing w:after="0" w:line="155" w:lineRule="exact"/>
              <w:rPr>
                <w:sz w:val="20"/>
                <w:szCs w:val="20"/>
                <w:color w:val="auto"/>
              </w:rPr>
            </w:pPr>
            <w:r>
              <w:rPr>
                <w:rFonts w:ascii="Calibri" w:cs="Calibri" w:eastAsia="Calibri" w:hAnsi="Calibri"/>
                <w:sz w:val="13"/>
                <w:szCs w:val="13"/>
                <w:color w:val="auto"/>
              </w:rPr>
              <w:t>12,264,985</w:t>
            </w:r>
          </w:p>
        </w:tc>
        <w:tc>
          <w:tcPr>
            <w:tcW w:w="800" w:type="dxa"/>
            <w:vAlign w:val="bottom"/>
          </w:tcPr>
          <w:p>
            <w:pPr>
              <w:jc w:val="center"/>
              <w:ind w:left="237"/>
              <w:spacing w:after="0" w:line="155" w:lineRule="exact"/>
              <w:rPr>
                <w:sz w:val="20"/>
                <w:szCs w:val="20"/>
                <w:color w:val="auto"/>
              </w:rPr>
            </w:pPr>
            <w:r>
              <w:rPr>
                <w:rFonts w:ascii="Calibri" w:cs="Calibri" w:eastAsia="Calibri" w:hAnsi="Calibri"/>
                <w:sz w:val="13"/>
                <w:szCs w:val="13"/>
                <w:color w:val="auto"/>
              </w:rPr>
              <w:t>2.8%</w:t>
            </w:r>
          </w:p>
        </w:tc>
        <w:tc>
          <w:tcPr>
            <w:tcW w:w="1440" w:type="dxa"/>
            <w:vAlign w:val="bottom"/>
            <w:tcBorders>
              <w:right w:val="single" w:sz="8" w:color="auto"/>
            </w:tcBorders>
          </w:tcPr>
          <w:p>
            <w:pPr>
              <w:jc w:val="center"/>
              <w:ind w:left="197"/>
              <w:spacing w:after="0" w:line="155" w:lineRule="exact"/>
              <w:rPr>
                <w:sz w:val="20"/>
                <w:szCs w:val="20"/>
                <w:color w:val="auto"/>
              </w:rPr>
            </w:pPr>
            <w:r>
              <w:rPr>
                <w:rFonts w:ascii="Calibri" w:cs="Calibri" w:eastAsia="Calibri" w:hAnsi="Calibri"/>
                <w:sz w:val="13"/>
                <w:szCs w:val="13"/>
                <w:color w:val="auto"/>
              </w:rPr>
              <w:t>2.1%</w:t>
            </w:r>
          </w:p>
        </w:tc>
      </w:tr>
      <w:tr>
        <w:trPr>
          <w:trHeight w:val="176"/>
        </w:trPr>
        <w:tc>
          <w:tcPr>
            <w:tcW w:w="3860" w:type="dxa"/>
            <w:vAlign w:val="bottom"/>
            <w:tcBorders>
              <w:right w:val="single" w:sz="8" w:color="auto"/>
            </w:tcBorders>
          </w:tcPr>
          <w:p>
            <w:pPr>
              <w:ind w:left="20"/>
              <w:spacing w:after="0"/>
              <w:rPr>
                <w:sz w:val="20"/>
                <w:szCs w:val="20"/>
                <w:color w:val="auto"/>
              </w:rPr>
            </w:pPr>
            <w:r>
              <w:rPr>
                <w:rFonts w:ascii="Calibri" w:cs="Calibri" w:eastAsia="Calibri" w:hAnsi="Calibri"/>
                <w:sz w:val="13"/>
                <w:szCs w:val="13"/>
                <w:color w:val="auto"/>
              </w:rPr>
              <w:t>Others</w:t>
            </w:r>
          </w:p>
        </w:tc>
        <w:tc>
          <w:tcPr>
            <w:tcW w:w="1240" w:type="dxa"/>
            <w:vAlign w:val="bottom"/>
          </w:tcPr>
          <w:p>
            <w:pPr>
              <w:jc w:val="center"/>
              <w:ind w:left="137"/>
              <w:spacing w:after="0"/>
              <w:rPr>
                <w:sz w:val="20"/>
                <w:szCs w:val="20"/>
                <w:color w:val="auto"/>
              </w:rPr>
            </w:pPr>
            <w:r>
              <w:rPr>
                <w:rFonts w:ascii="Calibri" w:cs="Calibri" w:eastAsia="Calibri" w:hAnsi="Calibri"/>
                <w:sz w:val="13"/>
                <w:szCs w:val="13"/>
                <w:color w:val="auto"/>
                <w:w w:val="98"/>
              </w:rPr>
              <w:t>1,839,373</w:t>
            </w:r>
          </w:p>
        </w:tc>
        <w:tc>
          <w:tcPr>
            <w:tcW w:w="2080" w:type="dxa"/>
            <w:vAlign w:val="bottom"/>
          </w:tcPr>
          <w:p>
            <w:pPr>
              <w:jc w:val="center"/>
              <w:ind w:left="176"/>
              <w:spacing w:after="0"/>
              <w:rPr>
                <w:sz w:val="20"/>
                <w:szCs w:val="20"/>
                <w:color w:val="auto"/>
              </w:rPr>
            </w:pPr>
            <w:r>
              <w:rPr>
                <w:rFonts w:ascii="Calibri" w:cs="Calibri" w:eastAsia="Calibri" w:hAnsi="Calibri"/>
                <w:sz w:val="13"/>
                <w:szCs w:val="13"/>
                <w:color w:val="auto"/>
                <w:w w:val="98"/>
              </w:rPr>
              <w:t>1,848,760</w:t>
            </w:r>
          </w:p>
        </w:tc>
        <w:tc>
          <w:tcPr>
            <w:tcW w:w="18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1,113,630</w:t>
            </w:r>
          </w:p>
        </w:tc>
        <w:tc>
          <w:tcPr>
            <w:tcW w:w="800" w:type="dxa"/>
            <w:vAlign w:val="bottom"/>
          </w:tcPr>
          <w:p>
            <w:pPr>
              <w:jc w:val="center"/>
              <w:ind w:left="217"/>
              <w:spacing w:after="0"/>
              <w:rPr>
                <w:sz w:val="20"/>
                <w:szCs w:val="20"/>
                <w:color w:val="auto"/>
              </w:rPr>
            </w:pPr>
            <w:r>
              <w:rPr>
                <w:rFonts w:ascii="Calibri" w:cs="Calibri" w:eastAsia="Calibri" w:hAnsi="Calibri"/>
                <w:sz w:val="13"/>
                <w:szCs w:val="13"/>
                <w:color w:val="auto"/>
                <w:w w:val="98"/>
              </w:rPr>
              <w:t>-39.8%</w:t>
            </w:r>
          </w:p>
        </w:tc>
        <w:tc>
          <w:tcPr>
            <w:tcW w:w="144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color w:val="auto"/>
              </w:rPr>
              <w:t>-39.5%</w:t>
            </w:r>
          </w:p>
        </w:tc>
      </w:tr>
      <w:tr>
        <w:trPr>
          <w:trHeight w:val="20"/>
        </w:trPr>
        <w:tc>
          <w:tcPr>
            <w:tcW w:w="38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55"/>
        </w:trPr>
        <w:tc>
          <w:tcPr>
            <w:tcW w:w="386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Calibri" w:cs="Calibri" w:eastAsia="Calibri" w:hAnsi="Calibri"/>
                <w:sz w:val="13"/>
                <w:szCs w:val="13"/>
                <w:b w:val="1"/>
                <w:bCs w:val="1"/>
                <w:color w:val="auto"/>
              </w:rPr>
              <w:t>CET1 rato IFRS</w:t>
            </w:r>
          </w:p>
        </w:tc>
        <w:tc>
          <w:tcPr>
            <w:tcW w:w="1240" w:type="dxa"/>
            <w:vAlign w:val="bottom"/>
            <w:tcBorders>
              <w:bottom w:val="single" w:sz="8" w:color="auto"/>
            </w:tcBorders>
          </w:tcPr>
          <w:p>
            <w:pPr>
              <w:jc w:val="center"/>
              <w:ind w:left="137"/>
              <w:spacing w:after="0" w:line="155" w:lineRule="exact"/>
              <w:rPr>
                <w:sz w:val="20"/>
                <w:szCs w:val="20"/>
                <w:color w:val="auto"/>
              </w:rPr>
            </w:pPr>
            <w:r>
              <w:rPr>
                <w:rFonts w:ascii="Calibri" w:cs="Calibri" w:eastAsia="Calibri" w:hAnsi="Calibri"/>
                <w:sz w:val="13"/>
                <w:szCs w:val="13"/>
                <w:b w:val="1"/>
                <w:bCs w:val="1"/>
                <w:color w:val="auto"/>
              </w:rPr>
              <w:t>16.73%</w:t>
            </w:r>
          </w:p>
        </w:tc>
        <w:tc>
          <w:tcPr>
            <w:tcW w:w="2080" w:type="dxa"/>
            <w:vAlign w:val="bottom"/>
            <w:tcBorders>
              <w:bottom w:val="single" w:sz="8" w:color="auto"/>
            </w:tcBorders>
          </w:tcPr>
          <w:p>
            <w:pPr>
              <w:jc w:val="center"/>
              <w:ind w:left="176"/>
              <w:spacing w:after="0" w:line="155" w:lineRule="exact"/>
              <w:rPr>
                <w:sz w:val="20"/>
                <w:szCs w:val="20"/>
                <w:color w:val="auto"/>
              </w:rPr>
            </w:pPr>
            <w:r>
              <w:rPr>
                <w:rFonts w:ascii="Calibri" w:cs="Calibri" w:eastAsia="Calibri" w:hAnsi="Calibri"/>
                <w:sz w:val="13"/>
                <w:szCs w:val="13"/>
                <w:b w:val="1"/>
                <w:bCs w:val="1"/>
                <w:color w:val="auto"/>
              </w:rPr>
              <w:t>15.89%</w:t>
            </w:r>
          </w:p>
        </w:tc>
        <w:tc>
          <w:tcPr>
            <w:tcW w:w="1840" w:type="dxa"/>
            <w:vAlign w:val="bottom"/>
            <w:tcBorders>
              <w:bottom w:val="single" w:sz="8" w:color="auto"/>
              <w:right w:val="single" w:sz="8" w:color="auto"/>
            </w:tcBorders>
          </w:tcPr>
          <w:p>
            <w:pPr>
              <w:jc w:val="center"/>
              <w:spacing w:after="0" w:line="155" w:lineRule="exact"/>
              <w:rPr>
                <w:sz w:val="20"/>
                <w:szCs w:val="20"/>
                <w:color w:val="auto"/>
              </w:rPr>
            </w:pPr>
            <w:r>
              <w:rPr>
                <w:rFonts w:ascii="Calibri" w:cs="Calibri" w:eastAsia="Calibri" w:hAnsi="Calibri"/>
                <w:sz w:val="13"/>
                <w:szCs w:val="13"/>
                <w:b w:val="1"/>
                <w:bCs w:val="1"/>
                <w:color w:val="auto"/>
              </w:rPr>
              <w:t>16.73%</w:t>
            </w:r>
          </w:p>
        </w:tc>
        <w:tc>
          <w:tcPr>
            <w:tcW w:w="800" w:type="dxa"/>
            <w:vAlign w:val="bottom"/>
            <w:tcBorders>
              <w:bottom w:val="single" w:sz="8" w:color="auto"/>
            </w:tcBorders>
          </w:tcPr>
          <w:p>
            <w:pPr>
              <w:jc w:val="center"/>
              <w:ind w:left="217"/>
              <w:spacing w:after="0" w:line="155" w:lineRule="exact"/>
              <w:rPr>
                <w:sz w:val="20"/>
                <w:szCs w:val="20"/>
                <w:color w:val="auto"/>
              </w:rPr>
            </w:pPr>
            <w:r>
              <w:rPr>
                <w:rFonts w:ascii="Calibri" w:cs="Calibri" w:eastAsia="Calibri" w:hAnsi="Calibri"/>
                <w:sz w:val="13"/>
                <w:szCs w:val="13"/>
                <w:b w:val="1"/>
                <w:bCs w:val="1"/>
                <w:color w:val="auto"/>
              </w:rPr>
              <w:t>84 bps</w:t>
            </w:r>
          </w:p>
        </w:tc>
        <w:tc>
          <w:tcPr>
            <w:tcW w:w="1440" w:type="dxa"/>
            <w:vAlign w:val="bottom"/>
            <w:tcBorders>
              <w:bottom w:val="single" w:sz="8" w:color="auto"/>
              <w:right w:val="single" w:sz="8" w:color="auto"/>
            </w:tcBorders>
          </w:tcPr>
          <w:p>
            <w:pPr>
              <w:jc w:val="center"/>
              <w:ind w:left="197"/>
              <w:spacing w:after="0" w:line="155" w:lineRule="exact"/>
              <w:rPr>
                <w:sz w:val="20"/>
                <w:szCs w:val="20"/>
                <w:color w:val="auto"/>
              </w:rPr>
            </w:pPr>
            <w:r>
              <w:rPr>
                <w:rFonts w:ascii="Calibri" w:cs="Calibri" w:eastAsia="Calibri" w:hAnsi="Calibri"/>
                <w:sz w:val="13"/>
                <w:szCs w:val="13"/>
                <w:b w:val="1"/>
                <w:bCs w:val="1"/>
                <w:color w:val="auto"/>
              </w:rPr>
              <w:t>0 bps</w:t>
            </w:r>
          </w:p>
        </w:tc>
      </w:tr>
      <w:tr>
        <w:trPr>
          <w:trHeight w:val="1307"/>
        </w:trPr>
        <w:tc>
          <w:tcPr>
            <w:tcW w:w="3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-718185</wp:posOffset>
            </wp:positionV>
            <wp:extent cx="7195185" cy="6032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5185" cy="60325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59" w:name="page60"/>
    <w:bookmarkEnd w:id="59"/>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12.7.  Financial Statements and Ratos by Business</w:t>
      </w:r>
    </w:p>
    <w:p>
      <w:pPr>
        <w:spacing w:after="0" w:line="1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12.7.1.Credicorp Consolidated</w:t>
      </w:r>
    </w:p>
    <w:p>
      <w:pPr>
        <w:spacing w:after="0" w:line="9" w:lineRule="exact"/>
        <w:rPr>
          <w:sz w:val="20"/>
          <w:szCs w:val="20"/>
          <w:color w:val="auto"/>
        </w:rPr>
      </w:pPr>
    </w:p>
    <w:p>
      <w:pPr>
        <w:jc w:val="center"/>
        <w:ind w:left="1000"/>
        <w:spacing w:after="0"/>
        <w:rPr>
          <w:sz w:val="20"/>
          <w:szCs w:val="20"/>
          <w:color w:val="auto"/>
        </w:rPr>
      </w:pPr>
      <w:r>
        <w:rPr>
          <w:rFonts w:ascii="Calibri" w:cs="Calibri" w:eastAsia="Calibri" w:hAnsi="Calibri"/>
          <w:sz w:val="16"/>
          <w:szCs w:val="16"/>
          <w:b w:val="1"/>
          <w:bCs w:val="1"/>
          <w:color w:val="auto"/>
        </w:rPr>
        <w:t>Consolidated Statement of Financial Positon</w:t>
      </w:r>
    </w:p>
    <w:p>
      <w:pPr>
        <w:spacing w:after="0" w:line="13" w:lineRule="exact"/>
        <w:rPr>
          <w:sz w:val="20"/>
          <w:szCs w:val="20"/>
          <w:color w:val="auto"/>
        </w:rPr>
      </w:pPr>
    </w:p>
    <w:p>
      <w:pPr>
        <w:jc w:val="center"/>
        <w:ind w:left="1000"/>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150" w:type="dxa"/>
        <w:tblCellMar>
          <w:top w:w="0" w:type="dxa"/>
          <w:left w:w="0" w:type="dxa"/>
          <w:bottom w:w="0" w:type="dxa"/>
          <w:right w:w="0" w:type="dxa"/>
        </w:tblCellMar>
      </w:tblPr>
      <w:tr>
        <w:trPr>
          <w:trHeight w:val="137"/>
        </w:trPr>
        <w:tc>
          <w:tcPr>
            <w:tcW w:w="394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980" w:type="dxa"/>
            <w:vAlign w:val="bottom"/>
            <w:tcBorders>
              <w:top w:val="single" w:sz="8" w:color="auto"/>
            </w:tcBorders>
            <w:shd w:val="clear" w:color="auto" w:fill="2AD2C9"/>
          </w:tcPr>
          <w:p>
            <w:pPr>
              <w:spacing w:after="0"/>
              <w:rPr>
                <w:sz w:val="11"/>
                <w:szCs w:val="11"/>
                <w:color w:val="auto"/>
              </w:rPr>
            </w:pPr>
          </w:p>
        </w:tc>
        <w:tc>
          <w:tcPr>
            <w:tcW w:w="1000" w:type="dxa"/>
            <w:vAlign w:val="bottom"/>
            <w:tcBorders>
              <w:top w:val="single" w:sz="8" w:color="auto"/>
            </w:tcBorders>
            <w:shd w:val="clear" w:color="auto" w:fill="2AD2C9"/>
          </w:tcPr>
          <w:p>
            <w:pPr>
              <w:ind w:left="400"/>
              <w:spacing w:after="0"/>
              <w:rPr>
                <w:sz w:val="20"/>
                <w:szCs w:val="20"/>
                <w:color w:val="auto"/>
              </w:rPr>
            </w:pPr>
            <w:r>
              <w:rPr>
                <w:rFonts w:ascii="Calibri" w:cs="Calibri" w:eastAsia="Calibri" w:hAnsi="Calibri"/>
                <w:sz w:val="10"/>
                <w:szCs w:val="10"/>
                <w:b w:val="1"/>
                <w:bCs w:val="1"/>
                <w:color w:val="FFFFFF"/>
              </w:rPr>
              <w:t>As of</w:t>
            </w:r>
          </w:p>
        </w:tc>
        <w:tc>
          <w:tcPr>
            <w:tcW w:w="1040" w:type="dxa"/>
            <w:vAlign w:val="bottom"/>
            <w:tcBorders>
              <w:top w:val="single" w:sz="8" w:color="auto"/>
              <w:right w:val="single" w:sz="8" w:color="auto"/>
            </w:tcBorders>
            <w:shd w:val="clear" w:color="auto" w:fill="2AD2C9"/>
          </w:tcPr>
          <w:p>
            <w:pPr>
              <w:spacing w:after="0"/>
              <w:rPr>
                <w:sz w:val="11"/>
                <w:szCs w:val="11"/>
                <w:color w:val="auto"/>
              </w:rPr>
            </w:pPr>
          </w:p>
        </w:tc>
        <w:tc>
          <w:tcPr>
            <w:tcW w:w="740" w:type="dxa"/>
            <w:vAlign w:val="bottom"/>
            <w:tcBorders>
              <w:top w:val="single" w:sz="8" w:color="auto"/>
            </w:tcBorders>
            <w:shd w:val="clear" w:color="auto" w:fill="2AD2C9"/>
          </w:tcPr>
          <w:p>
            <w:pPr>
              <w:spacing w:after="0"/>
              <w:rPr>
                <w:sz w:val="11"/>
                <w:szCs w:val="11"/>
                <w:color w:val="auto"/>
              </w:rPr>
            </w:pPr>
          </w:p>
        </w:tc>
        <w:tc>
          <w:tcPr>
            <w:tcW w:w="1300" w:type="dxa"/>
            <w:vAlign w:val="bottom"/>
            <w:tcBorders>
              <w:top w:val="single" w:sz="8" w:color="auto"/>
              <w:right w:val="single" w:sz="8" w:color="auto"/>
            </w:tcBorders>
            <w:shd w:val="clear" w:color="auto" w:fill="2AD2C9"/>
          </w:tcPr>
          <w:p>
            <w:pPr>
              <w:ind w:left="60"/>
              <w:spacing w:after="0"/>
              <w:rPr>
                <w:sz w:val="20"/>
                <w:szCs w:val="20"/>
                <w:color w:val="auto"/>
              </w:rPr>
            </w:pPr>
            <w:r>
              <w:rPr>
                <w:rFonts w:ascii="Calibri" w:cs="Calibri" w:eastAsia="Calibri" w:hAnsi="Calibri"/>
                <w:sz w:val="10"/>
                <w:szCs w:val="10"/>
                <w:b w:val="1"/>
                <w:bCs w:val="1"/>
                <w:color w:val="FFFFFF"/>
              </w:rPr>
              <w:t>% change</w:t>
            </w:r>
          </w:p>
        </w:tc>
      </w:tr>
      <w:tr>
        <w:trPr>
          <w:trHeight w:val="130"/>
        </w:trPr>
        <w:tc>
          <w:tcPr>
            <w:tcW w:w="394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980" w:type="dxa"/>
            <w:vAlign w:val="bottom"/>
            <w:tcBorders>
              <w:bottom w:val="single" w:sz="8" w:color="auto"/>
            </w:tcBorders>
            <w:shd w:val="clear" w:color="auto" w:fill="2AD2C9"/>
          </w:tcPr>
          <w:p>
            <w:pPr>
              <w:ind w:left="340"/>
              <w:spacing w:after="0"/>
              <w:rPr>
                <w:sz w:val="20"/>
                <w:szCs w:val="20"/>
                <w:color w:val="auto"/>
              </w:rPr>
            </w:pPr>
            <w:r>
              <w:rPr>
                <w:rFonts w:ascii="Calibri" w:cs="Calibri" w:eastAsia="Calibri" w:hAnsi="Calibri"/>
                <w:sz w:val="10"/>
                <w:szCs w:val="10"/>
                <w:b w:val="1"/>
                <w:bCs w:val="1"/>
                <w:color w:val="FFFFFF"/>
              </w:rPr>
              <w:t>Jun 24</w:t>
            </w:r>
          </w:p>
        </w:tc>
        <w:tc>
          <w:tcPr>
            <w:tcW w:w="1000" w:type="dxa"/>
            <w:vAlign w:val="bottom"/>
            <w:tcBorders>
              <w:bottom w:val="single" w:sz="8" w:color="auto"/>
            </w:tcBorders>
            <w:shd w:val="clear" w:color="auto" w:fill="2AD2C9"/>
          </w:tcPr>
          <w:p>
            <w:pPr>
              <w:ind w:left="340"/>
              <w:spacing w:after="0"/>
              <w:rPr>
                <w:sz w:val="20"/>
                <w:szCs w:val="20"/>
                <w:color w:val="auto"/>
              </w:rPr>
            </w:pPr>
            <w:r>
              <w:rPr>
                <w:rFonts w:ascii="Calibri" w:cs="Calibri" w:eastAsia="Calibri" w:hAnsi="Calibri"/>
                <w:sz w:val="10"/>
                <w:szCs w:val="10"/>
                <w:b w:val="1"/>
                <w:bCs w:val="1"/>
                <w:color w:val="FFFFFF"/>
              </w:rPr>
              <w:t>Mar 25</w:t>
            </w:r>
          </w:p>
        </w:tc>
        <w:tc>
          <w:tcPr>
            <w:tcW w:w="104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Calibri" w:cs="Calibri" w:eastAsia="Calibri" w:hAnsi="Calibri"/>
                <w:sz w:val="10"/>
                <w:szCs w:val="10"/>
                <w:b w:val="1"/>
                <w:bCs w:val="1"/>
                <w:color w:val="FFFFFF"/>
              </w:rPr>
              <w:t>Jun 25</w:t>
            </w:r>
          </w:p>
        </w:tc>
        <w:tc>
          <w:tcPr>
            <w:tcW w:w="740" w:type="dxa"/>
            <w:vAlign w:val="bottom"/>
            <w:tcBorders>
              <w:bottom w:val="single" w:sz="8" w:color="auto"/>
            </w:tcBorders>
            <w:shd w:val="clear" w:color="auto" w:fill="2AD2C9"/>
          </w:tcPr>
          <w:p>
            <w:pPr>
              <w:ind w:left="400"/>
              <w:spacing w:after="0"/>
              <w:rPr>
                <w:sz w:val="20"/>
                <w:szCs w:val="20"/>
                <w:color w:val="auto"/>
              </w:rPr>
            </w:pPr>
            <w:r>
              <w:rPr>
                <w:rFonts w:ascii="Calibri" w:cs="Calibri" w:eastAsia="Calibri" w:hAnsi="Calibri"/>
                <w:sz w:val="10"/>
                <w:szCs w:val="10"/>
                <w:b w:val="1"/>
                <w:bCs w:val="1"/>
                <w:color w:val="FFFFFF"/>
              </w:rPr>
              <w:t>QoQ</w:t>
            </w:r>
          </w:p>
        </w:tc>
        <w:tc>
          <w:tcPr>
            <w:tcW w:w="1300" w:type="dxa"/>
            <w:vAlign w:val="bottom"/>
            <w:tcBorders>
              <w:bottom w:val="single" w:sz="8" w:color="auto"/>
              <w:right w:val="single" w:sz="8" w:color="auto"/>
            </w:tcBorders>
            <w:shd w:val="clear" w:color="auto" w:fill="2AD2C9"/>
          </w:tcPr>
          <w:p>
            <w:pPr>
              <w:ind w:left="680"/>
              <w:spacing w:after="0"/>
              <w:rPr>
                <w:sz w:val="20"/>
                <w:szCs w:val="20"/>
                <w:color w:val="auto"/>
              </w:rPr>
            </w:pPr>
            <w:r>
              <w:rPr>
                <w:rFonts w:ascii="Calibri" w:cs="Calibri" w:eastAsia="Calibri" w:hAnsi="Calibri"/>
                <w:sz w:val="10"/>
                <w:szCs w:val="10"/>
                <w:b w:val="1"/>
                <w:bCs w:val="1"/>
                <w:color w:val="FFFFFF"/>
              </w:rPr>
              <w:t>YoY</w:t>
            </w:r>
          </w:p>
        </w:tc>
      </w:tr>
      <w:tr>
        <w:trPr>
          <w:trHeight w:val="122"/>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b w:val="1"/>
                <w:bCs w:val="1"/>
                <w:color w:val="auto"/>
              </w:rPr>
              <w:t>ASSETS</w:t>
            </w: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24"/>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b w:val="1"/>
                <w:bCs w:val="1"/>
                <w:color w:val="auto"/>
              </w:rPr>
              <w:t>Cash and due from banks</w:t>
            </w: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Non-interest bearing</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7,705,769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7,015,098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7,266,155</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3.6%</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-5.7%</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Interest bearing</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27,157,901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37,521,839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34,206,000</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-8.8%</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26.0%</w:t>
            </w:r>
          </w:p>
        </w:tc>
      </w:tr>
      <w:tr>
        <w:trPr>
          <w:trHeight w:val="130"/>
        </w:trPr>
        <w:tc>
          <w:tcPr>
            <w:tcW w:w="394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Total cash and due from banks</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34,863,670</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44,536,937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41,472,155</w:t>
            </w:r>
          </w:p>
        </w:tc>
        <w:tc>
          <w:tcPr>
            <w:tcW w:w="740" w:type="dxa"/>
            <w:vAlign w:val="bottom"/>
          </w:tcPr>
          <w:p>
            <w:pPr>
              <w:jc w:val="center"/>
              <w:ind w:left="188"/>
              <w:spacing w:after="0"/>
              <w:rPr>
                <w:sz w:val="20"/>
                <w:szCs w:val="20"/>
                <w:color w:val="auto"/>
              </w:rPr>
            </w:pPr>
            <w:r>
              <w:rPr>
                <w:rFonts w:ascii="Calibri" w:cs="Calibri" w:eastAsia="Calibri" w:hAnsi="Calibri"/>
                <w:sz w:val="10"/>
                <w:szCs w:val="10"/>
                <w:b w:val="1"/>
                <w:bCs w:val="1"/>
                <w:color w:val="auto"/>
              </w:rPr>
              <w:t>-6.9%</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rPr>
              <w:t>19.0%</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Cash collateral, reverse repurchase agreements and securites borrowing</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1,777,491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1,835,893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4,593,501</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150.2%</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158.4%</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Fair value through proft or loss investments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4,282,606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5,149,628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4,819,230</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-6.4%</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12.5%</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Fair value through other comprehensive income investments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39,156,806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41,705,253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37,852,722</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-9.2%</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-3.3%</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Amortzed cost investments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8,986,734</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8,749,729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8,931,495</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2.1%</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-0.6%</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Loans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146,946,546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141,196,646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140,961,978</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-0.2%</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-4.1%</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Current</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140,715,785</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135,990,251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135,917,766</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-0.1%</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-3.4%</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Internal overdue loans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6,230,761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5,206,395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5,044,212</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-3.1%</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-19.0%</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Less - allowance for loan losses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(8,350,024)</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(7,742,792)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(7,658,595)</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-1.1%</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-8.3%</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Loans, net</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138,596,522</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133,453,854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133,303,383</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-0.1%</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-3.8%</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Financial assets designated at fair value through proft or loss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891,335</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871,626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904,621</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3.8%</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1.5%</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Property, plant and equipment, net</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1,792,615</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2,681,862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2,646,168</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-1.3%</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47.6%</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Due from customers on acceptances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473,382</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639,749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559,370</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-12.6%</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18.2%</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Investments in associates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712,728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1,002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43,199</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4211.3%</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-93.9%</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Intangible assets and goodwill, net</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3,295,236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4,420,422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4,444,424</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0.5%</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34.9%</w:t>
            </w:r>
          </w:p>
        </w:tc>
      </w:tr>
      <w:tr>
        <w:trPr>
          <w:trHeight w:val="127"/>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Reinsurance contract assets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959,661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976,832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949,932</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-2.8%</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-1.0%</w:t>
            </w:r>
          </w:p>
        </w:tc>
      </w:tr>
      <w:tr>
        <w:trPr>
          <w:trHeight w:val="198"/>
        </w:trPr>
        <w:tc>
          <w:tcPr>
            <w:tcW w:w="3940" w:type="dxa"/>
            <w:vAlign w:val="bottom"/>
            <w:tcBorders>
              <w:left w:val="single" w:sz="8" w:color="auto"/>
              <w:right w:val="single" w:sz="8" w:color="auto"/>
            </w:tcBorders>
          </w:tcPr>
          <w:p>
            <w:pPr>
              <w:spacing w:after="0" w:line="199" w:lineRule="exact"/>
              <w:rPr>
                <w:sz w:val="20"/>
                <w:szCs w:val="20"/>
                <w:color w:val="auto"/>
              </w:rPr>
            </w:pPr>
            <w:r>
              <w:rPr>
                <w:rFonts w:ascii="Calibri" w:cs="Calibri" w:eastAsia="Calibri" w:hAnsi="Calibri"/>
                <w:sz w:val="10"/>
                <w:szCs w:val="10"/>
                <w:color w:val="auto"/>
              </w:rPr>
              <w:t xml:space="preserve">Other assets </w:t>
            </w:r>
            <w:r>
              <w:rPr>
                <w:rFonts w:ascii="Calibri" w:cs="Calibri" w:eastAsia="Calibri" w:hAnsi="Calibri"/>
                <w:sz w:val="17"/>
                <w:szCs w:val="17"/>
                <w:color w:val="auto"/>
                <w:vertAlign w:val="superscript"/>
              </w:rPr>
              <w:t>(1)</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12,278,373</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9,049,787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8,510,166</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-6.0%</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-30.7%</w:t>
            </w:r>
          </w:p>
        </w:tc>
      </w:tr>
      <w:tr>
        <w:trPr>
          <w:trHeight w:val="195"/>
        </w:trPr>
        <w:tc>
          <w:tcPr>
            <w:tcW w:w="394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Total Assets</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248,067,159</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254,072,574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249,030,366</w:t>
            </w:r>
          </w:p>
        </w:tc>
        <w:tc>
          <w:tcPr>
            <w:tcW w:w="740" w:type="dxa"/>
            <w:vAlign w:val="bottom"/>
          </w:tcPr>
          <w:p>
            <w:pPr>
              <w:jc w:val="center"/>
              <w:ind w:left="188"/>
              <w:spacing w:after="0"/>
              <w:rPr>
                <w:sz w:val="20"/>
                <w:szCs w:val="20"/>
                <w:color w:val="auto"/>
              </w:rPr>
            </w:pPr>
            <w:r>
              <w:rPr>
                <w:rFonts w:ascii="Calibri" w:cs="Calibri" w:eastAsia="Calibri" w:hAnsi="Calibri"/>
                <w:sz w:val="10"/>
                <w:szCs w:val="10"/>
                <w:b w:val="1"/>
                <w:bCs w:val="1"/>
                <w:color w:val="auto"/>
              </w:rPr>
              <w:t>-2.0%</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w w:val="99"/>
              </w:rPr>
              <w:t>0.4%</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b w:val="1"/>
                <w:bCs w:val="1"/>
                <w:color w:val="auto"/>
              </w:rPr>
              <w:t>LIABILITIES AND EQUITY</w:t>
            </w: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b w:val="1"/>
                <w:bCs w:val="1"/>
                <w:color w:val="auto"/>
              </w:rPr>
              <w:t>Deposits and obligatons</w:t>
            </w: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Non-interest bearing</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43,190,989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49,620,679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45,734,508</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-7.8%</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5.9%</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Interest bearing</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108,780,995</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107,998,403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108,988,826</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0.9%</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0.2%</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Total deposits and obligatons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151,971,984</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157,619,082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154,723,334</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-1.8%</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1.8%</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Payables from repurchase agreements and securites lending</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7,689,689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10,158,614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11,265,393</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10.9%</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46.5%</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BCRP instruments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5,542,892</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7,064,476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5,096,459</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-27.9%</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-8.1%</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Repurchase agreements with third partes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2,077,638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2,872,797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5,974,353</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108.0%</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187.6%</w:t>
            </w:r>
          </w:p>
        </w:tc>
      </w:tr>
      <w:tr>
        <w:trPr>
          <w:trHeight w:val="130"/>
        </w:trPr>
        <w:tc>
          <w:tcPr>
            <w:tcW w:w="39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0"/>
                <w:szCs w:val="10"/>
                <w:color w:val="auto"/>
              </w:rPr>
              <w:t>Repurchase agreements with customers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69,159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221,341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194,581</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-12.1%</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181.4%</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Due to banks and correspondents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12,620,346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10,899,579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11,152,813</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2.3%</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-11.6%</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Bonds and notes issued</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17,953,508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14,391,733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12,112,403</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-15.8%</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-32.5%</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Banker’s acceptances outstanding</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473,382</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639,749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559,370</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-12.6%</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18.2%</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Insurance contract liability</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12,814,831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13,725,052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13,804,935</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0.6%</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7.7%</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Financial liabilites at fair value through proft or loss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811,015</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736,192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840,022</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14.1%</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3.6%</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Other liabilites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10,707,332</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9,487,673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9,497,596</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0.1%</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-11.3%</w:t>
            </w:r>
          </w:p>
        </w:tc>
      </w:tr>
      <w:tr>
        <w:trPr>
          <w:trHeight w:val="260"/>
        </w:trPr>
        <w:tc>
          <w:tcPr>
            <w:tcW w:w="394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Total Liabilites</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215,042,087</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217,657,674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213,955,866</w:t>
            </w:r>
          </w:p>
        </w:tc>
        <w:tc>
          <w:tcPr>
            <w:tcW w:w="740" w:type="dxa"/>
            <w:vAlign w:val="bottom"/>
          </w:tcPr>
          <w:p>
            <w:pPr>
              <w:jc w:val="center"/>
              <w:ind w:left="188"/>
              <w:spacing w:after="0"/>
              <w:rPr>
                <w:sz w:val="20"/>
                <w:szCs w:val="20"/>
                <w:color w:val="auto"/>
              </w:rPr>
            </w:pPr>
            <w:r>
              <w:rPr>
                <w:rFonts w:ascii="Calibri" w:cs="Calibri" w:eastAsia="Calibri" w:hAnsi="Calibri"/>
                <w:sz w:val="10"/>
                <w:szCs w:val="10"/>
                <w:b w:val="1"/>
                <w:bCs w:val="1"/>
                <w:color w:val="auto"/>
              </w:rPr>
              <w:t>-1.7%</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rPr>
              <w:t>-0.5%</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b w:val="1"/>
                <w:bCs w:val="1"/>
                <w:color w:val="auto"/>
              </w:rPr>
              <w:t>Net equity</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32,413,767</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35,843,202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34,459,012</w:t>
            </w:r>
          </w:p>
        </w:tc>
        <w:tc>
          <w:tcPr>
            <w:tcW w:w="740" w:type="dxa"/>
            <w:vAlign w:val="bottom"/>
          </w:tcPr>
          <w:p>
            <w:pPr>
              <w:jc w:val="center"/>
              <w:ind w:left="188"/>
              <w:spacing w:after="0"/>
              <w:rPr>
                <w:sz w:val="20"/>
                <w:szCs w:val="20"/>
                <w:color w:val="auto"/>
              </w:rPr>
            </w:pPr>
            <w:r>
              <w:rPr>
                <w:rFonts w:ascii="Calibri" w:cs="Calibri" w:eastAsia="Calibri" w:hAnsi="Calibri"/>
                <w:sz w:val="10"/>
                <w:szCs w:val="10"/>
                <w:b w:val="1"/>
                <w:bCs w:val="1"/>
                <w:color w:val="auto"/>
              </w:rPr>
              <w:t>-3.9%</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w w:val="99"/>
              </w:rPr>
              <w:t>6.3%</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Capital stock</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1,318,993</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1,318,993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1,318,993</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0.0%</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0.0%</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Treasury stock</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(208,918)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(209,845)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(209,845)</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0.0%</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0.4%</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Capital surplus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172,303</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124,149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133,388</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7.4%</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-22.6%</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Reserves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28,008,038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32,792,830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29,602,851</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-9.7%</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5.7%</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Other reserves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267,987</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33,460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19,199</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-42.6%</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-92.8%</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Retained earnings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2,855,364</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1,783,615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3,594,426</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101.5%</w:t>
            </w:r>
          </w:p>
        </w:tc>
        <w:tc>
          <w:tcPr>
            <w:tcW w:w="130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25.9%</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Non-controlling interest</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611,305</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571,698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615,488</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7.7%</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0.7%</w:t>
            </w:r>
          </w:p>
        </w:tc>
      </w:tr>
      <w:tr>
        <w:trPr>
          <w:trHeight w:val="260"/>
        </w:trPr>
        <w:tc>
          <w:tcPr>
            <w:tcW w:w="394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Total Net Equity</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33,025,072</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36,414,900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35,074,500</w:t>
            </w:r>
          </w:p>
        </w:tc>
        <w:tc>
          <w:tcPr>
            <w:tcW w:w="740" w:type="dxa"/>
            <w:vAlign w:val="bottom"/>
          </w:tcPr>
          <w:p>
            <w:pPr>
              <w:jc w:val="center"/>
              <w:ind w:left="188"/>
              <w:spacing w:after="0"/>
              <w:rPr>
                <w:sz w:val="20"/>
                <w:szCs w:val="20"/>
                <w:color w:val="auto"/>
              </w:rPr>
            </w:pPr>
            <w:r>
              <w:rPr>
                <w:rFonts w:ascii="Calibri" w:cs="Calibri" w:eastAsia="Calibri" w:hAnsi="Calibri"/>
                <w:sz w:val="10"/>
                <w:szCs w:val="10"/>
                <w:b w:val="1"/>
                <w:bCs w:val="1"/>
                <w:color w:val="auto"/>
              </w:rPr>
              <w:t>-3.7%</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w w:val="99"/>
              </w:rPr>
              <w:t>6.2%</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b w:val="1"/>
                <w:bCs w:val="1"/>
                <w:color w:val="auto"/>
              </w:rPr>
              <w:t>Total liabilites and equity</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248,067,159</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254,072,574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249,030,366</w:t>
            </w:r>
          </w:p>
        </w:tc>
        <w:tc>
          <w:tcPr>
            <w:tcW w:w="740" w:type="dxa"/>
            <w:vAlign w:val="bottom"/>
          </w:tcPr>
          <w:p>
            <w:pPr>
              <w:jc w:val="center"/>
              <w:ind w:left="188"/>
              <w:spacing w:after="0"/>
              <w:rPr>
                <w:sz w:val="20"/>
                <w:szCs w:val="20"/>
                <w:color w:val="auto"/>
              </w:rPr>
            </w:pPr>
            <w:r>
              <w:rPr>
                <w:rFonts w:ascii="Calibri" w:cs="Calibri" w:eastAsia="Calibri" w:hAnsi="Calibri"/>
                <w:sz w:val="10"/>
                <w:szCs w:val="10"/>
                <w:b w:val="1"/>
                <w:bCs w:val="1"/>
                <w:color w:val="auto"/>
              </w:rPr>
              <w:t>-2.0%</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w w:val="99"/>
              </w:rPr>
              <w:t>0.4%</w:t>
            </w:r>
          </w:p>
        </w:tc>
      </w:tr>
      <w:tr>
        <w:trPr>
          <w:trHeight w:val="26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b w:val="1"/>
                <w:bCs w:val="1"/>
                <w:color w:val="auto"/>
              </w:rPr>
              <w:t>Of-balance sheet</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164,970,468</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144,439,635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144,197,254</w:t>
            </w:r>
          </w:p>
        </w:tc>
        <w:tc>
          <w:tcPr>
            <w:tcW w:w="740" w:type="dxa"/>
            <w:vAlign w:val="bottom"/>
          </w:tcPr>
          <w:p>
            <w:pPr>
              <w:jc w:val="center"/>
              <w:ind w:left="188"/>
              <w:spacing w:after="0"/>
              <w:rPr>
                <w:sz w:val="20"/>
                <w:szCs w:val="20"/>
                <w:color w:val="auto"/>
              </w:rPr>
            </w:pPr>
            <w:r>
              <w:rPr>
                <w:rFonts w:ascii="Calibri" w:cs="Calibri" w:eastAsia="Calibri" w:hAnsi="Calibri"/>
                <w:sz w:val="10"/>
                <w:szCs w:val="10"/>
                <w:b w:val="1"/>
                <w:bCs w:val="1"/>
                <w:color w:val="auto"/>
              </w:rPr>
              <w:t>-0.2%</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w w:val="99"/>
              </w:rPr>
              <w:t>-12.6%</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Total performance bonds, stand-by and L/Cs.</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20,671,941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20,843,657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21,026,042</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rPr>
              <w:t>0.9%</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1.7%</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0"/>
                <w:szCs w:val="10"/>
                <w:color w:val="auto"/>
              </w:rPr>
              <w:t>Undrawn credit lines, advised but not commited</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90,965,846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79,021,358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75,858,566</w:t>
            </w:r>
          </w:p>
        </w:tc>
        <w:tc>
          <w:tcPr>
            <w:tcW w:w="740" w:type="dxa"/>
            <w:vAlign w:val="bottom"/>
          </w:tcPr>
          <w:p>
            <w:pPr>
              <w:jc w:val="center"/>
              <w:ind w:left="188"/>
              <w:spacing w:after="0"/>
              <w:rPr>
                <w:sz w:val="20"/>
                <w:szCs w:val="20"/>
                <w:color w:val="auto"/>
              </w:rPr>
            </w:pPr>
            <w:r>
              <w:rPr>
                <w:rFonts w:ascii="Calibri" w:cs="Calibri" w:eastAsia="Calibri" w:hAnsi="Calibri"/>
                <w:sz w:val="10"/>
                <w:szCs w:val="10"/>
                <w:color w:val="auto"/>
                <w:w w:val="95"/>
              </w:rPr>
              <w:t>-4.0%</w:t>
            </w:r>
          </w:p>
        </w:tc>
        <w:tc>
          <w:tcPr>
            <w:tcW w:w="1300" w:type="dxa"/>
            <w:vAlign w:val="bottom"/>
            <w:tcBorders>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-16.6%</w:t>
            </w:r>
          </w:p>
        </w:tc>
      </w:tr>
      <w:tr>
        <w:trPr>
          <w:trHeight w:val="137"/>
        </w:trPr>
        <w:tc>
          <w:tcPr>
            <w:tcW w:w="3940" w:type="dxa"/>
            <w:vAlign w:val="bottom"/>
            <w:tcBorders>
              <w:left w:val="single" w:sz="8" w:color="auto"/>
              <w:bottom w:val="single" w:sz="8" w:color="auto"/>
              <w:right w:val="single" w:sz="8" w:color="auto"/>
            </w:tcBorders>
          </w:tcPr>
          <w:p>
            <w:pPr>
              <w:spacing w:after="0"/>
              <w:rPr>
                <w:sz w:val="20"/>
                <w:szCs w:val="20"/>
                <w:color w:val="auto"/>
              </w:rPr>
            </w:pPr>
            <w:r>
              <w:rPr>
                <w:rFonts w:ascii="Calibri" w:cs="Calibri" w:eastAsia="Calibri" w:hAnsi="Calibri"/>
                <w:sz w:val="10"/>
                <w:szCs w:val="10"/>
                <w:color w:val="auto"/>
              </w:rPr>
              <w:t>Total derivatves (notonal) and others</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53,332,681</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44,574,620</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47,312,646</w:t>
            </w:r>
          </w:p>
        </w:tc>
        <w:tc>
          <w:tcPr>
            <w:tcW w:w="740" w:type="dxa"/>
            <w:vAlign w:val="bottom"/>
            <w:tcBorders>
              <w:bottom w:val="single" w:sz="8" w:color="auto"/>
            </w:tcBorders>
          </w:tcPr>
          <w:p>
            <w:pPr>
              <w:jc w:val="center"/>
              <w:ind w:left="188"/>
              <w:spacing w:after="0"/>
              <w:rPr>
                <w:sz w:val="20"/>
                <w:szCs w:val="20"/>
                <w:color w:val="auto"/>
              </w:rPr>
            </w:pPr>
            <w:r>
              <w:rPr>
                <w:rFonts w:ascii="Calibri" w:cs="Calibri" w:eastAsia="Calibri" w:hAnsi="Calibri"/>
                <w:sz w:val="10"/>
                <w:szCs w:val="10"/>
                <w:color w:val="auto"/>
              </w:rPr>
              <w:t>6.1%</w:t>
            </w:r>
          </w:p>
        </w:tc>
        <w:tc>
          <w:tcPr>
            <w:tcW w:w="1300" w:type="dxa"/>
            <w:vAlign w:val="bottom"/>
            <w:tcBorders>
              <w:bottom w:val="single" w:sz="8" w:color="auto"/>
              <w:right w:val="single" w:sz="8" w:color="auto"/>
            </w:tcBorders>
          </w:tcPr>
          <w:p>
            <w:pPr>
              <w:jc w:val="center"/>
              <w:ind w:left="168"/>
              <w:spacing w:after="0"/>
              <w:rPr>
                <w:sz w:val="20"/>
                <w:szCs w:val="20"/>
                <w:color w:val="auto"/>
              </w:rPr>
            </w:pPr>
            <w:r>
              <w:rPr>
                <w:rFonts w:ascii="Calibri" w:cs="Calibri" w:eastAsia="Calibri" w:hAnsi="Calibri"/>
                <w:sz w:val="10"/>
                <w:szCs w:val="10"/>
                <w:color w:val="auto"/>
              </w:rPr>
              <w:t>-11.3%</w:t>
            </w:r>
          </w:p>
        </w:tc>
      </w:tr>
    </w:tbl>
    <w:p>
      <w:pPr>
        <w:spacing w:after="0" w:line="180" w:lineRule="exact"/>
        <w:rPr>
          <w:sz w:val="20"/>
          <w:szCs w:val="20"/>
          <w:color w:val="auto"/>
        </w:rPr>
      </w:pPr>
    </w:p>
    <w:p>
      <w:pPr>
        <w:ind w:left="1200"/>
        <w:spacing w:after="0"/>
        <w:rPr>
          <w:sz w:val="20"/>
          <w:szCs w:val="20"/>
          <w:color w:val="auto"/>
        </w:rPr>
      </w:pPr>
      <w:r>
        <w:rPr>
          <w:rFonts w:ascii="Calibri" w:cs="Calibri" w:eastAsia="Calibri" w:hAnsi="Calibri"/>
          <w:sz w:val="11"/>
          <w:szCs w:val="11"/>
          <w:color w:val="auto"/>
        </w:rPr>
        <w:t>(1) Includes mainly accounts receivables from brokerage and others</w:t>
      </w:r>
    </w:p>
    <w:p>
      <w:pPr>
        <w:spacing w:after="0" w:line="9" w:lineRule="exact"/>
        <w:rPr>
          <w:sz w:val="20"/>
          <w:szCs w:val="20"/>
          <w:color w:val="auto"/>
        </w:rPr>
      </w:pPr>
    </w:p>
    <w:p>
      <w:pPr>
        <w:ind w:left="1200"/>
        <w:spacing w:after="0"/>
        <w:rPr>
          <w:sz w:val="20"/>
          <w:szCs w:val="20"/>
          <w:color w:val="auto"/>
        </w:rPr>
      </w:pPr>
      <w:r>
        <w:rPr>
          <w:rFonts w:ascii="Calibri" w:cs="Calibri" w:eastAsia="Calibri" w:hAnsi="Calibri"/>
          <w:sz w:val="11"/>
          <w:szCs w:val="11"/>
          <w:color w:val="auto"/>
        </w:rPr>
        <w:t>* Due to reclassifcatons, the Balance Sheet may difer from those reported in previous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833120</wp:posOffset>
            </wp:positionV>
            <wp:extent cx="7137400"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97790</wp:posOffset>
            </wp:positionV>
            <wp:extent cx="6501130" cy="5949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01130" cy="594995"/>
                    </a:xfrm>
                    <a:prstGeom prst="rect">
                      <a:avLst/>
                    </a:prstGeom>
                    <a:noFill/>
                  </pic:spPr>
                </pic:pic>
              </a:graphicData>
            </a:graphic>
          </wp:anchor>
        </w:drawing>
      </w:r>
    </w:p>
    <w:p>
      <w:pPr>
        <w:sectPr>
          <w:pgSz w:w="11900" w:h="16838" w:orient="portrait"/>
          <w:cols w:equalWidth="0" w:num="1">
            <w:col w:w="10139"/>
          </w:cols>
          <w:pgMar w:left="320" w:top="444" w:right="1440" w:bottom="1440" w:gutter="0" w:footer="0" w:header="0"/>
        </w:sectPr>
      </w:pPr>
    </w:p>
    <w:bookmarkStart w:id="60" w:name="page61"/>
    <w:bookmarkEnd w:id="60"/>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Calibri" w:cs="Calibri" w:eastAsia="Calibri" w:hAnsi="Calibri"/>
          <w:sz w:val="16"/>
          <w:szCs w:val="16"/>
          <w:b w:val="1"/>
          <w:bCs w:val="1"/>
          <w:color w:val="auto"/>
        </w:rPr>
        <w:t>Consolidated Statement of Income</w:t>
      </w:r>
    </w:p>
    <w:p>
      <w:pPr>
        <w:jc w:val="center"/>
        <w:ind w:right="120"/>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180" w:type="dxa"/>
            <w:vAlign w:val="bottom"/>
            <w:tcBorders>
              <w:top w:val="single" w:sz="8" w:color="auto"/>
              <w:left w:val="single" w:sz="8" w:color="auto"/>
              <w:bottom w:val="single" w:sz="8" w:color="1DD5CC"/>
              <w:right w:val="single" w:sz="8" w:color="auto"/>
            </w:tcBorders>
            <w:shd w:val="clear" w:color="auto" w:fill="1DD5CC"/>
          </w:tcPr>
          <w:p>
            <w:pPr>
              <w:spacing w:after="0"/>
              <w:rPr>
                <w:sz w:val="16"/>
                <w:szCs w:val="16"/>
                <w:color w:val="auto"/>
              </w:rPr>
            </w:pPr>
          </w:p>
        </w:tc>
        <w:tc>
          <w:tcPr>
            <w:tcW w:w="1000" w:type="dxa"/>
            <w:vAlign w:val="bottom"/>
            <w:tcBorders>
              <w:top w:val="single" w:sz="8" w:color="auto"/>
              <w:bottom w:val="single" w:sz="8" w:color="1DD5CC"/>
            </w:tcBorders>
            <w:shd w:val="clear" w:color="auto" w:fill="1DD5CC"/>
          </w:tcPr>
          <w:p>
            <w:pPr>
              <w:spacing w:after="0"/>
              <w:rPr>
                <w:sz w:val="16"/>
                <w:szCs w:val="16"/>
                <w:color w:val="auto"/>
              </w:rPr>
            </w:pPr>
          </w:p>
        </w:tc>
        <w:tc>
          <w:tcPr>
            <w:tcW w:w="1000" w:type="dxa"/>
            <w:vAlign w:val="bottom"/>
            <w:tcBorders>
              <w:top w:val="single" w:sz="8" w:color="auto"/>
              <w:bottom w:val="single" w:sz="8" w:color="1DD5CC"/>
            </w:tcBorders>
            <w:shd w:val="clear" w:color="auto" w:fill="1DD5CC"/>
          </w:tcPr>
          <w:p>
            <w:pPr>
              <w:ind w:left="340"/>
              <w:spacing w:after="0"/>
              <w:rPr>
                <w:sz w:val="20"/>
                <w:szCs w:val="20"/>
                <w:color w:val="auto"/>
              </w:rPr>
            </w:pPr>
            <w:r>
              <w:rPr>
                <w:rFonts w:ascii="Calibri" w:cs="Calibri" w:eastAsia="Calibri" w:hAnsi="Calibri"/>
                <w:sz w:val="10"/>
                <w:szCs w:val="10"/>
                <w:b w:val="1"/>
                <w:bCs w:val="1"/>
                <w:color w:val="FFFFFF"/>
              </w:rPr>
              <w:t>Quarter</w:t>
            </w:r>
          </w:p>
        </w:tc>
        <w:tc>
          <w:tcPr>
            <w:tcW w:w="1040" w:type="dxa"/>
            <w:vAlign w:val="bottom"/>
            <w:tcBorders>
              <w:top w:val="single" w:sz="8" w:color="auto"/>
              <w:bottom w:val="single" w:sz="8" w:color="1DD5CC"/>
              <w:right w:val="single" w:sz="8" w:color="auto"/>
            </w:tcBorders>
            <w:shd w:val="clear" w:color="auto" w:fill="1DD5CC"/>
          </w:tcPr>
          <w:p>
            <w:pPr>
              <w:spacing w:after="0"/>
              <w:rPr>
                <w:sz w:val="16"/>
                <w:szCs w:val="16"/>
                <w:color w:val="auto"/>
              </w:rPr>
            </w:pPr>
          </w:p>
        </w:tc>
        <w:tc>
          <w:tcPr>
            <w:tcW w:w="1260" w:type="dxa"/>
            <w:vAlign w:val="bottom"/>
            <w:tcBorders>
              <w:top w:val="single" w:sz="8" w:color="auto"/>
              <w:bottom w:val="single" w:sz="8" w:color="1DD5CC"/>
            </w:tcBorders>
            <w:shd w:val="clear" w:color="auto" w:fill="1DD5CC"/>
          </w:tcPr>
          <w:p>
            <w:pPr>
              <w:ind w:left="800"/>
              <w:spacing w:after="0"/>
              <w:rPr>
                <w:sz w:val="20"/>
                <w:szCs w:val="20"/>
                <w:color w:val="auto"/>
              </w:rPr>
            </w:pPr>
            <w:r>
              <w:rPr>
                <w:rFonts w:ascii="Calibri" w:cs="Calibri" w:eastAsia="Calibri" w:hAnsi="Calibri"/>
                <w:sz w:val="10"/>
                <w:szCs w:val="10"/>
                <w:b w:val="1"/>
                <w:bCs w:val="1"/>
                <w:color w:val="FFFFFF"/>
              </w:rPr>
              <w:t>% change</w:t>
            </w:r>
          </w:p>
        </w:tc>
        <w:tc>
          <w:tcPr>
            <w:tcW w:w="760" w:type="dxa"/>
            <w:vAlign w:val="bottom"/>
            <w:tcBorders>
              <w:top w:val="single" w:sz="8" w:color="auto"/>
              <w:bottom w:val="single" w:sz="8" w:color="1DD5CC"/>
              <w:right w:val="single" w:sz="8" w:color="auto"/>
            </w:tcBorders>
            <w:shd w:val="clear" w:color="auto" w:fill="1DD5CC"/>
          </w:tcPr>
          <w:p>
            <w:pPr>
              <w:spacing w:after="0"/>
              <w:rPr>
                <w:sz w:val="16"/>
                <w:szCs w:val="16"/>
                <w:color w:val="auto"/>
              </w:rPr>
            </w:pPr>
          </w:p>
        </w:tc>
        <w:tc>
          <w:tcPr>
            <w:tcW w:w="800" w:type="dxa"/>
            <w:vAlign w:val="bottom"/>
            <w:tcBorders>
              <w:top w:val="single" w:sz="8" w:color="auto"/>
              <w:bottom w:val="single" w:sz="8" w:color="1DD5CC"/>
            </w:tcBorders>
            <w:shd w:val="clear" w:color="auto" w:fill="1DD5CC"/>
          </w:tcPr>
          <w:p>
            <w:pPr>
              <w:spacing w:after="0"/>
              <w:rPr>
                <w:sz w:val="16"/>
                <w:szCs w:val="16"/>
                <w:color w:val="auto"/>
              </w:rPr>
            </w:pPr>
          </w:p>
        </w:tc>
        <w:tc>
          <w:tcPr>
            <w:tcW w:w="1200" w:type="dxa"/>
            <w:vAlign w:val="bottom"/>
            <w:tcBorders>
              <w:top w:val="single" w:sz="8" w:color="auto"/>
              <w:bottom w:val="single" w:sz="8" w:color="1DD5CC"/>
              <w:right w:val="single" w:sz="8" w:color="auto"/>
            </w:tcBorders>
            <w:shd w:val="clear" w:color="auto" w:fill="1DD5CC"/>
          </w:tcPr>
          <w:p>
            <w:pPr>
              <w:ind w:left="80"/>
              <w:spacing w:after="0"/>
              <w:rPr>
                <w:sz w:val="20"/>
                <w:szCs w:val="20"/>
                <w:color w:val="auto"/>
              </w:rPr>
            </w:pPr>
            <w:r>
              <w:rPr>
                <w:rFonts w:ascii="Calibri" w:cs="Calibri" w:eastAsia="Calibri" w:hAnsi="Calibri"/>
                <w:sz w:val="10"/>
                <w:szCs w:val="10"/>
                <w:b w:val="1"/>
                <w:bCs w:val="1"/>
                <w:color w:val="FFFFFF"/>
              </w:rPr>
              <w:t>Up to</w:t>
            </w:r>
          </w:p>
        </w:tc>
        <w:tc>
          <w:tcPr>
            <w:tcW w:w="1020" w:type="dxa"/>
            <w:vAlign w:val="bottom"/>
            <w:tcBorders>
              <w:top w:val="single" w:sz="8" w:color="auto"/>
              <w:bottom w:val="single" w:sz="8" w:color="1DD5CC"/>
              <w:right w:val="single" w:sz="8" w:color="auto"/>
            </w:tcBorders>
            <w:shd w:val="clear" w:color="auto" w:fill="1DD5CC"/>
          </w:tcPr>
          <w:p>
            <w:pPr>
              <w:jc w:val="center"/>
              <w:spacing w:after="0"/>
              <w:rPr>
                <w:sz w:val="20"/>
                <w:szCs w:val="20"/>
                <w:color w:val="auto"/>
              </w:rPr>
            </w:pPr>
            <w:r>
              <w:rPr>
                <w:rFonts w:ascii="Calibri" w:cs="Calibri" w:eastAsia="Calibri" w:hAnsi="Calibri"/>
                <w:sz w:val="10"/>
                <w:szCs w:val="10"/>
                <w:b w:val="1"/>
                <w:bCs w:val="1"/>
                <w:color w:val="FFFFFF"/>
              </w:rPr>
              <w:t>% change</w:t>
            </w:r>
          </w:p>
        </w:tc>
        <w:tc>
          <w:tcPr>
            <w:tcW w:w="0" w:type="dxa"/>
            <w:vAlign w:val="bottom"/>
          </w:tcPr>
          <w:p>
            <w:pPr>
              <w:spacing w:after="0"/>
              <w:rPr>
                <w:sz w:val="1"/>
                <w:szCs w:val="1"/>
                <w:color w:val="auto"/>
              </w:rPr>
            </w:pPr>
          </w:p>
        </w:tc>
      </w:tr>
      <w:tr>
        <w:trPr>
          <w:trHeight w:val="127"/>
        </w:trPr>
        <w:tc>
          <w:tcPr>
            <w:tcW w:w="3180" w:type="dxa"/>
            <w:vAlign w:val="bottom"/>
            <w:tcBorders>
              <w:left w:val="single" w:sz="8" w:color="auto"/>
              <w:bottom w:val="single" w:sz="8" w:color="auto"/>
              <w:right w:val="single" w:sz="8" w:color="auto"/>
            </w:tcBorders>
            <w:shd w:val="clear" w:color="auto" w:fill="1DD5CC"/>
          </w:tcPr>
          <w:p>
            <w:pPr>
              <w:spacing w:after="0"/>
              <w:rPr>
                <w:sz w:val="11"/>
                <w:szCs w:val="11"/>
                <w:color w:val="auto"/>
              </w:rPr>
            </w:pPr>
          </w:p>
        </w:tc>
        <w:tc>
          <w:tcPr>
            <w:tcW w:w="1000" w:type="dxa"/>
            <w:vAlign w:val="bottom"/>
            <w:tcBorders>
              <w:bottom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9"/>
              </w:rPr>
              <w:t>2Q24</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9"/>
              </w:rPr>
              <w:t>2Q25</w:t>
            </w:r>
          </w:p>
        </w:tc>
        <w:tc>
          <w:tcPr>
            <w:tcW w:w="10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9"/>
              </w:rPr>
              <w:t>2Q25</w:t>
            </w:r>
          </w:p>
        </w:tc>
        <w:tc>
          <w:tcPr>
            <w:tcW w:w="1260" w:type="dxa"/>
            <w:vAlign w:val="bottom"/>
            <w:tcBorders>
              <w:bottom w:val="single" w:sz="8" w:color="auto"/>
            </w:tcBorders>
            <w:shd w:val="clear" w:color="auto" w:fill="1DD5CC"/>
          </w:tcPr>
          <w:p>
            <w:pPr>
              <w:jc w:val="center"/>
              <w:ind w:right="228"/>
              <w:spacing w:after="0" w:line="117" w:lineRule="exact"/>
              <w:rPr>
                <w:sz w:val="20"/>
                <w:szCs w:val="20"/>
                <w:color w:val="auto"/>
              </w:rPr>
            </w:pPr>
            <w:r>
              <w:rPr>
                <w:rFonts w:ascii="Calibri" w:cs="Calibri" w:eastAsia="Calibri" w:hAnsi="Calibri"/>
                <w:sz w:val="10"/>
                <w:szCs w:val="10"/>
                <w:b w:val="1"/>
                <w:bCs w:val="1"/>
                <w:color w:val="FFFFFF"/>
                <w:w w:val="93"/>
              </w:rPr>
              <w:t>QoQ</w:t>
            </w:r>
          </w:p>
        </w:tc>
        <w:tc>
          <w:tcPr>
            <w:tcW w:w="760" w:type="dxa"/>
            <w:vAlign w:val="bottom"/>
            <w:tcBorders>
              <w:bottom w:val="single" w:sz="8" w:color="auto"/>
              <w:right w:val="single" w:sz="8" w:color="auto"/>
            </w:tcBorders>
            <w:shd w:val="clear" w:color="auto" w:fill="1DD5CC"/>
          </w:tcPr>
          <w:p>
            <w:pPr>
              <w:ind w:left="160"/>
              <w:spacing w:after="0" w:line="117" w:lineRule="exact"/>
              <w:rPr>
                <w:sz w:val="20"/>
                <w:szCs w:val="20"/>
                <w:color w:val="auto"/>
              </w:rPr>
            </w:pPr>
            <w:r>
              <w:rPr>
                <w:rFonts w:ascii="Calibri" w:cs="Calibri" w:eastAsia="Calibri" w:hAnsi="Calibri"/>
                <w:sz w:val="10"/>
                <w:szCs w:val="10"/>
                <w:b w:val="1"/>
                <w:bCs w:val="1"/>
                <w:color w:val="FFFFFF"/>
              </w:rPr>
              <w:t>YoY</w:t>
            </w:r>
          </w:p>
        </w:tc>
        <w:tc>
          <w:tcPr>
            <w:tcW w:w="800" w:type="dxa"/>
            <w:vAlign w:val="bottom"/>
            <w:tcBorders>
              <w:bottom w:val="single" w:sz="8" w:color="auto"/>
            </w:tcBorders>
            <w:shd w:val="clear" w:color="auto" w:fill="1DD5CC"/>
          </w:tcPr>
          <w:p>
            <w:pPr>
              <w:ind w:left="360"/>
              <w:spacing w:after="0" w:line="117" w:lineRule="exact"/>
              <w:rPr>
                <w:sz w:val="20"/>
                <w:szCs w:val="20"/>
                <w:color w:val="auto"/>
              </w:rPr>
            </w:pPr>
            <w:r>
              <w:rPr>
                <w:rFonts w:ascii="Calibri" w:cs="Calibri" w:eastAsia="Calibri" w:hAnsi="Calibri"/>
                <w:sz w:val="10"/>
                <w:szCs w:val="10"/>
                <w:b w:val="1"/>
                <w:bCs w:val="1"/>
                <w:color w:val="FFFFFF"/>
              </w:rPr>
              <w:t>Jun 24</w:t>
            </w:r>
          </w:p>
        </w:tc>
        <w:tc>
          <w:tcPr>
            <w:tcW w:w="1200" w:type="dxa"/>
            <w:vAlign w:val="bottom"/>
            <w:tcBorders>
              <w:bottom w:val="single" w:sz="8" w:color="auto"/>
              <w:right w:val="single" w:sz="8" w:color="auto"/>
            </w:tcBorders>
            <w:shd w:val="clear" w:color="auto" w:fill="1DD5CC"/>
          </w:tcPr>
          <w:p>
            <w:pPr>
              <w:ind w:left="560"/>
              <w:spacing w:after="0" w:line="117" w:lineRule="exact"/>
              <w:rPr>
                <w:sz w:val="20"/>
                <w:szCs w:val="20"/>
                <w:color w:val="auto"/>
              </w:rPr>
            </w:pPr>
            <w:r>
              <w:rPr>
                <w:rFonts w:ascii="Calibri" w:cs="Calibri" w:eastAsia="Calibri" w:hAnsi="Calibri"/>
                <w:sz w:val="10"/>
                <w:szCs w:val="10"/>
                <w:b w:val="1"/>
                <w:bCs w:val="1"/>
                <w:color w:val="FFFFFF"/>
              </w:rPr>
              <w:t>Jun 25</w:t>
            </w:r>
          </w:p>
        </w:tc>
        <w:tc>
          <w:tcPr>
            <w:tcW w:w="1020" w:type="dxa"/>
            <w:vAlign w:val="bottom"/>
            <w:tcBorders>
              <w:bottom w:val="single" w:sz="8" w:color="auto"/>
              <w:right w:val="single" w:sz="8" w:color="auto"/>
            </w:tcBorders>
            <w:shd w:val="clear" w:color="auto" w:fill="1DD5CC"/>
          </w:tcPr>
          <w:p>
            <w:pPr>
              <w:jc w:val="center"/>
              <w:spacing w:after="0" w:line="117" w:lineRule="exact"/>
              <w:rPr>
                <w:sz w:val="20"/>
                <w:szCs w:val="20"/>
                <w:color w:val="auto"/>
              </w:rPr>
            </w:pPr>
            <w:r>
              <w:rPr>
                <w:rFonts w:ascii="Calibri" w:cs="Calibri" w:eastAsia="Calibri" w:hAnsi="Calibri"/>
                <w:sz w:val="10"/>
                <w:szCs w:val="10"/>
                <w:b w:val="1"/>
                <w:bCs w:val="1"/>
                <w:color w:val="FFFFFF"/>
              </w:rPr>
              <w:t>Jun 25 / Jun 24</w:t>
            </w:r>
          </w:p>
        </w:tc>
        <w:tc>
          <w:tcPr>
            <w:tcW w:w="0" w:type="dxa"/>
            <w:vAlign w:val="bottom"/>
          </w:tcPr>
          <w:p>
            <w:pPr>
              <w:spacing w:after="0"/>
              <w:rPr>
                <w:sz w:val="1"/>
                <w:szCs w:val="1"/>
                <w:color w:val="auto"/>
              </w:rPr>
            </w:pPr>
          </w:p>
        </w:tc>
      </w:tr>
      <w:tr>
        <w:trPr>
          <w:trHeight w:val="119"/>
        </w:trPr>
        <w:tc>
          <w:tcPr>
            <w:tcW w:w="3180" w:type="dxa"/>
            <w:vAlign w:val="bottom"/>
            <w:tcBorders>
              <w:left w:val="single" w:sz="8" w:color="auto"/>
              <w:right w:val="single" w:sz="8" w:color="auto"/>
            </w:tcBorders>
          </w:tcPr>
          <w:p>
            <w:pPr>
              <w:ind w:left="20"/>
              <w:spacing w:after="0" w:line="120" w:lineRule="exact"/>
              <w:rPr>
                <w:sz w:val="20"/>
                <w:szCs w:val="20"/>
                <w:color w:val="auto"/>
              </w:rPr>
            </w:pPr>
            <w:r>
              <w:rPr>
                <w:rFonts w:ascii="Calibri" w:cs="Calibri" w:eastAsia="Calibri" w:hAnsi="Calibri"/>
                <w:sz w:val="10"/>
                <w:szCs w:val="10"/>
                <w:b w:val="1"/>
                <w:bCs w:val="1"/>
                <w:color w:val="auto"/>
              </w:rPr>
              <w:t>Interest income and expense</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Interest and similar income</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4,935,238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4,894,790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4,922,292</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0.6%</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-0.3%</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9,861,164</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9,817,082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-0.4%</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Interest and similar expenses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(1,466,774)</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(1,322,778)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(1,306,921)</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w w:val="95"/>
              </w:rPr>
              <w:t>-1.2%</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-10.9%</w:t>
            </w:r>
          </w:p>
        </w:tc>
        <w:tc>
          <w:tcPr>
            <w:tcW w:w="800" w:type="dxa"/>
            <w:vAlign w:val="bottom"/>
          </w:tcPr>
          <w:p>
            <w:pPr>
              <w:jc w:val="center"/>
              <w:ind w:left="149"/>
              <w:spacing w:after="0"/>
              <w:rPr>
                <w:sz w:val="20"/>
                <w:szCs w:val="20"/>
                <w:color w:val="auto"/>
              </w:rPr>
            </w:pPr>
            <w:r>
              <w:rPr>
                <w:rFonts w:ascii="Calibri" w:cs="Calibri" w:eastAsia="Calibri" w:hAnsi="Calibri"/>
                <w:sz w:val="10"/>
                <w:szCs w:val="10"/>
                <w:color w:val="auto"/>
              </w:rPr>
              <w:t>(2,966,577)</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(2,629,699)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-11.4%</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b w:val="1"/>
                <w:bCs w:val="1"/>
                <w:color w:val="auto"/>
              </w:rPr>
              <w:t>Net interest, similar income and expenses</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3,468,464</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3,572,012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3,615,371</w:t>
            </w:r>
          </w:p>
        </w:tc>
        <w:tc>
          <w:tcPr>
            <w:tcW w:w="1260" w:type="dxa"/>
            <w:vAlign w:val="bottom"/>
          </w:tcPr>
          <w:p>
            <w:pPr>
              <w:jc w:val="center"/>
              <w:ind w:right="228"/>
              <w:spacing w:after="0"/>
              <w:rPr>
                <w:sz w:val="20"/>
                <w:szCs w:val="20"/>
                <w:color w:val="auto"/>
              </w:rPr>
            </w:pPr>
            <w:r>
              <w:rPr>
                <w:rFonts w:ascii="Calibri" w:cs="Calibri" w:eastAsia="Calibri" w:hAnsi="Calibri"/>
                <w:sz w:val="10"/>
                <w:szCs w:val="10"/>
                <w:b w:val="1"/>
                <w:bCs w:val="1"/>
                <w:color w:val="auto"/>
              </w:rPr>
              <w:t>1.2%</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b w:val="1"/>
                <w:bCs w:val="1"/>
                <w:color w:val="auto"/>
                <w:w w:val="99"/>
              </w:rPr>
              <w:t>4.2%</w:t>
            </w:r>
          </w:p>
        </w:tc>
        <w:tc>
          <w:tcPr>
            <w:tcW w:w="800" w:type="dxa"/>
            <w:vAlign w:val="bottom"/>
          </w:tcPr>
          <w:p>
            <w:pPr>
              <w:jc w:val="center"/>
              <w:ind w:left="129"/>
              <w:spacing w:after="0"/>
              <w:rPr>
                <w:sz w:val="20"/>
                <w:szCs w:val="20"/>
                <w:color w:val="auto"/>
              </w:rPr>
            </w:pPr>
            <w:r>
              <w:rPr>
                <w:rFonts w:ascii="Calibri" w:cs="Calibri" w:eastAsia="Calibri" w:hAnsi="Calibri"/>
                <w:sz w:val="10"/>
                <w:szCs w:val="10"/>
                <w:b w:val="1"/>
                <w:bCs w:val="1"/>
                <w:color w:val="auto"/>
              </w:rPr>
              <w:t>6,894,587</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7,187,383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4.2%</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Provision for credit losses on loan portolio</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(1,193,548)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(695,733)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(683,965)</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w w:val="95"/>
              </w:rPr>
              <w:t>-1.7%</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-42.7%</w:t>
            </w:r>
          </w:p>
        </w:tc>
        <w:tc>
          <w:tcPr>
            <w:tcW w:w="800" w:type="dxa"/>
            <w:vAlign w:val="bottom"/>
          </w:tcPr>
          <w:p>
            <w:pPr>
              <w:jc w:val="center"/>
              <w:ind w:left="149"/>
              <w:spacing w:after="0"/>
              <w:rPr>
                <w:sz w:val="20"/>
                <w:szCs w:val="20"/>
                <w:color w:val="auto"/>
              </w:rPr>
            </w:pPr>
            <w:r>
              <w:rPr>
                <w:rFonts w:ascii="Calibri" w:cs="Calibri" w:eastAsia="Calibri" w:hAnsi="Calibri"/>
                <w:sz w:val="10"/>
                <w:szCs w:val="10"/>
                <w:color w:val="auto"/>
              </w:rPr>
              <w:t>(2,103,737)</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(1,379,698)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-34.4%</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Recoveries of writen-of loans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100,177</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113,840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108,806</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w w:val="95"/>
              </w:rPr>
              <w:t>-4.4%</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8.6%</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195,667</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222,646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13.8%</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Provision for credit losses on loan portolio, net of recoveries</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(1,093,371)</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(581,893)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(575,159)</w:t>
            </w:r>
          </w:p>
        </w:tc>
        <w:tc>
          <w:tcPr>
            <w:tcW w:w="1260" w:type="dxa"/>
            <w:vAlign w:val="bottom"/>
          </w:tcPr>
          <w:p>
            <w:pPr>
              <w:jc w:val="center"/>
              <w:ind w:right="228"/>
              <w:spacing w:after="0"/>
              <w:rPr>
                <w:sz w:val="20"/>
                <w:szCs w:val="20"/>
                <w:color w:val="auto"/>
              </w:rPr>
            </w:pPr>
            <w:r>
              <w:rPr>
                <w:rFonts w:ascii="Calibri" w:cs="Calibri" w:eastAsia="Calibri" w:hAnsi="Calibri"/>
                <w:sz w:val="10"/>
                <w:szCs w:val="10"/>
                <w:b w:val="1"/>
                <w:bCs w:val="1"/>
                <w:color w:val="auto"/>
              </w:rPr>
              <w:t>-1.2%</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b w:val="1"/>
                <w:bCs w:val="1"/>
                <w:color w:val="auto"/>
                <w:w w:val="99"/>
              </w:rPr>
              <w:t>-47.4%</w:t>
            </w:r>
          </w:p>
        </w:tc>
        <w:tc>
          <w:tcPr>
            <w:tcW w:w="800" w:type="dxa"/>
            <w:vAlign w:val="bottom"/>
          </w:tcPr>
          <w:p>
            <w:pPr>
              <w:jc w:val="center"/>
              <w:ind w:left="129"/>
              <w:spacing w:after="0"/>
              <w:rPr>
                <w:sz w:val="20"/>
                <w:szCs w:val="20"/>
                <w:color w:val="auto"/>
              </w:rPr>
            </w:pPr>
            <w:r>
              <w:rPr>
                <w:rFonts w:ascii="Calibri" w:cs="Calibri" w:eastAsia="Calibri" w:hAnsi="Calibri"/>
                <w:sz w:val="10"/>
                <w:szCs w:val="10"/>
                <w:b w:val="1"/>
                <w:bCs w:val="1"/>
                <w:color w:val="auto"/>
              </w:rPr>
              <w:t>(1,908,070)</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(1,157,052)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-39.4%</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interest, similar income and expenses, afer provision for credit</w:t>
            </w:r>
          </w:p>
        </w:tc>
        <w:tc>
          <w:tcPr>
            <w:tcW w:w="1000" w:type="dxa"/>
            <w:vAlign w:val="bottom"/>
            <w:vMerge w:val="restart"/>
          </w:tcPr>
          <w:p>
            <w:pPr>
              <w:jc w:val="center"/>
              <w:spacing w:after="0"/>
              <w:rPr>
                <w:sz w:val="20"/>
                <w:szCs w:val="20"/>
                <w:color w:val="auto"/>
              </w:rPr>
            </w:pPr>
            <w:r>
              <w:rPr>
                <w:rFonts w:ascii="Calibri" w:cs="Calibri" w:eastAsia="Calibri" w:hAnsi="Calibri"/>
                <w:sz w:val="10"/>
                <w:szCs w:val="10"/>
                <w:b w:val="1"/>
                <w:bCs w:val="1"/>
                <w:color w:val="auto"/>
              </w:rPr>
              <w:t>2,375,093</w:t>
            </w:r>
          </w:p>
        </w:tc>
        <w:tc>
          <w:tcPr>
            <w:tcW w:w="1000" w:type="dxa"/>
            <w:vAlign w:val="bottom"/>
            <w:vMerge w:val="restart"/>
          </w:tcPr>
          <w:p>
            <w:pPr>
              <w:jc w:val="center"/>
              <w:spacing w:after="0"/>
              <w:rPr>
                <w:sz w:val="20"/>
                <w:szCs w:val="20"/>
                <w:color w:val="auto"/>
              </w:rPr>
            </w:pPr>
            <w:r>
              <w:rPr>
                <w:rFonts w:ascii="Calibri" w:cs="Calibri" w:eastAsia="Calibri" w:hAnsi="Calibri"/>
                <w:sz w:val="10"/>
                <w:szCs w:val="10"/>
                <w:b w:val="1"/>
                <w:bCs w:val="1"/>
                <w:color w:val="auto"/>
              </w:rPr>
              <w:t>2,990,119</w:t>
            </w:r>
          </w:p>
        </w:tc>
        <w:tc>
          <w:tcPr>
            <w:tcW w:w="10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0"/>
                <w:szCs w:val="10"/>
                <w:b w:val="1"/>
                <w:bCs w:val="1"/>
                <w:color w:val="auto"/>
              </w:rPr>
              <w:t>3,040,212</w:t>
            </w:r>
          </w:p>
        </w:tc>
        <w:tc>
          <w:tcPr>
            <w:tcW w:w="1260" w:type="dxa"/>
            <w:vAlign w:val="bottom"/>
            <w:vMerge w:val="restart"/>
          </w:tcPr>
          <w:p>
            <w:pPr>
              <w:jc w:val="center"/>
              <w:ind w:right="228"/>
              <w:spacing w:after="0"/>
              <w:rPr>
                <w:sz w:val="20"/>
                <w:szCs w:val="20"/>
                <w:color w:val="auto"/>
              </w:rPr>
            </w:pPr>
            <w:r>
              <w:rPr>
                <w:rFonts w:ascii="Calibri" w:cs="Calibri" w:eastAsia="Calibri" w:hAnsi="Calibri"/>
                <w:sz w:val="10"/>
                <w:szCs w:val="10"/>
                <w:b w:val="1"/>
                <w:bCs w:val="1"/>
                <w:color w:val="auto"/>
              </w:rPr>
              <w:t>1.7%</w:t>
            </w:r>
          </w:p>
        </w:tc>
        <w:tc>
          <w:tcPr>
            <w:tcW w:w="760" w:type="dxa"/>
            <w:vAlign w:val="bottom"/>
            <w:tcBorders>
              <w:right w:val="single" w:sz="8" w:color="auto"/>
            </w:tcBorders>
            <w:vMerge w:val="restart"/>
          </w:tcPr>
          <w:p>
            <w:pPr>
              <w:jc w:val="center"/>
              <w:ind w:right="248"/>
              <w:spacing w:after="0"/>
              <w:rPr>
                <w:sz w:val="20"/>
                <w:szCs w:val="20"/>
                <w:color w:val="auto"/>
              </w:rPr>
            </w:pPr>
            <w:r>
              <w:rPr>
                <w:rFonts w:ascii="Calibri" w:cs="Calibri" w:eastAsia="Calibri" w:hAnsi="Calibri"/>
                <w:sz w:val="10"/>
                <w:szCs w:val="10"/>
                <w:b w:val="1"/>
                <w:bCs w:val="1"/>
                <w:color w:val="auto"/>
              </w:rPr>
              <w:t>28.0%</w:t>
            </w:r>
          </w:p>
        </w:tc>
        <w:tc>
          <w:tcPr>
            <w:tcW w:w="800" w:type="dxa"/>
            <w:vAlign w:val="bottom"/>
            <w:vMerge w:val="restart"/>
          </w:tcPr>
          <w:p>
            <w:pPr>
              <w:jc w:val="center"/>
              <w:ind w:left="129"/>
              <w:spacing w:after="0"/>
              <w:rPr>
                <w:sz w:val="20"/>
                <w:szCs w:val="20"/>
                <w:color w:val="auto"/>
              </w:rPr>
            </w:pPr>
            <w:r>
              <w:rPr>
                <w:rFonts w:ascii="Calibri" w:cs="Calibri" w:eastAsia="Calibri" w:hAnsi="Calibri"/>
                <w:sz w:val="10"/>
                <w:szCs w:val="10"/>
                <w:b w:val="1"/>
                <w:bCs w:val="1"/>
                <w:color w:val="auto"/>
              </w:rPr>
              <w:t>4,986,517</w:t>
            </w:r>
          </w:p>
        </w:tc>
        <w:tc>
          <w:tcPr>
            <w:tcW w:w="1200" w:type="dxa"/>
            <w:vAlign w:val="bottom"/>
            <w:tcBorders>
              <w:right w:val="single" w:sz="8" w:color="auto"/>
            </w:tcBorders>
            <w:vMerge w:val="restart"/>
          </w:tcPr>
          <w:p>
            <w:pPr>
              <w:jc w:val="center"/>
              <w:ind w:left="128"/>
              <w:spacing w:after="0"/>
              <w:rPr>
                <w:sz w:val="20"/>
                <w:szCs w:val="20"/>
                <w:color w:val="auto"/>
              </w:rPr>
            </w:pPr>
            <w:r>
              <w:rPr>
                <w:rFonts w:ascii="Calibri" w:cs="Calibri" w:eastAsia="Calibri" w:hAnsi="Calibri"/>
                <w:sz w:val="10"/>
                <w:szCs w:val="10"/>
                <w:b w:val="1"/>
                <w:bCs w:val="1"/>
                <w:color w:val="auto"/>
              </w:rPr>
              <w:t>6,030,331</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0"/>
                <w:szCs w:val="10"/>
                <w:b w:val="1"/>
                <w:bCs w:val="1"/>
                <w:color w:val="auto"/>
              </w:rPr>
              <w:t>20.9%</w:t>
            </w:r>
          </w:p>
        </w:tc>
        <w:tc>
          <w:tcPr>
            <w:tcW w:w="0" w:type="dxa"/>
            <w:vAlign w:val="bottom"/>
          </w:tcPr>
          <w:p>
            <w:pPr>
              <w:spacing w:after="0"/>
              <w:rPr>
                <w:sz w:val="1"/>
                <w:szCs w:val="1"/>
                <w:color w:val="auto"/>
              </w:rPr>
            </w:pPr>
          </w:p>
        </w:tc>
      </w:tr>
      <w:tr>
        <w:trPr>
          <w:trHeight w:val="65"/>
        </w:trPr>
        <w:tc>
          <w:tcPr>
            <w:tcW w:w="3180" w:type="dxa"/>
            <w:vAlign w:val="bottom"/>
            <w:tcBorders>
              <w:left w:val="single" w:sz="8" w:color="auto"/>
              <w:right w:val="single" w:sz="8" w:color="auto"/>
            </w:tcBorders>
            <w:vMerge w:val="restart"/>
          </w:tcPr>
          <w:p>
            <w:pPr>
              <w:ind w:left="180"/>
              <w:spacing w:after="0"/>
              <w:rPr>
                <w:sz w:val="20"/>
                <w:szCs w:val="20"/>
                <w:color w:val="auto"/>
              </w:rPr>
            </w:pPr>
            <w:r>
              <w:rPr>
                <w:rFonts w:ascii="Calibri" w:cs="Calibri" w:eastAsia="Calibri" w:hAnsi="Calibri"/>
                <w:sz w:val="10"/>
                <w:szCs w:val="10"/>
                <w:b w:val="1"/>
                <w:bCs w:val="1"/>
                <w:color w:val="auto"/>
              </w:rPr>
              <w:t>losses on loan portolio</w:t>
            </w:r>
          </w:p>
        </w:tc>
        <w:tc>
          <w:tcPr>
            <w:tcW w:w="10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3180" w:type="dxa"/>
            <w:vAlign w:val="bottom"/>
            <w:tcBorders>
              <w:left w:val="single" w:sz="8" w:color="auto"/>
              <w:right w:val="single" w:sz="8" w:color="auto"/>
            </w:tcBorders>
            <w:vMerge w:val="continue"/>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Other income</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Fee income</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947,228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994,024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1,024,553</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3.1%</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8.2%</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1,803,793</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2,018,577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11.9%</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Net gain on foreign exchange transactons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349,349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343,814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377,016</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9.7%</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7.9%</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654,719</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720,830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10.1%</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Net loss on securites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92,711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(28,149)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179,174</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-736.5%</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color w:val="auto"/>
              </w:rPr>
              <w:t>93.3%</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154,456</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151,025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-2.2%</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Net gain from associates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28,728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24,068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6,556</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-72.8%</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-77.2%</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61,023</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30,624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-49.8%</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line="113" w:lineRule="exact"/>
              <w:rPr>
                <w:sz w:val="20"/>
                <w:szCs w:val="20"/>
                <w:color w:val="auto"/>
              </w:rPr>
            </w:pPr>
            <w:r>
              <w:rPr>
                <w:rFonts w:ascii="Calibri" w:cs="Calibri" w:eastAsia="Calibri" w:hAnsi="Calibri"/>
                <w:sz w:val="10"/>
                <w:szCs w:val="10"/>
                <w:color w:val="auto"/>
              </w:rPr>
              <w:t>Net gain (loss) on derivatves held for trading</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41,748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18,499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21,418</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15.8%</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-48.7%</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81,732</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39,917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-51.2%</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Net gain (loss) from exchange diferences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(7,933)</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15,959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10,195</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-36.1%</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-228.5%</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(13,554)</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26,154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-293.0%</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Others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139,499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322,001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58,461</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-81.8%</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-58.1%</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241,720</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380,462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57.4%</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b w:val="1"/>
                <w:bCs w:val="1"/>
                <w:color w:val="auto"/>
              </w:rPr>
              <w:t>Total other income</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1,591,330</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1,690,216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1,677,373</w:t>
            </w:r>
          </w:p>
        </w:tc>
        <w:tc>
          <w:tcPr>
            <w:tcW w:w="1260" w:type="dxa"/>
            <w:vAlign w:val="bottom"/>
          </w:tcPr>
          <w:p>
            <w:pPr>
              <w:jc w:val="center"/>
              <w:ind w:right="228"/>
              <w:spacing w:after="0"/>
              <w:rPr>
                <w:sz w:val="20"/>
                <w:szCs w:val="20"/>
                <w:color w:val="auto"/>
              </w:rPr>
            </w:pPr>
            <w:r>
              <w:rPr>
                <w:rFonts w:ascii="Calibri" w:cs="Calibri" w:eastAsia="Calibri" w:hAnsi="Calibri"/>
                <w:sz w:val="10"/>
                <w:szCs w:val="10"/>
                <w:b w:val="1"/>
                <w:bCs w:val="1"/>
                <w:color w:val="auto"/>
              </w:rPr>
              <w:t>-0.8%</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b w:val="1"/>
                <w:bCs w:val="1"/>
                <w:color w:val="auto"/>
                <w:w w:val="99"/>
              </w:rPr>
              <w:t>5.4%</w:t>
            </w:r>
          </w:p>
        </w:tc>
        <w:tc>
          <w:tcPr>
            <w:tcW w:w="800" w:type="dxa"/>
            <w:vAlign w:val="bottom"/>
          </w:tcPr>
          <w:p>
            <w:pPr>
              <w:jc w:val="center"/>
              <w:ind w:left="129"/>
              <w:spacing w:after="0"/>
              <w:rPr>
                <w:sz w:val="20"/>
                <w:szCs w:val="20"/>
                <w:color w:val="auto"/>
              </w:rPr>
            </w:pPr>
            <w:r>
              <w:rPr>
                <w:rFonts w:ascii="Calibri" w:cs="Calibri" w:eastAsia="Calibri" w:hAnsi="Calibri"/>
                <w:sz w:val="10"/>
                <w:szCs w:val="10"/>
                <w:b w:val="1"/>
                <w:bCs w:val="1"/>
                <w:color w:val="auto"/>
              </w:rPr>
              <w:t>2,983,889</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3,367,589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12.9%</w:t>
            </w:r>
          </w:p>
        </w:tc>
        <w:tc>
          <w:tcPr>
            <w:tcW w:w="0" w:type="dxa"/>
            <w:vAlign w:val="bottom"/>
          </w:tcPr>
          <w:p>
            <w:pPr>
              <w:spacing w:after="0"/>
              <w:rPr>
                <w:sz w:val="1"/>
                <w:szCs w:val="1"/>
                <w:color w:val="auto"/>
              </w:rPr>
            </w:pPr>
          </w:p>
        </w:tc>
      </w:tr>
      <w:tr>
        <w:trPr>
          <w:trHeight w:val="156"/>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Insurance underwritng result</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Insurance Service Result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407,666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416,106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446,835</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7.4%</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9.6%</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866,663</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862,941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-0.4%</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Reinsurance Result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(92,166)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(86,972)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(95,962)</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10.3%</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4.1%</w:t>
            </w:r>
          </w:p>
        </w:tc>
        <w:tc>
          <w:tcPr>
            <w:tcW w:w="800" w:type="dxa"/>
            <w:vAlign w:val="bottom"/>
          </w:tcPr>
          <w:p>
            <w:pPr>
              <w:jc w:val="center"/>
              <w:ind w:left="149"/>
              <w:spacing w:after="0"/>
              <w:rPr>
                <w:sz w:val="20"/>
                <w:szCs w:val="20"/>
                <w:color w:val="auto"/>
              </w:rPr>
            </w:pPr>
            <w:r>
              <w:rPr>
                <w:rFonts w:ascii="Calibri" w:cs="Calibri" w:eastAsia="Calibri" w:hAnsi="Calibri"/>
                <w:sz w:val="10"/>
                <w:szCs w:val="10"/>
                <w:color w:val="auto"/>
              </w:rPr>
              <w:t>(272,101)</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(182,934)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-32.8%</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b w:val="1"/>
                <w:bCs w:val="1"/>
                <w:color w:val="auto"/>
              </w:rPr>
              <w:t>Total insurance underwritng result</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315,500</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329,134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350,873</w:t>
            </w:r>
          </w:p>
        </w:tc>
        <w:tc>
          <w:tcPr>
            <w:tcW w:w="1260" w:type="dxa"/>
            <w:vAlign w:val="bottom"/>
          </w:tcPr>
          <w:p>
            <w:pPr>
              <w:jc w:val="center"/>
              <w:ind w:right="228"/>
              <w:spacing w:after="0"/>
              <w:rPr>
                <w:sz w:val="20"/>
                <w:szCs w:val="20"/>
                <w:color w:val="auto"/>
              </w:rPr>
            </w:pPr>
            <w:r>
              <w:rPr>
                <w:rFonts w:ascii="Calibri" w:cs="Calibri" w:eastAsia="Calibri" w:hAnsi="Calibri"/>
                <w:sz w:val="10"/>
                <w:szCs w:val="10"/>
                <w:b w:val="1"/>
                <w:bCs w:val="1"/>
                <w:color w:val="auto"/>
              </w:rPr>
              <w:t>6.6%</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b w:val="1"/>
                <w:bCs w:val="1"/>
                <w:color w:val="auto"/>
              </w:rPr>
              <w:t>11.2%</w:t>
            </w:r>
          </w:p>
        </w:tc>
        <w:tc>
          <w:tcPr>
            <w:tcW w:w="800" w:type="dxa"/>
            <w:vAlign w:val="bottom"/>
          </w:tcPr>
          <w:p>
            <w:pPr>
              <w:jc w:val="center"/>
              <w:ind w:left="129"/>
              <w:spacing w:after="0"/>
              <w:rPr>
                <w:sz w:val="20"/>
                <w:szCs w:val="20"/>
                <w:color w:val="auto"/>
              </w:rPr>
            </w:pPr>
            <w:r>
              <w:rPr>
                <w:rFonts w:ascii="Calibri" w:cs="Calibri" w:eastAsia="Calibri" w:hAnsi="Calibri"/>
                <w:sz w:val="10"/>
                <w:szCs w:val="10"/>
                <w:b w:val="1"/>
                <w:bCs w:val="1"/>
                <w:color w:val="auto"/>
              </w:rPr>
              <w:t>594,562</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680,007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14.4%</w:t>
            </w:r>
          </w:p>
        </w:tc>
        <w:tc>
          <w:tcPr>
            <w:tcW w:w="0" w:type="dxa"/>
            <w:vAlign w:val="bottom"/>
          </w:tcPr>
          <w:p>
            <w:pPr>
              <w:spacing w:after="0"/>
              <w:rPr>
                <w:sz w:val="1"/>
                <w:szCs w:val="1"/>
                <w:color w:val="auto"/>
              </w:rPr>
            </w:pPr>
          </w:p>
        </w:tc>
      </w:tr>
      <w:tr>
        <w:trPr>
          <w:trHeight w:val="39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Medical services result</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Sales of medical services</w:t>
            </w:r>
          </w:p>
        </w:tc>
        <w:tc>
          <w:tcPr>
            <w:tcW w:w="1000" w:type="dxa"/>
            <w:vAlign w:val="bottom"/>
          </w:tcPr>
          <w:p>
            <w:pPr>
              <w:jc w:val="center"/>
              <w:spacing w:after="0"/>
              <w:rPr>
                <w:sz w:val="20"/>
                <w:szCs w:val="20"/>
                <w:color w:val="auto"/>
              </w:rPr>
            </w:pPr>
            <w:r>
              <w:rPr>
                <w:rFonts w:ascii="Calibri" w:cs="Calibri" w:eastAsia="Calibri" w:hAnsi="Calibri"/>
                <w:sz w:val="9"/>
                <w:szCs w:val="9"/>
                <w:color w:val="auto"/>
                <w:w w:val="70"/>
              </w:rPr>
              <w: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78,121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473,746</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506.4%</w:t>
            </w:r>
          </w:p>
        </w:tc>
        <w:tc>
          <w:tcPr>
            <w:tcW w:w="760" w:type="dxa"/>
            <w:vAlign w:val="bottom"/>
            <w:tcBorders>
              <w:right w:val="single" w:sz="8" w:color="auto"/>
            </w:tcBorders>
          </w:tcPr>
          <w:p>
            <w:pPr>
              <w:ind w:left="160"/>
              <w:spacing w:after="0"/>
              <w:rPr>
                <w:sz w:val="20"/>
                <w:szCs w:val="20"/>
                <w:color w:val="auto"/>
              </w:rPr>
            </w:pPr>
            <w:r>
              <w:rPr>
                <w:rFonts w:ascii="Calibri" w:cs="Calibri" w:eastAsia="Calibri" w:hAnsi="Calibri"/>
                <w:sz w:val="10"/>
                <w:szCs w:val="10"/>
                <w:color w:val="auto"/>
              </w:rPr>
              <w:t>n.a.</w:t>
            </w:r>
          </w:p>
        </w:tc>
        <w:tc>
          <w:tcPr>
            <w:tcW w:w="800" w:type="dxa"/>
            <w:vAlign w:val="bottom"/>
          </w:tcPr>
          <w:p>
            <w:pPr>
              <w:jc w:val="center"/>
              <w:ind w:left="129"/>
              <w:spacing w:after="0"/>
              <w:rPr>
                <w:sz w:val="20"/>
                <w:szCs w:val="20"/>
                <w:color w:val="auto"/>
              </w:rPr>
            </w:pPr>
            <w:r>
              <w:rPr>
                <w:rFonts w:ascii="Calibri" w:cs="Calibri" w:eastAsia="Calibri" w:hAnsi="Calibri"/>
                <w:sz w:val="9"/>
                <w:szCs w:val="9"/>
                <w:color w:val="auto"/>
                <w:w w:val="70"/>
              </w:rPr>
              <w:t>-</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551,867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Cost of sales of medical services</w:t>
            </w:r>
          </w:p>
        </w:tc>
        <w:tc>
          <w:tcPr>
            <w:tcW w:w="1000" w:type="dxa"/>
            <w:vAlign w:val="bottom"/>
          </w:tcPr>
          <w:p>
            <w:pPr>
              <w:jc w:val="center"/>
              <w:spacing w:after="0"/>
              <w:rPr>
                <w:sz w:val="20"/>
                <w:szCs w:val="20"/>
                <w:color w:val="auto"/>
              </w:rPr>
            </w:pPr>
            <w:r>
              <w:rPr>
                <w:rFonts w:ascii="Calibri" w:cs="Calibri" w:eastAsia="Calibri" w:hAnsi="Calibri"/>
                <w:sz w:val="9"/>
                <w:szCs w:val="9"/>
                <w:color w:val="auto"/>
                <w:w w:val="70"/>
              </w:rPr>
              <w: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(35,432)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(350,427)</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889.0%</w:t>
            </w:r>
          </w:p>
        </w:tc>
        <w:tc>
          <w:tcPr>
            <w:tcW w:w="760" w:type="dxa"/>
            <w:vAlign w:val="bottom"/>
            <w:tcBorders>
              <w:right w:val="single" w:sz="8" w:color="auto"/>
            </w:tcBorders>
          </w:tcPr>
          <w:p>
            <w:pPr>
              <w:ind w:left="160"/>
              <w:spacing w:after="0"/>
              <w:rPr>
                <w:sz w:val="20"/>
                <w:szCs w:val="20"/>
                <w:color w:val="auto"/>
              </w:rPr>
            </w:pPr>
            <w:r>
              <w:rPr>
                <w:rFonts w:ascii="Calibri" w:cs="Calibri" w:eastAsia="Calibri" w:hAnsi="Calibri"/>
                <w:sz w:val="10"/>
                <w:szCs w:val="10"/>
                <w:color w:val="auto"/>
              </w:rPr>
              <w:t>n.a.</w:t>
            </w:r>
          </w:p>
        </w:tc>
        <w:tc>
          <w:tcPr>
            <w:tcW w:w="800" w:type="dxa"/>
            <w:vAlign w:val="bottom"/>
          </w:tcPr>
          <w:p>
            <w:pPr>
              <w:jc w:val="center"/>
              <w:ind w:left="129"/>
              <w:spacing w:after="0"/>
              <w:rPr>
                <w:sz w:val="20"/>
                <w:szCs w:val="20"/>
                <w:color w:val="auto"/>
              </w:rPr>
            </w:pPr>
            <w:r>
              <w:rPr>
                <w:rFonts w:ascii="Calibri" w:cs="Calibri" w:eastAsia="Calibri" w:hAnsi="Calibri"/>
                <w:sz w:val="9"/>
                <w:szCs w:val="9"/>
                <w:color w:val="auto"/>
                <w:w w:val="70"/>
              </w:rPr>
              <w:t>-</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(385,859)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medical services result</w:t>
            </w:r>
          </w:p>
        </w:tc>
        <w:tc>
          <w:tcPr>
            <w:tcW w:w="1000" w:type="dxa"/>
            <w:vAlign w:val="bottom"/>
          </w:tcPr>
          <w:p>
            <w:pPr>
              <w:jc w:val="center"/>
              <w:spacing w:after="0"/>
              <w:rPr>
                <w:sz w:val="20"/>
                <w:szCs w:val="20"/>
                <w:color w:val="auto"/>
              </w:rPr>
            </w:pPr>
            <w:r>
              <w:rPr>
                <w:rFonts w:ascii="Calibri" w:cs="Calibri" w:eastAsia="Calibri" w:hAnsi="Calibri"/>
                <w:sz w:val="9"/>
                <w:szCs w:val="9"/>
                <w:b w:val="1"/>
                <w:bCs w:val="1"/>
                <w:color w:val="auto"/>
                <w:w w:val="70"/>
              </w:rPr>
              <w:t>-</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42,689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123,319</w:t>
            </w:r>
          </w:p>
        </w:tc>
        <w:tc>
          <w:tcPr>
            <w:tcW w:w="1260" w:type="dxa"/>
            <w:vAlign w:val="bottom"/>
          </w:tcPr>
          <w:p>
            <w:pPr>
              <w:jc w:val="center"/>
              <w:ind w:right="228"/>
              <w:spacing w:after="0"/>
              <w:rPr>
                <w:sz w:val="20"/>
                <w:szCs w:val="20"/>
                <w:color w:val="auto"/>
              </w:rPr>
            </w:pPr>
            <w:r>
              <w:rPr>
                <w:rFonts w:ascii="Calibri" w:cs="Calibri" w:eastAsia="Calibri" w:hAnsi="Calibri"/>
                <w:sz w:val="10"/>
                <w:szCs w:val="10"/>
                <w:b w:val="1"/>
                <w:bCs w:val="1"/>
                <w:color w:val="auto"/>
                <w:w w:val="99"/>
              </w:rPr>
              <w:t>188.9%</w:t>
            </w:r>
          </w:p>
        </w:tc>
        <w:tc>
          <w:tcPr>
            <w:tcW w:w="760" w:type="dxa"/>
            <w:vAlign w:val="bottom"/>
            <w:tcBorders>
              <w:right w:val="single" w:sz="8" w:color="auto"/>
            </w:tcBorders>
          </w:tcPr>
          <w:p>
            <w:pPr>
              <w:ind w:left="160"/>
              <w:spacing w:after="0"/>
              <w:rPr>
                <w:sz w:val="20"/>
                <w:szCs w:val="20"/>
                <w:color w:val="auto"/>
              </w:rPr>
            </w:pPr>
            <w:r>
              <w:rPr>
                <w:rFonts w:ascii="Calibri" w:cs="Calibri" w:eastAsia="Calibri" w:hAnsi="Calibri"/>
                <w:sz w:val="10"/>
                <w:szCs w:val="10"/>
                <w:b w:val="1"/>
                <w:bCs w:val="1"/>
                <w:color w:val="auto"/>
              </w:rPr>
              <w:t>n.a.</w:t>
            </w:r>
          </w:p>
        </w:tc>
        <w:tc>
          <w:tcPr>
            <w:tcW w:w="800" w:type="dxa"/>
            <w:vAlign w:val="bottom"/>
          </w:tcPr>
          <w:p>
            <w:pPr>
              <w:jc w:val="center"/>
              <w:ind w:left="129"/>
              <w:spacing w:after="0"/>
              <w:rPr>
                <w:sz w:val="20"/>
                <w:szCs w:val="20"/>
                <w:color w:val="auto"/>
              </w:rPr>
            </w:pPr>
            <w:r>
              <w:rPr>
                <w:rFonts w:ascii="Calibri" w:cs="Calibri" w:eastAsia="Calibri" w:hAnsi="Calibri"/>
                <w:sz w:val="9"/>
                <w:szCs w:val="9"/>
                <w:b w:val="1"/>
                <w:bCs w:val="1"/>
                <w:color w:val="auto"/>
                <w:w w:val="70"/>
              </w:rPr>
              <w:t>-</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166,008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n.a.</w:t>
            </w:r>
          </w:p>
        </w:tc>
        <w:tc>
          <w:tcPr>
            <w:tcW w:w="0" w:type="dxa"/>
            <w:vAlign w:val="bottom"/>
          </w:tcPr>
          <w:p>
            <w:pPr>
              <w:spacing w:after="0"/>
              <w:rPr>
                <w:sz w:val="1"/>
                <w:szCs w:val="1"/>
                <w:color w:val="auto"/>
              </w:rPr>
            </w:pPr>
          </w:p>
        </w:tc>
      </w:tr>
      <w:tr>
        <w:trPr>
          <w:trHeight w:val="351"/>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Expenses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Salaries and employee benefts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(1,141,823)</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(1,361,690)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(1,262,520)</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w w:val="95"/>
              </w:rPr>
              <w:t>-7.3%</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color w:val="auto"/>
              </w:rPr>
              <w:t>10.6%</w:t>
            </w:r>
          </w:p>
        </w:tc>
        <w:tc>
          <w:tcPr>
            <w:tcW w:w="800" w:type="dxa"/>
            <w:vAlign w:val="bottom"/>
          </w:tcPr>
          <w:p>
            <w:pPr>
              <w:jc w:val="center"/>
              <w:ind w:left="149"/>
              <w:spacing w:after="0"/>
              <w:rPr>
                <w:sz w:val="20"/>
                <w:szCs w:val="20"/>
                <w:color w:val="auto"/>
              </w:rPr>
            </w:pPr>
            <w:r>
              <w:rPr>
                <w:rFonts w:ascii="Calibri" w:cs="Calibri" w:eastAsia="Calibri" w:hAnsi="Calibri"/>
                <w:sz w:val="10"/>
                <w:szCs w:val="10"/>
                <w:color w:val="auto"/>
              </w:rPr>
              <w:t>(2,248,892)</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(2,624,210)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16.7%</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Administratve, general and tax expenses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(947,558)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(869,834)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(965,994)</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11.1%</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1.9%</w:t>
            </w:r>
          </w:p>
        </w:tc>
        <w:tc>
          <w:tcPr>
            <w:tcW w:w="800" w:type="dxa"/>
            <w:vAlign w:val="bottom"/>
          </w:tcPr>
          <w:p>
            <w:pPr>
              <w:jc w:val="center"/>
              <w:ind w:left="149"/>
              <w:spacing w:after="0"/>
              <w:rPr>
                <w:sz w:val="20"/>
                <w:szCs w:val="20"/>
                <w:color w:val="auto"/>
              </w:rPr>
            </w:pPr>
            <w:r>
              <w:rPr>
                <w:rFonts w:ascii="Calibri" w:cs="Calibri" w:eastAsia="Calibri" w:hAnsi="Calibri"/>
                <w:sz w:val="10"/>
                <w:szCs w:val="10"/>
                <w:color w:val="auto"/>
              </w:rPr>
              <w:t>(1,769,306)</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(1,835,828)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3.8%</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Depreciaton and amortzaton</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(172,204)</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(203,766)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(212,662)</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4.4%</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color w:val="auto"/>
              </w:rPr>
              <w:t>23.5%</w:t>
            </w:r>
          </w:p>
        </w:tc>
        <w:tc>
          <w:tcPr>
            <w:tcW w:w="800" w:type="dxa"/>
            <w:vAlign w:val="bottom"/>
          </w:tcPr>
          <w:p>
            <w:pPr>
              <w:jc w:val="center"/>
              <w:ind w:left="149"/>
              <w:spacing w:after="0"/>
              <w:rPr>
                <w:sz w:val="20"/>
                <w:szCs w:val="20"/>
                <w:color w:val="auto"/>
              </w:rPr>
            </w:pPr>
            <w:r>
              <w:rPr>
                <w:rFonts w:ascii="Calibri" w:cs="Calibri" w:eastAsia="Calibri" w:hAnsi="Calibri"/>
                <w:sz w:val="10"/>
                <w:szCs w:val="10"/>
                <w:color w:val="auto"/>
              </w:rPr>
              <w:t>(347,350)</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(416,428)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19.9%</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Impairment loss on goodwill</w:t>
            </w:r>
          </w:p>
        </w:tc>
        <w:tc>
          <w:tcPr>
            <w:tcW w:w="1000" w:type="dxa"/>
            <w:vAlign w:val="bottom"/>
          </w:tcPr>
          <w:p>
            <w:pPr>
              <w:jc w:val="center"/>
              <w:spacing w:after="0"/>
              <w:rPr>
                <w:sz w:val="20"/>
                <w:szCs w:val="20"/>
                <w:color w:val="auto"/>
              </w:rPr>
            </w:pPr>
            <w:r>
              <w:rPr>
                <w:rFonts w:ascii="Calibri" w:cs="Calibri" w:eastAsia="Calibri" w:hAnsi="Calibri"/>
                <w:sz w:val="9"/>
                <w:szCs w:val="9"/>
                <w:color w:val="auto"/>
                <w:w w:val="70"/>
              </w:rPr>
              <w: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9"/>
                <w:szCs w:val="9"/>
                <w:color w:val="auto"/>
                <w:w w:val="70"/>
              </w:rPr>
              <w:t>-</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w w:val="92"/>
              </w:rPr>
              <w:t>n.a.</w:t>
            </w:r>
          </w:p>
        </w:tc>
        <w:tc>
          <w:tcPr>
            <w:tcW w:w="760" w:type="dxa"/>
            <w:vAlign w:val="bottom"/>
            <w:tcBorders>
              <w:right w:val="single" w:sz="8" w:color="auto"/>
            </w:tcBorders>
          </w:tcPr>
          <w:p>
            <w:pPr>
              <w:ind w:left="160"/>
              <w:spacing w:after="0"/>
              <w:rPr>
                <w:sz w:val="20"/>
                <w:szCs w:val="20"/>
                <w:color w:val="auto"/>
              </w:rPr>
            </w:pPr>
            <w:r>
              <w:rPr>
                <w:rFonts w:ascii="Calibri" w:cs="Calibri" w:eastAsia="Calibri" w:hAnsi="Calibri"/>
                <w:sz w:val="10"/>
                <w:szCs w:val="10"/>
                <w:color w:val="auto"/>
              </w:rPr>
              <w:t>n.a.</w:t>
            </w:r>
          </w:p>
        </w:tc>
        <w:tc>
          <w:tcPr>
            <w:tcW w:w="800" w:type="dxa"/>
            <w:vAlign w:val="bottom"/>
          </w:tcPr>
          <w:p>
            <w:pPr>
              <w:jc w:val="center"/>
              <w:ind w:left="129"/>
              <w:spacing w:after="0"/>
              <w:rPr>
                <w:sz w:val="20"/>
                <w:szCs w:val="20"/>
                <w:color w:val="auto"/>
              </w:rPr>
            </w:pPr>
            <w:r>
              <w:rPr>
                <w:rFonts w:ascii="Calibri" w:cs="Calibri" w:eastAsia="Calibri" w:hAnsi="Calibri"/>
                <w:sz w:val="9"/>
                <w:szCs w:val="9"/>
                <w:color w:val="auto"/>
                <w:w w:val="70"/>
              </w:rPr>
              <w:t>-</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9"/>
                <w:szCs w:val="9"/>
                <w:color w:val="auto"/>
                <w:w w:val="70"/>
              </w:rPr>
              <w:t>-</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Associaton in partcipaton</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(9,200)</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(6,799)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(371)</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-94.5%</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color w:val="auto"/>
              </w:rPr>
              <w:t>-96.0%</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(18,047)</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(7,170)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-60.3%</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Other expenses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(124,420)</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(90,785)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(188,763)</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107.9%</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color w:val="auto"/>
              </w:rPr>
              <w:t>51.7%</w:t>
            </w:r>
          </w:p>
        </w:tc>
        <w:tc>
          <w:tcPr>
            <w:tcW w:w="800" w:type="dxa"/>
            <w:vAlign w:val="bottom"/>
          </w:tcPr>
          <w:p>
            <w:pPr>
              <w:jc w:val="center"/>
              <w:ind w:left="149"/>
              <w:spacing w:after="0"/>
              <w:rPr>
                <w:sz w:val="20"/>
                <w:szCs w:val="20"/>
                <w:color w:val="auto"/>
              </w:rPr>
            </w:pPr>
            <w:r>
              <w:rPr>
                <w:rFonts w:ascii="Calibri" w:cs="Calibri" w:eastAsia="Calibri" w:hAnsi="Calibri"/>
                <w:sz w:val="10"/>
                <w:szCs w:val="10"/>
                <w:color w:val="auto"/>
              </w:rPr>
              <w:t>(224,092)</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(279,548)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24.7%</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expenses</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(2,395,205)</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(2,532,874)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(2,630,310)</w:t>
            </w:r>
          </w:p>
        </w:tc>
        <w:tc>
          <w:tcPr>
            <w:tcW w:w="1260" w:type="dxa"/>
            <w:vAlign w:val="bottom"/>
          </w:tcPr>
          <w:p>
            <w:pPr>
              <w:jc w:val="center"/>
              <w:ind w:right="228"/>
              <w:spacing w:after="0"/>
              <w:rPr>
                <w:sz w:val="20"/>
                <w:szCs w:val="20"/>
                <w:color w:val="auto"/>
              </w:rPr>
            </w:pPr>
            <w:r>
              <w:rPr>
                <w:rFonts w:ascii="Calibri" w:cs="Calibri" w:eastAsia="Calibri" w:hAnsi="Calibri"/>
                <w:sz w:val="10"/>
                <w:szCs w:val="10"/>
                <w:b w:val="1"/>
                <w:bCs w:val="1"/>
                <w:color w:val="auto"/>
              </w:rPr>
              <w:t>3.8%</w:t>
            </w:r>
          </w:p>
        </w:tc>
        <w:tc>
          <w:tcPr>
            <w:tcW w:w="7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0"/>
                <w:szCs w:val="10"/>
                <w:b w:val="1"/>
                <w:bCs w:val="1"/>
                <w:color w:val="auto"/>
                <w:w w:val="99"/>
              </w:rPr>
              <w:t>9.8%</w:t>
            </w:r>
          </w:p>
        </w:tc>
        <w:tc>
          <w:tcPr>
            <w:tcW w:w="800" w:type="dxa"/>
            <w:vAlign w:val="bottom"/>
          </w:tcPr>
          <w:p>
            <w:pPr>
              <w:jc w:val="center"/>
              <w:ind w:left="129"/>
              <w:spacing w:after="0"/>
              <w:rPr>
                <w:sz w:val="20"/>
                <w:szCs w:val="20"/>
                <w:color w:val="auto"/>
              </w:rPr>
            </w:pPr>
            <w:r>
              <w:rPr>
                <w:rFonts w:ascii="Calibri" w:cs="Calibri" w:eastAsia="Calibri" w:hAnsi="Calibri"/>
                <w:sz w:val="10"/>
                <w:szCs w:val="10"/>
                <w:b w:val="1"/>
                <w:bCs w:val="1"/>
                <w:color w:val="auto"/>
              </w:rPr>
              <w:t>(4,607,687)</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(5,163,184)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12.1%</w:t>
            </w:r>
          </w:p>
        </w:tc>
        <w:tc>
          <w:tcPr>
            <w:tcW w:w="0" w:type="dxa"/>
            <w:vAlign w:val="bottom"/>
          </w:tcPr>
          <w:p>
            <w:pPr>
              <w:spacing w:after="0"/>
              <w:rPr>
                <w:sz w:val="1"/>
                <w:szCs w:val="1"/>
                <w:color w:val="auto"/>
              </w:rPr>
            </w:pPr>
          </w:p>
        </w:tc>
      </w:tr>
      <w:tr>
        <w:trPr>
          <w:trHeight w:val="32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Proft before income tax</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1,886,718</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2,519,284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2,561,467</w:t>
            </w:r>
          </w:p>
        </w:tc>
        <w:tc>
          <w:tcPr>
            <w:tcW w:w="1260" w:type="dxa"/>
            <w:vAlign w:val="bottom"/>
          </w:tcPr>
          <w:p>
            <w:pPr>
              <w:jc w:val="center"/>
              <w:ind w:right="228"/>
              <w:spacing w:after="0"/>
              <w:rPr>
                <w:sz w:val="20"/>
                <w:szCs w:val="20"/>
                <w:color w:val="auto"/>
              </w:rPr>
            </w:pPr>
            <w:r>
              <w:rPr>
                <w:rFonts w:ascii="Calibri" w:cs="Calibri" w:eastAsia="Calibri" w:hAnsi="Calibri"/>
                <w:sz w:val="10"/>
                <w:szCs w:val="10"/>
                <w:b w:val="1"/>
                <w:bCs w:val="1"/>
                <w:color w:val="auto"/>
              </w:rPr>
              <w:t>1.7%</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b w:val="1"/>
                <w:bCs w:val="1"/>
                <w:color w:val="auto"/>
              </w:rPr>
              <w:t>35.8%</w:t>
            </w:r>
          </w:p>
        </w:tc>
        <w:tc>
          <w:tcPr>
            <w:tcW w:w="800" w:type="dxa"/>
            <w:vAlign w:val="bottom"/>
          </w:tcPr>
          <w:p>
            <w:pPr>
              <w:jc w:val="center"/>
              <w:ind w:left="129"/>
              <w:spacing w:after="0"/>
              <w:rPr>
                <w:sz w:val="20"/>
                <w:szCs w:val="20"/>
                <w:color w:val="auto"/>
              </w:rPr>
            </w:pPr>
            <w:r>
              <w:rPr>
                <w:rFonts w:ascii="Calibri" w:cs="Calibri" w:eastAsia="Calibri" w:hAnsi="Calibri"/>
                <w:sz w:val="10"/>
                <w:szCs w:val="10"/>
                <w:b w:val="1"/>
                <w:bCs w:val="1"/>
                <w:color w:val="auto"/>
              </w:rPr>
              <w:t>3,957,281</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5,080,751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28.4%</w:t>
            </w:r>
          </w:p>
        </w:tc>
        <w:tc>
          <w:tcPr>
            <w:tcW w:w="0" w:type="dxa"/>
            <w:vAlign w:val="bottom"/>
          </w:tcPr>
          <w:p>
            <w:pPr>
              <w:spacing w:after="0"/>
              <w:rPr>
                <w:sz w:val="1"/>
                <w:szCs w:val="1"/>
                <w:color w:val="auto"/>
              </w:rPr>
            </w:pPr>
          </w:p>
        </w:tc>
      </w:tr>
      <w:tr>
        <w:trPr>
          <w:trHeight w:val="325"/>
        </w:trPr>
        <w:tc>
          <w:tcPr>
            <w:tcW w:w="318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Income tax</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(519,344)</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(704,469)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(696,969)</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w w:val="95"/>
              </w:rPr>
              <w:t>-1.1%</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color w:val="auto"/>
              </w:rPr>
              <w:t>34.2%</w:t>
            </w:r>
          </w:p>
        </w:tc>
        <w:tc>
          <w:tcPr>
            <w:tcW w:w="800" w:type="dxa"/>
            <w:vAlign w:val="bottom"/>
          </w:tcPr>
          <w:p>
            <w:pPr>
              <w:jc w:val="center"/>
              <w:ind w:left="149"/>
              <w:spacing w:after="0"/>
              <w:rPr>
                <w:sz w:val="20"/>
                <w:szCs w:val="20"/>
                <w:color w:val="auto"/>
              </w:rPr>
            </w:pPr>
            <w:r>
              <w:rPr>
                <w:rFonts w:ascii="Calibri" w:cs="Calibri" w:eastAsia="Calibri" w:hAnsi="Calibri"/>
                <w:sz w:val="10"/>
                <w:szCs w:val="10"/>
                <w:color w:val="auto"/>
              </w:rPr>
              <w:t>(1,047,810)</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(1,401,438)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33.7%</w:t>
            </w:r>
          </w:p>
        </w:tc>
        <w:tc>
          <w:tcPr>
            <w:tcW w:w="0" w:type="dxa"/>
            <w:vAlign w:val="bottom"/>
          </w:tcPr>
          <w:p>
            <w:pPr>
              <w:spacing w:after="0"/>
              <w:rPr>
                <w:sz w:val="1"/>
                <w:szCs w:val="1"/>
                <w:color w:val="auto"/>
              </w:rPr>
            </w:pPr>
          </w:p>
        </w:tc>
      </w:tr>
      <w:tr>
        <w:trPr>
          <w:trHeight w:val="32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proft</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1,367,374</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1,814,815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1,864,498</w:t>
            </w:r>
          </w:p>
        </w:tc>
        <w:tc>
          <w:tcPr>
            <w:tcW w:w="1260" w:type="dxa"/>
            <w:vAlign w:val="bottom"/>
          </w:tcPr>
          <w:p>
            <w:pPr>
              <w:jc w:val="center"/>
              <w:ind w:right="228"/>
              <w:spacing w:after="0"/>
              <w:rPr>
                <w:sz w:val="20"/>
                <w:szCs w:val="20"/>
                <w:color w:val="auto"/>
              </w:rPr>
            </w:pPr>
            <w:r>
              <w:rPr>
                <w:rFonts w:ascii="Calibri" w:cs="Calibri" w:eastAsia="Calibri" w:hAnsi="Calibri"/>
                <w:sz w:val="10"/>
                <w:szCs w:val="10"/>
                <w:b w:val="1"/>
                <w:bCs w:val="1"/>
                <w:color w:val="auto"/>
              </w:rPr>
              <w:t>2.7%</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b w:val="1"/>
                <w:bCs w:val="1"/>
                <w:color w:val="auto"/>
              </w:rPr>
              <w:t>36.4%</w:t>
            </w:r>
          </w:p>
        </w:tc>
        <w:tc>
          <w:tcPr>
            <w:tcW w:w="800" w:type="dxa"/>
            <w:vAlign w:val="bottom"/>
          </w:tcPr>
          <w:p>
            <w:pPr>
              <w:jc w:val="center"/>
              <w:ind w:left="129"/>
              <w:spacing w:after="0"/>
              <w:rPr>
                <w:sz w:val="20"/>
                <w:szCs w:val="20"/>
                <w:color w:val="auto"/>
              </w:rPr>
            </w:pPr>
            <w:r>
              <w:rPr>
                <w:rFonts w:ascii="Calibri" w:cs="Calibri" w:eastAsia="Calibri" w:hAnsi="Calibri"/>
                <w:sz w:val="10"/>
                <w:szCs w:val="10"/>
                <w:b w:val="1"/>
                <w:bCs w:val="1"/>
                <w:color w:val="auto"/>
              </w:rPr>
              <w:t>2,909,471</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3,679,313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26.5%</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Non-controlling interest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28,278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37,118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42,483</w:t>
            </w:r>
          </w:p>
        </w:tc>
        <w:tc>
          <w:tcPr>
            <w:tcW w:w="1260" w:type="dxa"/>
            <w:vAlign w:val="bottom"/>
          </w:tcPr>
          <w:p>
            <w:pPr>
              <w:jc w:val="center"/>
              <w:ind w:right="228"/>
              <w:spacing w:after="0"/>
              <w:rPr>
                <w:sz w:val="20"/>
                <w:szCs w:val="20"/>
                <w:color w:val="auto"/>
              </w:rPr>
            </w:pPr>
            <w:r>
              <w:rPr>
                <w:rFonts w:ascii="Calibri" w:cs="Calibri" w:eastAsia="Calibri" w:hAnsi="Calibri"/>
                <w:sz w:val="10"/>
                <w:szCs w:val="10"/>
                <w:color w:val="auto"/>
              </w:rPr>
              <w:t>14.5%</w:t>
            </w:r>
          </w:p>
        </w:tc>
        <w:tc>
          <w:tcPr>
            <w:tcW w:w="76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0"/>
                <w:szCs w:val="10"/>
                <w:color w:val="auto"/>
              </w:rPr>
              <w:t>50.2%</w:t>
            </w:r>
          </w:p>
        </w:tc>
        <w:tc>
          <w:tcPr>
            <w:tcW w:w="800" w:type="dxa"/>
            <w:vAlign w:val="bottom"/>
          </w:tcPr>
          <w:p>
            <w:pPr>
              <w:jc w:val="center"/>
              <w:ind w:left="129"/>
              <w:spacing w:after="0"/>
              <w:rPr>
                <w:sz w:val="20"/>
                <w:szCs w:val="20"/>
                <w:color w:val="auto"/>
              </w:rPr>
            </w:pPr>
            <w:r>
              <w:rPr>
                <w:rFonts w:ascii="Calibri" w:cs="Calibri" w:eastAsia="Calibri" w:hAnsi="Calibri"/>
                <w:sz w:val="10"/>
                <w:szCs w:val="10"/>
                <w:color w:val="auto"/>
              </w:rPr>
              <w:t>58,718</w:t>
            </w:r>
          </w:p>
        </w:tc>
        <w:tc>
          <w:tcPr>
            <w:tcW w:w="120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79,601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35.6%</w:t>
            </w:r>
          </w:p>
        </w:tc>
        <w:tc>
          <w:tcPr>
            <w:tcW w:w="0" w:type="dxa"/>
            <w:vAlign w:val="bottom"/>
          </w:tcPr>
          <w:p>
            <w:pPr>
              <w:spacing w:after="0"/>
              <w:rPr>
                <w:sz w:val="1"/>
                <w:szCs w:val="1"/>
                <w:color w:val="auto"/>
              </w:rPr>
            </w:pPr>
          </w:p>
        </w:tc>
      </w:tr>
      <w:tr>
        <w:trPr>
          <w:trHeight w:val="137"/>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proft atributable to Credicorp</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1,339,096</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1,777,697</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1,822,015</w:t>
            </w:r>
          </w:p>
        </w:tc>
        <w:tc>
          <w:tcPr>
            <w:tcW w:w="1260" w:type="dxa"/>
            <w:vAlign w:val="bottom"/>
            <w:tcBorders>
              <w:bottom w:val="single" w:sz="8" w:color="auto"/>
            </w:tcBorders>
          </w:tcPr>
          <w:p>
            <w:pPr>
              <w:jc w:val="center"/>
              <w:ind w:right="228"/>
              <w:spacing w:after="0"/>
              <w:rPr>
                <w:sz w:val="20"/>
                <w:szCs w:val="20"/>
                <w:color w:val="auto"/>
              </w:rPr>
            </w:pPr>
            <w:r>
              <w:rPr>
                <w:rFonts w:ascii="Calibri" w:cs="Calibri" w:eastAsia="Calibri" w:hAnsi="Calibri"/>
                <w:sz w:val="10"/>
                <w:szCs w:val="10"/>
                <w:b w:val="1"/>
                <w:bCs w:val="1"/>
                <w:color w:val="auto"/>
              </w:rPr>
              <w:t>2.5%</w:t>
            </w:r>
          </w:p>
        </w:tc>
        <w:tc>
          <w:tcPr>
            <w:tcW w:w="760" w:type="dxa"/>
            <w:vAlign w:val="bottom"/>
            <w:tcBorders>
              <w:bottom w:val="single" w:sz="8" w:color="auto"/>
              <w:right w:val="single" w:sz="8" w:color="auto"/>
            </w:tcBorders>
          </w:tcPr>
          <w:p>
            <w:pPr>
              <w:jc w:val="center"/>
              <w:ind w:right="248"/>
              <w:spacing w:after="0"/>
              <w:rPr>
                <w:sz w:val="20"/>
                <w:szCs w:val="20"/>
                <w:color w:val="auto"/>
              </w:rPr>
            </w:pPr>
            <w:r>
              <w:rPr>
                <w:rFonts w:ascii="Calibri" w:cs="Calibri" w:eastAsia="Calibri" w:hAnsi="Calibri"/>
                <w:sz w:val="10"/>
                <w:szCs w:val="10"/>
                <w:b w:val="1"/>
                <w:bCs w:val="1"/>
                <w:color w:val="auto"/>
              </w:rPr>
              <w:t>36.1%</w:t>
            </w:r>
          </w:p>
        </w:tc>
        <w:tc>
          <w:tcPr>
            <w:tcW w:w="800" w:type="dxa"/>
            <w:vAlign w:val="bottom"/>
            <w:tcBorders>
              <w:bottom w:val="single" w:sz="8" w:color="auto"/>
            </w:tcBorders>
          </w:tcPr>
          <w:p>
            <w:pPr>
              <w:jc w:val="center"/>
              <w:ind w:left="129"/>
              <w:spacing w:after="0"/>
              <w:rPr>
                <w:sz w:val="20"/>
                <w:szCs w:val="20"/>
                <w:color w:val="auto"/>
              </w:rPr>
            </w:pPr>
            <w:r>
              <w:rPr>
                <w:rFonts w:ascii="Calibri" w:cs="Calibri" w:eastAsia="Calibri" w:hAnsi="Calibri"/>
                <w:sz w:val="10"/>
                <w:szCs w:val="10"/>
                <w:b w:val="1"/>
                <w:bCs w:val="1"/>
                <w:color w:val="auto"/>
              </w:rPr>
              <w:t>2,850,753</w:t>
            </w:r>
          </w:p>
        </w:tc>
        <w:tc>
          <w:tcPr>
            <w:tcW w:w="1200" w:type="dxa"/>
            <w:vAlign w:val="bottom"/>
            <w:tcBorders>
              <w:bottom w:val="single" w:sz="8" w:color="auto"/>
              <w:right w:val="single" w:sz="8" w:color="auto"/>
            </w:tcBorders>
          </w:tcPr>
          <w:p>
            <w:pPr>
              <w:jc w:val="center"/>
              <w:ind w:left="128"/>
              <w:spacing w:after="0"/>
              <w:rPr>
                <w:sz w:val="20"/>
                <w:szCs w:val="20"/>
                <w:color w:val="auto"/>
              </w:rPr>
            </w:pPr>
            <w:r>
              <w:rPr>
                <w:rFonts w:ascii="Calibri" w:cs="Calibri" w:eastAsia="Calibri" w:hAnsi="Calibri"/>
                <w:sz w:val="10"/>
                <w:szCs w:val="10"/>
                <w:b w:val="1"/>
                <w:bCs w:val="1"/>
                <w:color w:val="auto"/>
              </w:rPr>
              <w:t>3,599,712</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26.3%</w:t>
            </w:r>
          </w:p>
        </w:tc>
        <w:tc>
          <w:tcPr>
            <w:tcW w:w="0" w:type="dxa"/>
            <w:vAlign w:val="bottom"/>
          </w:tcPr>
          <w:p>
            <w:pPr>
              <w:spacing w:after="0"/>
              <w:rPr>
                <w:sz w:val="1"/>
                <w:szCs w:val="1"/>
                <w:color w:val="auto"/>
              </w:rPr>
            </w:pPr>
          </w:p>
        </w:tc>
      </w:tr>
      <w:tr>
        <w:trPr>
          <w:trHeight w:val="1319"/>
        </w:trPr>
        <w:tc>
          <w:tcPr>
            <w:tcW w:w="3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-726440</wp:posOffset>
            </wp:positionV>
            <wp:extent cx="6501130" cy="5702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01130" cy="57023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12.7.2. Credicorp Stand-alone</w:t>
      </w:r>
    </w:p>
    <w:p>
      <w:pPr>
        <w:spacing w:after="0" w:line="191" w:lineRule="exact"/>
        <w:rPr>
          <w:sz w:val="20"/>
          <w:szCs w:val="20"/>
          <w:color w:val="auto"/>
        </w:rPr>
      </w:pPr>
    </w:p>
    <w:p>
      <w:pPr>
        <w:ind w:left="4620"/>
        <w:spacing w:after="0"/>
        <w:rPr>
          <w:sz w:val="20"/>
          <w:szCs w:val="20"/>
          <w:color w:val="auto"/>
        </w:rPr>
      </w:pPr>
      <w:r>
        <w:rPr>
          <w:rFonts w:ascii="Calibri" w:cs="Calibri" w:eastAsia="Calibri" w:hAnsi="Calibri"/>
          <w:sz w:val="16"/>
          <w:szCs w:val="16"/>
          <w:b w:val="1"/>
          <w:bCs w:val="1"/>
          <w:color w:val="auto"/>
        </w:rPr>
        <w:t>Statement of Financial Positon</w:t>
      </w:r>
    </w:p>
    <w:p>
      <w:pPr>
        <w:ind w:left="4900"/>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6200" w:type="dxa"/>
            <w:vAlign w:val="bottom"/>
            <w:tcBorders>
              <w:top w:val="single" w:sz="8" w:color="auto"/>
              <w:left w:val="single" w:sz="8" w:color="auto"/>
              <w:right w:val="single" w:sz="8" w:color="auto"/>
            </w:tcBorders>
            <w:shd w:val="clear" w:color="auto" w:fill="2AD2C9"/>
          </w:tcPr>
          <w:p>
            <w:pPr>
              <w:spacing w:after="0"/>
              <w:rPr>
                <w:sz w:val="15"/>
                <w:szCs w:val="15"/>
                <w:color w:val="auto"/>
              </w:rPr>
            </w:pPr>
          </w:p>
        </w:tc>
        <w:tc>
          <w:tcPr>
            <w:tcW w:w="1000" w:type="dxa"/>
            <w:vAlign w:val="bottom"/>
            <w:tcBorders>
              <w:top w:val="single" w:sz="8" w:color="auto"/>
            </w:tcBorders>
            <w:shd w:val="clear" w:color="auto" w:fill="2AD2C9"/>
          </w:tcPr>
          <w:p>
            <w:pPr>
              <w:spacing w:after="0"/>
              <w:rPr>
                <w:sz w:val="15"/>
                <w:szCs w:val="15"/>
                <w:color w:val="auto"/>
              </w:rPr>
            </w:pPr>
          </w:p>
        </w:tc>
        <w:tc>
          <w:tcPr>
            <w:tcW w:w="1020" w:type="dxa"/>
            <w:vAlign w:val="bottom"/>
            <w:tcBorders>
              <w:top w:val="single" w:sz="8" w:color="auto"/>
            </w:tcBorders>
            <w:shd w:val="clear" w:color="auto" w:fill="2AD2C9"/>
          </w:tcPr>
          <w:p>
            <w:pPr>
              <w:jc w:val="center"/>
              <w:spacing w:after="0"/>
              <w:rPr>
                <w:sz w:val="20"/>
                <w:szCs w:val="20"/>
                <w:color w:val="auto"/>
              </w:rPr>
            </w:pPr>
            <w:r>
              <w:rPr>
                <w:rFonts w:ascii="Calibri" w:cs="Calibri" w:eastAsia="Calibri" w:hAnsi="Calibri"/>
                <w:sz w:val="14"/>
                <w:szCs w:val="14"/>
                <w:b w:val="1"/>
                <w:bCs w:val="1"/>
                <w:color w:val="FFFFFF"/>
              </w:rPr>
              <w:t>As of</w:t>
            </w:r>
          </w:p>
        </w:tc>
        <w:tc>
          <w:tcPr>
            <w:tcW w:w="1020" w:type="dxa"/>
            <w:vAlign w:val="bottom"/>
            <w:tcBorders>
              <w:top w:val="single" w:sz="8" w:color="auto"/>
              <w:right w:val="single" w:sz="8" w:color="auto"/>
            </w:tcBorders>
            <w:shd w:val="clear" w:color="auto" w:fill="2AD2C9"/>
          </w:tcPr>
          <w:p>
            <w:pPr>
              <w:spacing w:after="0"/>
              <w:rPr>
                <w:sz w:val="15"/>
                <w:szCs w:val="15"/>
                <w:color w:val="auto"/>
              </w:rPr>
            </w:pPr>
          </w:p>
        </w:tc>
        <w:tc>
          <w:tcPr>
            <w:tcW w:w="700" w:type="dxa"/>
            <w:vAlign w:val="bottom"/>
            <w:tcBorders>
              <w:top w:val="single" w:sz="8" w:color="auto"/>
            </w:tcBorders>
            <w:shd w:val="clear" w:color="auto" w:fill="2AD2C9"/>
          </w:tcPr>
          <w:p>
            <w:pPr>
              <w:spacing w:after="0"/>
              <w:rPr>
                <w:sz w:val="15"/>
                <w:szCs w:val="15"/>
                <w:color w:val="auto"/>
              </w:rPr>
            </w:pPr>
          </w:p>
        </w:tc>
        <w:tc>
          <w:tcPr>
            <w:tcW w:w="1320" w:type="dxa"/>
            <w:vAlign w:val="bottom"/>
            <w:tcBorders>
              <w:top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4"/>
                <w:szCs w:val="14"/>
                <w:b w:val="1"/>
                <w:bCs w:val="1"/>
                <w:color w:val="FFFFFF"/>
              </w:rPr>
              <w:t>% change</w:t>
            </w:r>
          </w:p>
        </w:tc>
      </w:tr>
      <w:tr>
        <w:trPr>
          <w:trHeight w:val="169"/>
        </w:trPr>
        <w:tc>
          <w:tcPr>
            <w:tcW w:w="620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000" w:type="dxa"/>
            <w:vAlign w:val="bottom"/>
            <w:tcBorders>
              <w:bottom w:val="single" w:sz="8" w:color="auto"/>
            </w:tcBorders>
            <w:shd w:val="clear" w:color="auto" w:fill="2AD2C9"/>
          </w:tcPr>
          <w:p>
            <w:pPr>
              <w:ind w:left="320"/>
              <w:spacing w:after="0" w:line="166" w:lineRule="exact"/>
              <w:rPr>
                <w:sz w:val="20"/>
                <w:szCs w:val="20"/>
                <w:color w:val="auto"/>
              </w:rPr>
            </w:pPr>
            <w:r>
              <w:rPr>
                <w:rFonts w:ascii="Calibri" w:cs="Calibri" w:eastAsia="Calibri" w:hAnsi="Calibri"/>
                <w:sz w:val="14"/>
                <w:szCs w:val="14"/>
                <w:b w:val="1"/>
                <w:bCs w:val="1"/>
                <w:color w:val="FFFFFF"/>
              </w:rPr>
              <w:t>Jun 24</w:t>
            </w:r>
          </w:p>
        </w:tc>
        <w:tc>
          <w:tcPr>
            <w:tcW w:w="1020" w:type="dxa"/>
            <w:vAlign w:val="bottom"/>
            <w:tcBorders>
              <w:bottom w:val="single" w:sz="8" w:color="auto"/>
            </w:tcBorders>
            <w:shd w:val="clear" w:color="auto" w:fill="2AD2C9"/>
          </w:tcPr>
          <w:p>
            <w:pPr>
              <w:jc w:val="center"/>
              <w:spacing w:after="0" w:line="166" w:lineRule="exact"/>
              <w:rPr>
                <w:sz w:val="20"/>
                <w:szCs w:val="20"/>
                <w:color w:val="auto"/>
              </w:rPr>
            </w:pPr>
            <w:r>
              <w:rPr>
                <w:rFonts w:ascii="Calibri" w:cs="Calibri" w:eastAsia="Calibri" w:hAnsi="Calibri"/>
                <w:sz w:val="14"/>
                <w:szCs w:val="14"/>
                <w:b w:val="1"/>
                <w:bCs w:val="1"/>
                <w:color w:val="FFFFFF"/>
              </w:rPr>
              <w:t>Mar 25</w:t>
            </w:r>
          </w:p>
        </w:tc>
        <w:tc>
          <w:tcPr>
            <w:tcW w:w="1020" w:type="dxa"/>
            <w:vAlign w:val="bottom"/>
            <w:tcBorders>
              <w:bottom w:val="single" w:sz="8" w:color="auto"/>
              <w:right w:val="single" w:sz="8" w:color="auto"/>
            </w:tcBorders>
            <w:shd w:val="clear" w:color="auto" w:fill="2AD2C9"/>
          </w:tcPr>
          <w:p>
            <w:pPr>
              <w:ind w:left="320"/>
              <w:spacing w:after="0" w:line="166" w:lineRule="exact"/>
              <w:rPr>
                <w:sz w:val="20"/>
                <w:szCs w:val="20"/>
                <w:color w:val="auto"/>
              </w:rPr>
            </w:pPr>
            <w:r>
              <w:rPr>
                <w:rFonts w:ascii="Calibri" w:cs="Calibri" w:eastAsia="Calibri" w:hAnsi="Calibri"/>
                <w:sz w:val="14"/>
                <w:szCs w:val="14"/>
                <w:b w:val="1"/>
                <w:bCs w:val="1"/>
                <w:color w:val="FFFFFF"/>
              </w:rPr>
              <w:t>Jun 25</w:t>
            </w:r>
          </w:p>
        </w:tc>
        <w:tc>
          <w:tcPr>
            <w:tcW w:w="700" w:type="dxa"/>
            <w:vAlign w:val="bottom"/>
            <w:tcBorders>
              <w:bottom w:val="single" w:sz="8" w:color="auto"/>
            </w:tcBorders>
            <w:shd w:val="clear" w:color="auto" w:fill="2AD2C9"/>
          </w:tcPr>
          <w:p>
            <w:pPr>
              <w:jc w:val="center"/>
              <w:ind w:left="211"/>
              <w:spacing w:after="0" w:line="166" w:lineRule="exact"/>
              <w:rPr>
                <w:sz w:val="20"/>
                <w:szCs w:val="20"/>
                <w:color w:val="auto"/>
              </w:rPr>
            </w:pPr>
            <w:r>
              <w:rPr>
                <w:rFonts w:ascii="Calibri" w:cs="Calibri" w:eastAsia="Calibri" w:hAnsi="Calibri"/>
                <w:sz w:val="14"/>
                <w:szCs w:val="14"/>
                <w:b w:val="1"/>
                <w:bCs w:val="1"/>
                <w:color w:val="FFFFFF"/>
                <w:w w:val="97"/>
              </w:rPr>
              <w:t>QoQ</w:t>
            </w:r>
          </w:p>
        </w:tc>
        <w:tc>
          <w:tcPr>
            <w:tcW w:w="1320" w:type="dxa"/>
            <w:vAlign w:val="bottom"/>
            <w:tcBorders>
              <w:bottom w:val="single" w:sz="8" w:color="auto"/>
              <w:right w:val="single" w:sz="8" w:color="auto"/>
            </w:tcBorders>
            <w:shd w:val="clear" w:color="auto" w:fill="2AD2C9"/>
          </w:tcPr>
          <w:p>
            <w:pPr>
              <w:ind w:left="680"/>
              <w:spacing w:after="0" w:line="166" w:lineRule="exact"/>
              <w:rPr>
                <w:sz w:val="20"/>
                <w:szCs w:val="20"/>
                <w:color w:val="auto"/>
              </w:rPr>
            </w:pPr>
            <w:r>
              <w:rPr>
                <w:rFonts w:ascii="Calibri" w:cs="Calibri" w:eastAsia="Calibri" w:hAnsi="Calibri"/>
                <w:sz w:val="14"/>
                <w:szCs w:val="14"/>
                <w:b w:val="1"/>
                <w:bCs w:val="1"/>
                <w:color w:val="FFFFFF"/>
              </w:rPr>
              <w:t>YoY</w:t>
            </w:r>
          </w:p>
        </w:tc>
      </w:tr>
      <w:tr>
        <w:trPr>
          <w:trHeight w:val="150"/>
        </w:trPr>
        <w:tc>
          <w:tcPr>
            <w:tcW w:w="6200" w:type="dxa"/>
            <w:vAlign w:val="bottom"/>
            <w:tcBorders>
              <w:left w:val="single" w:sz="8" w:color="auto"/>
              <w:right w:val="single" w:sz="8" w:color="auto"/>
            </w:tcBorders>
          </w:tcPr>
          <w:p>
            <w:pPr>
              <w:ind w:left="20"/>
              <w:spacing w:after="0" w:line="151" w:lineRule="exact"/>
              <w:rPr>
                <w:sz w:val="20"/>
                <w:szCs w:val="20"/>
                <w:color w:val="auto"/>
              </w:rPr>
            </w:pPr>
            <w:r>
              <w:rPr>
                <w:rFonts w:ascii="Calibri" w:cs="Calibri" w:eastAsia="Calibri" w:hAnsi="Calibri"/>
                <w:sz w:val="14"/>
                <w:szCs w:val="14"/>
                <w:b w:val="1"/>
                <w:bCs w:val="1"/>
                <w:color w:val="auto"/>
              </w:rPr>
              <w:t>ASSETS</w:t>
            </w: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r>
      <w:tr>
        <w:trPr>
          <w:trHeight w:val="166"/>
        </w:trPr>
        <w:tc>
          <w:tcPr>
            <w:tcW w:w="6200" w:type="dxa"/>
            <w:vAlign w:val="bottom"/>
            <w:tcBorders>
              <w:left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color w:val="auto"/>
              </w:rPr>
              <w:t>Cash and cash equivalents</w:t>
            </w:r>
          </w:p>
        </w:tc>
        <w:tc>
          <w:tcPr>
            <w:tcW w:w="1000" w:type="dxa"/>
            <w:vAlign w:val="bottom"/>
          </w:tcPr>
          <w:p>
            <w:pPr>
              <w:jc w:val="center"/>
              <w:spacing w:after="0" w:line="166" w:lineRule="exact"/>
              <w:rPr>
                <w:sz w:val="20"/>
                <w:szCs w:val="20"/>
                <w:color w:val="auto"/>
              </w:rPr>
            </w:pPr>
            <w:r>
              <w:rPr>
                <w:rFonts w:ascii="Calibri" w:cs="Calibri" w:eastAsia="Calibri" w:hAnsi="Calibri"/>
                <w:sz w:val="14"/>
                <w:szCs w:val="14"/>
                <w:color w:val="auto"/>
                <w:w w:val="99"/>
              </w:rPr>
              <w:t>265,981</w:t>
            </w:r>
          </w:p>
        </w:tc>
        <w:tc>
          <w:tcPr>
            <w:tcW w:w="1020" w:type="dxa"/>
            <w:vAlign w:val="bottom"/>
          </w:tcPr>
          <w:p>
            <w:pPr>
              <w:jc w:val="center"/>
              <w:spacing w:after="0" w:line="166" w:lineRule="exact"/>
              <w:rPr>
                <w:sz w:val="20"/>
                <w:szCs w:val="20"/>
                <w:color w:val="auto"/>
              </w:rPr>
            </w:pPr>
            <w:r>
              <w:rPr>
                <w:rFonts w:ascii="Calibri" w:cs="Calibri" w:eastAsia="Calibri" w:hAnsi="Calibri"/>
                <w:sz w:val="14"/>
                <w:szCs w:val="14"/>
                <w:color w:val="auto"/>
                <w:w w:val="99"/>
              </w:rPr>
              <w:t>399,817</w:t>
            </w:r>
          </w:p>
        </w:tc>
        <w:tc>
          <w:tcPr>
            <w:tcW w:w="1020" w:type="dxa"/>
            <w:vAlign w:val="bottom"/>
            <w:tcBorders>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5"/>
              </w:rPr>
              <w:t>399,817</w:t>
            </w:r>
          </w:p>
        </w:tc>
        <w:tc>
          <w:tcPr>
            <w:tcW w:w="700" w:type="dxa"/>
            <w:vAlign w:val="bottom"/>
          </w:tcPr>
          <w:p>
            <w:pPr>
              <w:jc w:val="center"/>
              <w:ind w:left="231"/>
              <w:spacing w:after="0" w:line="166" w:lineRule="exact"/>
              <w:rPr>
                <w:sz w:val="20"/>
                <w:szCs w:val="20"/>
                <w:color w:val="auto"/>
              </w:rPr>
            </w:pPr>
            <w:r>
              <w:rPr>
                <w:rFonts w:ascii="Calibri" w:cs="Calibri" w:eastAsia="Calibri" w:hAnsi="Calibri"/>
                <w:sz w:val="14"/>
                <w:szCs w:val="14"/>
                <w:color w:val="auto"/>
              </w:rPr>
              <w:t>0.0%</w:t>
            </w:r>
          </w:p>
        </w:tc>
        <w:tc>
          <w:tcPr>
            <w:tcW w:w="1320" w:type="dxa"/>
            <w:vAlign w:val="bottom"/>
            <w:tcBorders>
              <w:right w:val="single" w:sz="8" w:color="auto"/>
            </w:tcBorders>
          </w:tcPr>
          <w:p>
            <w:pPr>
              <w:jc w:val="center"/>
              <w:ind w:left="191"/>
              <w:spacing w:after="0" w:line="166" w:lineRule="exact"/>
              <w:rPr>
                <w:sz w:val="20"/>
                <w:szCs w:val="20"/>
                <w:color w:val="auto"/>
              </w:rPr>
            </w:pPr>
            <w:r>
              <w:rPr>
                <w:rFonts w:ascii="Calibri" w:cs="Calibri" w:eastAsia="Calibri" w:hAnsi="Calibri"/>
                <w:sz w:val="14"/>
                <w:szCs w:val="14"/>
                <w:color w:val="auto"/>
                <w:w w:val="97"/>
              </w:rPr>
              <w:t>50.3%</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At fair value through proft or loss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2"/>
              </w:rPr>
              <w:t>-</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2"/>
              </w:rPr>
              <w:t>-</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2"/>
              </w:rPr>
              <w:t>-</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color w:val="auto"/>
                <w:w w:val="94"/>
              </w:rPr>
              <w:t>n.a.</w:t>
            </w:r>
          </w:p>
        </w:tc>
        <w:tc>
          <w:tcPr>
            <w:tcW w:w="1320" w:type="dxa"/>
            <w:vAlign w:val="bottom"/>
            <w:tcBorders>
              <w:right w:val="single" w:sz="8" w:color="auto"/>
            </w:tcBorders>
          </w:tcPr>
          <w:p>
            <w:pPr>
              <w:ind w:left="680"/>
              <w:spacing w:after="0" w:line="169" w:lineRule="exact"/>
              <w:rPr>
                <w:sz w:val="20"/>
                <w:szCs w:val="20"/>
                <w:color w:val="auto"/>
              </w:rPr>
            </w:pPr>
            <w:r>
              <w:rPr>
                <w:rFonts w:ascii="Calibri" w:cs="Calibri" w:eastAsia="Calibri" w:hAnsi="Calibri"/>
                <w:sz w:val="14"/>
                <w:szCs w:val="14"/>
                <w:color w:val="auto"/>
              </w:rPr>
              <w:t>n.a.</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Fair value through other comprehensive income investments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1,455,030</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1,232,139</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5"/>
              </w:rPr>
              <w:t>109,057</w:t>
            </w:r>
          </w:p>
        </w:tc>
        <w:tc>
          <w:tcPr>
            <w:tcW w:w="700" w:type="dxa"/>
            <w:vAlign w:val="bottom"/>
          </w:tcPr>
          <w:p>
            <w:pPr>
              <w:jc w:val="center"/>
              <w:ind w:left="211"/>
              <w:spacing w:after="0" w:line="169" w:lineRule="exact"/>
              <w:rPr>
                <w:sz w:val="20"/>
                <w:szCs w:val="20"/>
                <w:color w:val="auto"/>
              </w:rPr>
            </w:pPr>
            <w:r>
              <w:rPr>
                <w:rFonts w:ascii="Calibri" w:cs="Calibri" w:eastAsia="Calibri" w:hAnsi="Calibri"/>
                <w:sz w:val="14"/>
                <w:szCs w:val="14"/>
                <w:color w:val="auto"/>
                <w:w w:val="97"/>
              </w:rPr>
              <w:t>-91.1%</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7"/>
              </w:rPr>
              <w:t>-92.5%</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In subsidiaries and associates investments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rPr>
              <w:t>36,415,839</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rPr>
              <w:t>39,435,439</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38,318,421</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color w:val="auto"/>
                <w:w w:val="99"/>
              </w:rPr>
              <w:t>-2.8%</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3"/>
              </w:rPr>
              <w:t>5.2%</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Investments at amortzed cost</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668,698</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686,418</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5"/>
              </w:rPr>
              <w:t>686,418</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color w:val="auto"/>
              </w:rPr>
              <w:t>0.0%</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3"/>
              </w:rPr>
              <w:t>2.6%</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Other assets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rPr>
              <w:t>1,560</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250,990</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9,359</w:t>
            </w:r>
          </w:p>
        </w:tc>
        <w:tc>
          <w:tcPr>
            <w:tcW w:w="700" w:type="dxa"/>
            <w:vAlign w:val="bottom"/>
          </w:tcPr>
          <w:p>
            <w:pPr>
              <w:jc w:val="center"/>
              <w:ind w:left="211"/>
              <w:spacing w:after="0" w:line="169" w:lineRule="exact"/>
              <w:rPr>
                <w:sz w:val="20"/>
                <w:szCs w:val="20"/>
                <w:color w:val="auto"/>
              </w:rPr>
            </w:pPr>
            <w:r>
              <w:rPr>
                <w:rFonts w:ascii="Calibri" w:cs="Calibri" w:eastAsia="Calibri" w:hAnsi="Calibri"/>
                <w:sz w:val="14"/>
                <w:szCs w:val="14"/>
                <w:color w:val="auto"/>
                <w:w w:val="97"/>
              </w:rPr>
              <w:t>-96.3%</w:t>
            </w:r>
          </w:p>
        </w:tc>
        <w:tc>
          <w:tcPr>
            <w:tcW w:w="1320" w:type="dxa"/>
            <w:vAlign w:val="bottom"/>
            <w:tcBorders>
              <w:right w:val="single" w:sz="8" w:color="auto"/>
            </w:tcBorders>
          </w:tcPr>
          <w:p>
            <w:pPr>
              <w:ind w:left="680"/>
              <w:spacing w:after="0" w:line="169" w:lineRule="exact"/>
              <w:rPr>
                <w:sz w:val="20"/>
                <w:szCs w:val="20"/>
                <w:color w:val="auto"/>
              </w:rPr>
            </w:pPr>
            <w:r>
              <w:rPr>
                <w:rFonts w:ascii="Calibri" w:cs="Calibri" w:eastAsia="Calibri" w:hAnsi="Calibri"/>
                <w:sz w:val="14"/>
                <w:szCs w:val="14"/>
                <w:color w:val="auto"/>
              </w:rPr>
              <w:t>n.a.</w:t>
            </w:r>
          </w:p>
        </w:tc>
      </w:tr>
      <w:tr>
        <w:trPr>
          <w:trHeight w:val="169"/>
        </w:trPr>
        <w:tc>
          <w:tcPr>
            <w:tcW w:w="6200" w:type="dxa"/>
            <w:vAlign w:val="bottom"/>
            <w:tcBorders>
              <w:left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7"/>
              </w:rPr>
              <w:t>Total Assets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38,807,108</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42,004,803</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9"/>
              </w:rPr>
              <w:t>38,578,179</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b w:val="1"/>
                <w:bCs w:val="1"/>
                <w:color w:val="auto"/>
                <w:w w:val="98"/>
              </w:rPr>
              <w:t>-8.2%</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b w:val="1"/>
                <w:bCs w:val="1"/>
                <w:color w:val="auto"/>
              </w:rPr>
              <w:t>-0.6%</w:t>
            </w:r>
          </w:p>
        </w:tc>
      </w:tr>
      <w:tr>
        <w:trPr>
          <w:trHeight w:val="338"/>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b w:val="1"/>
                <w:bCs w:val="1"/>
                <w:color w:val="auto"/>
              </w:rPr>
              <w:t>LIABILITIES AND NET SHAREHOLDERS' EQUITY</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Due to banks, correspondents and other enttes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2"/>
              </w:rPr>
              <w:t>-</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2"/>
              </w:rPr>
              <w:t>-</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2"/>
              </w:rPr>
              <w:t>-</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color w:val="auto"/>
                <w:w w:val="94"/>
              </w:rPr>
              <w:t>n.a.</w:t>
            </w:r>
          </w:p>
        </w:tc>
        <w:tc>
          <w:tcPr>
            <w:tcW w:w="1320" w:type="dxa"/>
            <w:vAlign w:val="bottom"/>
            <w:tcBorders>
              <w:right w:val="single" w:sz="8" w:color="auto"/>
            </w:tcBorders>
          </w:tcPr>
          <w:p>
            <w:pPr>
              <w:ind w:left="680"/>
              <w:spacing w:after="0" w:line="169" w:lineRule="exact"/>
              <w:rPr>
                <w:sz w:val="20"/>
                <w:szCs w:val="20"/>
                <w:color w:val="auto"/>
              </w:rPr>
            </w:pPr>
            <w:r>
              <w:rPr>
                <w:rFonts w:ascii="Calibri" w:cs="Calibri" w:eastAsia="Calibri" w:hAnsi="Calibri"/>
                <w:sz w:val="14"/>
                <w:szCs w:val="14"/>
                <w:color w:val="auto"/>
              </w:rPr>
              <w:t>n.a.</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Bonds and notes issued</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1,859,959</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1,796,058</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2"/>
              </w:rPr>
              <w:t>-</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color w:val="auto"/>
                <w:w w:val="94"/>
              </w:rPr>
              <w:t>n.a.</w:t>
            </w:r>
          </w:p>
        </w:tc>
        <w:tc>
          <w:tcPr>
            <w:tcW w:w="1320" w:type="dxa"/>
            <w:vAlign w:val="bottom"/>
            <w:tcBorders>
              <w:right w:val="single" w:sz="8" w:color="auto"/>
            </w:tcBorders>
          </w:tcPr>
          <w:p>
            <w:pPr>
              <w:ind w:left="680"/>
              <w:spacing w:after="0" w:line="169" w:lineRule="exact"/>
              <w:rPr>
                <w:sz w:val="20"/>
                <w:szCs w:val="20"/>
                <w:color w:val="auto"/>
              </w:rPr>
            </w:pPr>
            <w:r>
              <w:rPr>
                <w:rFonts w:ascii="Calibri" w:cs="Calibri" w:eastAsia="Calibri" w:hAnsi="Calibri"/>
                <w:sz w:val="14"/>
                <w:szCs w:val="14"/>
                <w:color w:val="auto"/>
              </w:rPr>
              <w:t>n.a.</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Other liabilites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214,061</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276,279</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5"/>
              </w:rPr>
              <w:t>150,294</w:t>
            </w:r>
          </w:p>
        </w:tc>
        <w:tc>
          <w:tcPr>
            <w:tcW w:w="700" w:type="dxa"/>
            <w:vAlign w:val="bottom"/>
          </w:tcPr>
          <w:p>
            <w:pPr>
              <w:jc w:val="center"/>
              <w:ind w:left="211"/>
              <w:spacing w:after="0" w:line="169" w:lineRule="exact"/>
              <w:rPr>
                <w:sz w:val="20"/>
                <w:szCs w:val="20"/>
                <w:color w:val="auto"/>
              </w:rPr>
            </w:pPr>
            <w:r>
              <w:rPr>
                <w:rFonts w:ascii="Calibri" w:cs="Calibri" w:eastAsia="Calibri" w:hAnsi="Calibri"/>
                <w:sz w:val="14"/>
                <w:szCs w:val="14"/>
                <w:color w:val="auto"/>
                <w:w w:val="97"/>
              </w:rPr>
              <w:t>-45.6%</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7"/>
              </w:rPr>
              <w:t>-29.8%</w:t>
            </w:r>
          </w:p>
        </w:tc>
      </w:tr>
      <w:tr>
        <w:trPr>
          <w:trHeight w:val="169"/>
        </w:trPr>
        <w:tc>
          <w:tcPr>
            <w:tcW w:w="6200" w:type="dxa"/>
            <w:vAlign w:val="bottom"/>
            <w:tcBorders>
              <w:left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9"/>
              </w:rPr>
              <w:t>Total Liabilites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2,074,020</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2,072,337</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5"/>
              </w:rPr>
              <w:t>150,294</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b w:val="1"/>
                <w:bCs w:val="1"/>
                <w:color w:val="auto"/>
              </w:rPr>
              <w:t>-92.7%</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b w:val="1"/>
                <w:bCs w:val="1"/>
                <w:color w:val="auto"/>
                <w:w w:val="96"/>
              </w:rPr>
              <w:t>-92.8%</w:t>
            </w:r>
          </w:p>
        </w:tc>
      </w:tr>
      <w:tr>
        <w:trPr>
          <w:trHeight w:val="338"/>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b w:val="1"/>
                <w:bCs w:val="1"/>
                <w:color w:val="auto"/>
              </w:rPr>
              <w:t>NET EQUITY</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Capital stock</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1,318,993</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1,318,993</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1,318,993</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color w:val="auto"/>
              </w:rPr>
              <w:t>0.0%</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3"/>
              </w:rPr>
              <w:t>0.0%</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Capital Surplus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384,542</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9"/>
              </w:rPr>
              <w:t>384,542</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5"/>
              </w:rPr>
              <w:t>384,542</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color w:val="auto"/>
              </w:rPr>
              <w:t>0.0%</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3"/>
              </w:rPr>
              <w:t>0.0%</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Reserve</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rPr>
              <w:t>27,689,804</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rPr>
              <w:t>32,291,005</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28,465,226</w:t>
            </w:r>
          </w:p>
        </w:tc>
        <w:tc>
          <w:tcPr>
            <w:tcW w:w="700" w:type="dxa"/>
            <w:vAlign w:val="bottom"/>
          </w:tcPr>
          <w:p>
            <w:pPr>
              <w:jc w:val="center"/>
              <w:ind w:left="211"/>
              <w:spacing w:after="0" w:line="169" w:lineRule="exact"/>
              <w:rPr>
                <w:sz w:val="20"/>
                <w:szCs w:val="20"/>
                <w:color w:val="auto"/>
              </w:rPr>
            </w:pPr>
            <w:r>
              <w:rPr>
                <w:rFonts w:ascii="Calibri" w:cs="Calibri" w:eastAsia="Calibri" w:hAnsi="Calibri"/>
                <w:sz w:val="14"/>
                <w:szCs w:val="14"/>
                <w:color w:val="auto"/>
                <w:w w:val="97"/>
              </w:rPr>
              <w:t>-11.8%</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3"/>
              </w:rPr>
              <w:t>2.8%</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Unrealized results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rPr>
              <w:t>40,503</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(245,864)</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(323,985)</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color w:val="auto"/>
                <w:w w:val="94"/>
              </w:rPr>
              <w:t>n.a.</w:t>
            </w:r>
          </w:p>
        </w:tc>
        <w:tc>
          <w:tcPr>
            <w:tcW w:w="1320" w:type="dxa"/>
            <w:vAlign w:val="bottom"/>
            <w:tcBorders>
              <w:right w:val="single" w:sz="8" w:color="auto"/>
            </w:tcBorders>
          </w:tcPr>
          <w:p>
            <w:pPr>
              <w:ind w:left="680"/>
              <w:spacing w:after="0" w:line="169" w:lineRule="exact"/>
              <w:rPr>
                <w:sz w:val="20"/>
                <w:szCs w:val="20"/>
                <w:color w:val="auto"/>
              </w:rPr>
            </w:pPr>
            <w:r>
              <w:rPr>
                <w:rFonts w:ascii="Calibri" w:cs="Calibri" w:eastAsia="Calibri" w:hAnsi="Calibri"/>
                <w:sz w:val="14"/>
                <w:szCs w:val="14"/>
                <w:color w:val="auto"/>
              </w:rPr>
              <w:t>n.a.</w:t>
            </w: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Retained earnings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7,299,246</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6,183,790</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8,583,109</w:t>
            </w:r>
          </w:p>
        </w:tc>
        <w:tc>
          <w:tcPr>
            <w:tcW w:w="700" w:type="dxa"/>
            <w:vAlign w:val="bottom"/>
          </w:tcPr>
          <w:p>
            <w:pPr>
              <w:jc w:val="center"/>
              <w:ind w:left="211"/>
              <w:spacing w:after="0" w:line="169" w:lineRule="exact"/>
              <w:rPr>
                <w:sz w:val="20"/>
                <w:szCs w:val="20"/>
                <w:color w:val="auto"/>
              </w:rPr>
            </w:pPr>
            <w:r>
              <w:rPr>
                <w:rFonts w:ascii="Calibri" w:cs="Calibri" w:eastAsia="Calibri" w:hAnsi="Calibri"/>
                <w:sz w:val="14"/>
                <w:szCs w:val="14"/>
                <w:color w:val="auto"/>
                <w:w w:val="97"/>
              </w:rPr>
              <w:t>38.8%</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color w:val="auto"/>
                <w:w w:val="97"/>
              </w:rPr>
              <w:t>17.6%</w:t>
            </w:r>
          </w:p>
        </w:tc>
      </w:tr>
      <w:tr>
        <w:trPr>
          <w:trHeight w:val="169"/>
        </w:trPr>
        <w:tc>
          <w:tcPr>
            <w:tcW w:w="6200" w:type="dxa"/>
            <w:vAlign w:val="bottom"/>
            <w:tcBorders>
              <w:left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7"/>
              </w:rPr>
              <w:t>Total net equity</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36,733,088</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39,932,466</w:t>
            </w:r>
          </w:p>
        </w:tc>
        <w:tc>
          <w:tcPr>
            <w:tcW w:w="10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9"/>
              </w:rPr>
              <w:t>38,427,885</w:t>
            </w:r>
          </w:p>
        </w:tc>
        <w:tc>
          <w:tcPr>
            <w:tcW w:w="700" w:type="dxa"/>
            <w:vAlign w:val="bottom"/>
          </w:tcPr>
          <w:p>
            <w:pPr>
              <w:jc w:val="center"/>
              <w:ind w:left="231"/>
              <w:spacing w:after="0" w:line="169" w:lineRule="exact"/>
              <w:rPr>
                <w:sz w:val="20"/>
                <w:szCs w:val="20"/>
                <w:color w:val="auto"/>
              </w:rPr>
            </w:pPr>
            <w:r>
              <w:rPr>
                <w:rFonts w:ascii="Calibri" w:cs="Calibri" w:eastAsia="Calibri" w:hAnsi="Calibri"/>
                <w:sz w:val="14"/>
                <w:szCs w:val="14"/>
                <w:b w:val="1"/>
                <w:bCs w:val="1"/>
                <w:color w:val="auto"/>
                <w:w w:val="98"/>
              </w:rPr>
              <w:t>-3.8%</w:t>
            </w:r>
          </w:p>
        </w:tc>
        <w:tc>
          <w:tcPr>
            <w:tcW w:w="1320" w:type="dxa"/>
            <w:vAlign w:val="bottom"/>
            <w:tcBorders>
              <w:right w:val="single" w:sz="8" w:color="auto"/>
            </w:tcBorders>
          </w:tcPr>
          <w:p>
            <w:pPr>
              <w:jc w:val="center"/>
              <w:ind w:left="191"/>
              <w:spacing w:after="0" w:line="169" w:lineRule="exact"/>
              <w:rPr>
                <w:sz w:val="20"/>
                <w:szCs w:val="20"/>
                <w:color w:val="auto"/>
              </w:rPr>
            </w:pPr>
            <w:r>
              <w:rPr>
                <w:rFonts w:ascii="Calibri" w:cs="Calibri" w:eastAsia="Calibri" w:hAnsi="Calibri"/>
                <w:sz w:val="14"/>
                <w:szCs w:val="14"/>
                <w:b w:val="1"/>
                <w:bCs w:val="1"/>
                <w:color w:val="auto"/>
                <w:w w:val="92"/>
              </w:rPr>
              <w:t>4.6%</w:t>
            </w:r>
          </w:p>
        </w:tc>
      </w:tr>
      <w:tr>
        <w:trPr>
          <w:trHeight w:val="349"/>
        </w:trPr>
        <w:tc>
          <w:tcPr>
            <w:tcW w:w="620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4"/>
                <w:szCs w:val="14"/>
                <w:b w:val="1"/>
                <w:bCs w:val="1"/>
                <w:color w:val="auto"/>
              </w:rPr>
              <w:t>Total Liabilites And Equity</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9"/>
              </w:rPr>
              <w:t>38,807,108</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9"/>
              </w:rPr>
              <w:t>42,004,803</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9"/>
              </w:rPr>
              <w:t>38,578,179</w:t>
            </w:r>
          </w:p>
        </w:tc>
        <w:tc>
          <w:tcPr>
            <w:tcW w:w="700" w:type="dxa"/>
            <w:vAlign w:val="bottom"/>
            <w:tcBorders>
              <w:bottom w:val="single" w:sz="8" w:color="auto"/>
            </w:tcBorders>
          </w:tcPr>
          <w:p>
            <w:pPr>
              <w:jc w:val="center"/>
              <w:ind w:left="231"/>
              <w:spacing w:after="0"/>
              <w:rPr>
                <w:sz w:val="20"/>
                <w:szCs w:val="20"/>
                <w:color w:val="auto"/>
              </w:rPr>
            </w:pPr>
            <w:r>
              <w:rPr>
                <w:rFonts w:ascii="Calibri" w:cs="Calibri" w:eastAsia="Calibri" w:hAnsi="Calibri"/>
                <w:sz w:val="14"/>
                <w:szCs w:val="14"/>
                <w:b w:val="1"/>
                <w:bCs w:val="1"/>
                <w:color w:val="auto"/>
                <w:w w:val="98"/>
              </w:rPr>
              <w:t>-8.2%</w:t>
            </w:r>
          </w:p>
        </w:tc>
        <w:tc>
          <w:tcPr>
            <w:tcW w:w="1320" w:type="dxa"/>
            <w:vAlign w:val="bottom"/>
            <w:tcBorders>
              <w:bottom w:val="single" w:sz="8" w:color="auto"/>
              <w:right w:val="single" w:sz="8" w:color="auto"/>
            </w:tcBorders>
          </w:tcPr>
          <w:p>
            <w:pPr>
              <w:jc w:val="center"/>
              <w:ind w:left="191"/>
              <w:spacing w:after="0"/>
              <w:rPr>
                <w:sz w:val="20"/>
                <w:szCs w:val="20"/>
                <w:color w:val="auto"/>
              </w:rPr>
            </w:pPr>
            <w:r>
              <w:rPr>
                <w:rFonts w:ascii="Calibri" w:cs="Calibri" w:eastAsia="Calibri" w:hAnsi="Calibri"/>
                <w:sz w:val="14"/>
                <w:szCs w:val="14"/>
                <w:b w:val="1"/>
                <w:bCs w:val="1"/>
                <w:color w:val="auto"/>
              </w:rPr>
              <w:t>-0.6%</w:t>
            </w:r>
          </w:p>
        </w:tc>
      </w:tr>
    </w:tbl>
    <w:p>
      <w:pPr>
        <w:spacing w:after="0" w:line="168" w:lineRule="exact"/>
        <w:rPr>
          <w:sz w:val="20"/>
          <w:szCs w:val="20"/>
          <w:color w:val="auto"/>
        </w:rPr>
      </w:pPr>
    </w:p>
    <w:p>
      <w:pPr>
        <w:ind w:left="4940"/>
        <w:spacing w:after="0"/>
        <w:rPr>
          <w:sz w:val="20"/>
          <w:szCs w:val="20"/>
          <w:color w:val="auto"/>
        </w:rPr>
      </w:pPr>
      <w:r>
        <w:rPr>
          <w:rFonts w:ascii="Calibri" w:cs="Calibri" w:eastAsia="Calibri" w:hAnsi="Calibri"/>
          <w:sz w:val="16"/>
          <w:szCs w:val="16"/>
          <w:b w:val="1"/>
          <w:bCs w:val="1"/>
          <w:color w:val="auto"/>
        </w:rPr>
        <w:t>Statement of Income</w:t>
      </w:r>
    </w:p>
    <w:p>
      <w:pPr>
        <w:ind w:left="4960"/>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3180" w:type="dxa"/>
            <w:vAlign w:val="bottom"/>
            <w:tcBorders>
              <w:top w:val="single" w:sz="8" w:color="auto"/>
              <w:left w:val="single" w:sz="8" w:color="2AD2C9"/>
              <w:right w:val="single" w:sz="8" w:color="auto"/>
            </w:tcBorders>
            <w:shd w:val="clear" w:color="auto" w:fill="2AD2C9"/>
          </w:tcPr>
          <w:p>
            <w:pPr>
              <w:spacing w:after="0"/>
              <w:rPr>
                <w:sz w:val="11"/>
                <w:szCs w:val="11"/>
                <w:color w:val="auto"/>
              </w:rPr>
            </w:pPr>
          </w:p>
        </w:tc>
        <w:tc>
          <w:tcPr>
            <w:tcW w:w="1000" w:type="dxa"/>
            <w:vAlign w:val="bottom"/>
            <w:tcBorders>
              <w:top w:val="single" w:sz="8" w:color="auto"/>
            </w:tcBorders>
            <w:shd w:val="clear" w:color="auto" w:fill="2AD2C9"/>
          </w:tcPr>
          <w:p>
            <w:pPr>
              <w:spacing w:after="0"/>
              <w:rPr>
                <w:sz w:val="11"/>
                <w:szCs w:val="11"/>
                <w:color w:val="auto"/>
              </w:rPr>
            </w:pPr>
          </w:p>
        </w:tc>
        <w:tc>
          <w:tcPr>
            <w:tcW w:w="1000" w:type="dxa"/>
            <w:vAlign w:val="bottom"/>
            <w:tcBorders>
              <w:top w:val="single" w:sz="8" w:color="auto"/>
            </w:tcBorders>
            <w:shd w:val="clear" w:color="auto" w:fill="2AD2C9"/>
          </w:tcPr>
          <w:p>
            <w:pPr>
              <w:ind w:left="340"/>
              <w:spacing w:after="0"/>
              <w:rPr>
                <w:sz w:val="20"/>
                <w:szCs w:val="20"/>
                <w:color w:val="auto"/>
              </w:rPr>
            </w:pPr>
            <w:r>
              <w:rPr>
                <w:rFonts w:ascii="Calibri" w:cs="Calibri" w:eastAsia="Calibri" w:hAnsi="Calibri"/>
                <w:sz w:val="10"/>
                <w:szCs w:val="10"/>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1"/>
                <w:szCs w:val="11"/>
                <w:color w:val="auto"/>
              </w:rPr>
            </w:pPr>
          </w:p>
        </w:tc>
        <w:tc>
          <w:tcPr>
            <w:tcW w:w="720" w:type="dxa"/>
            <w:vAlign w:val="bottom"/>
            <w:tcBorders>
              <w:top w:val="single" w:sz="8" w:color="auto"/>
            </w:tcBorders>
            <w:shd w:val="clear" w:color="auto" w:fill="2AD2C9"/>
          </w:tcPr>
          <w:p>
            <w:pPr>
              <w:spacing w:after="0"/>
              <w:rPr>
                <w:sz w:val="11"/>
                <w:szCs w:val="11"/>
                <w:color w:val="auto"/>
              </w:rPr>
            </w:pPr>
          </w:p>
        </w:tc>
        <w:tc>
          <w:tcPr>
            <w:tcW w:w="1300" w:type="dxa"/>
            <w:vAlign w:val="bottom"/>
            <w:tcBorders>
              <w:top w:val="single" w:sz="8" w:color="auto"/>
              <w:right w:val="single" w:sz="8" w:color="auto"/>
            </w:tcBorders>
            <w:shd w:val="clear" w:color="auto" w:fill="2AD2C9"/>
          </w:tcPr>
          <w:p>
            <w:pPr>
              <w:ind w:left="60"/>
              <w:spacing w:after="0"/>
              <w:rPr>
                <w:sz w:val="20"/>
                <w:szCs w:val="20"/>
                <w:color w:val="auto"/>
              </w:rPr>
            </w:pPr>
            <w:r>
              <w:rPr>
                <w:rFonts w:ascii="Calibri" w:cs="Calibri" w:eastAsia="Calibri" w:hAnsi="Calibri"/>
                <w:sz w:val="10"/>
                <w:szCs w:val="10"/>
                <w:b w:val="1"/>
                <w:bCs w:val="1"/>
                <w:color w:val="FFFFFF"/>
              </w:rPr>
              <w:t>% Change</w:t>
            </w:r>
          </w:p>
        </w:tc>
        <w:tc>
          <w:tcPr>
            <w:tcW w:w="780" w:type="dxa"/>
            <w:vAlign w:val="bottom"/>
            <w:tcBorders>
              <w:top w:val="single" w:sz="8" w:color="auto"/>
            </w:tcBorders>
            <w:shd w:val="clear" w:color="auto" w:fill="2AD2C9"/>
          </w:tcPr>
          <w:p>
            <w:pPr>
              <w:spacing w:after="0"/>
              <w:rPr>
                <w:sz w:val="11"/>
                <w:szCs w:val="11"/>
                <w:color w:val="auto"/>
              </w:rPr>
            </w:pPr>
          </w:p>
        </w:tc>
        <w:tc>
          <w:tcPr>
            <w:tcW w:w="1220" w:type="dxa"/>
            <w:vAlign w:val="bottom"/>
            <w:tcBorders>
              <w:top w:val="single" w:sz="8" w:color="auto"/>
              <w:right w:val="single" w:sz="8" w:color="auto"/>
            </w:tcBorders>
            <w:shd w:val="clear" w:color="auto" w:fill="2AD2C9"/>
          </w:tcPr>
          <w:p>
            <w:pPr>
              <w:ind w:left="100"/>
              <w:spacing w:after="0"/>
              <w:rPr>
                <w:sz w:val="20"/>
                <w:szCs w:val="20"/>
                <w:color w:val="auto"/>
              </w:rPr>
            </w:pPr>
            <w:r>
              <w:rPr>
                <w:rFonts w:ascii="Calibri" w:cs="Calibri" w:eastAsia="Calibri" w:hAnsi="Calibri"/>
                <w:sz w:val="10"/>
                <w:szCs w:val="10"/>
                <w:b w:val="1"/>
                <w:bCs w:val="1"/>
                <w:color w:val="FFFFFF"/>
              </w:rPr>
              <w:t>Up to</w:t>
            </w:r>
          </w:p>
        </w:tc>
        <w:tc>
          <w:tcPr>
            <w:tcW w:w="10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rPr>
              <w:t>% Change</w:t>
            </w:r>
          </w:p>
        </w:tc>
      </w:tr>
      <w:tr>
        <w:trPr>
          <w:trHeight w:val="130"/>
        </w:trPr>
        <w:tc>
          <w:tcPr>
            <w:tcW w:w="3180" w:type="dxa"/>
            <w:vAlign w:val="bottom"/>
            <w:tcBorders>
              <w:left w:val="single" w:sz="8" w:color="2AD2C9"/>
              <w:bottom w:val="single" w:sz="8" w:color="auto"/>
              <w:right w:val="single" w:sz="8" w:color="auto"/>
            </w:tcBorders>
            <w:shd w:val="clear" w:color="auto" w:fill="2AD2C9"/>
          </w:tcPr>
          <w:p>
            <w:pPr>
              <w:spacing w:after="0"/>
              <w:rPr>
                <w:sz w:val="11"/>
                <w:szCs w:val="11"/>
                <w:color w:val="auto"/>
              </w:rPr>
            </w:pPr>
          </w:p>
        </w:tc>
        <w:tc>
          <w:tcPr>
            <w:tcW w:w="1000" w:type="dxa"/>
            <w:vAlign w:val="bottom"/>
            <w:tcBorders>
              <w:bottom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9"/>
              </w:rPr>
              <w:t>2Q24</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9"/>
              </w:rPr>
              <w:t>1Q25</w:t>
            </w:r>
          </w:p>
        </w:tc>
        <w:tc>
          <w:tcPr>
            <w:tcW w:w="10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9"/>
              </w:rPr>
              <w:t>2Q25</w:t>
            </w:r>
          </w:p>
        </w:tc>
        <w:tc>
          <w:tcPr>
            <w:tcW w:w="720" w:type="dxa"/>
            <w:vAlign w:val="bottom"/>
            <w:tcBorders>
              <w:bottom w:val="single" w:sz="8" w:color="auto"/>
            </w:tcBorders>
            <w:shd w:val="clear" w:color="auto" w:fill="2AD2C9"/>
          </w:tcPr>
          <w:p>
            <w:pPr>
              <w:jc w:val="center"/>
              <w:ind w:left="208"/>
              <w:spacing w:after="0"/>
              <w:rPr>
                <w:sz w:val="20"/>
                <w:szCs w:val="20"/>
                <w:color w:val="auto"/>
              </w:rPr>
            </w:pPr>
            <w:r>
              <w:rPr>
                <w:rFonts w:ascii="Calibri" w:cs="Calibri" w:eastAsia="Calibri" w:hAnsi="Calibri"/>
                <w:sz w:val="10"/>
                <w:szCs w:val="10"/>
                <w:b w:val="1"/>
                <w:bCs w:val="1"/>
                <w:color w:val="FFFFFF"/>
                <w:w w:val="93"/>
              </w:rPr>
              <w:t>QoQ</w:t>
            </w:r>
          </w:p>
        </w:tc>
        <w:tc>
          <w:tcPr>
            <w:tcW w:w="1300" w:type="dxa"/>
            <w:vAlign w:val="bottom"/>
            <w:tcBorders>
              <w:bottom w:val="single" w:sz="8" w:color="auto"/>
              <w:right w:val="single" w:sz="8" w:color="auto"/>
            </w:tcBorders>
            <w:shd w:val="clear" w:color="auto" w:fill="2AD2C9"/>
          </w:tcPr>
          <w:p>
            <w:pPr>
              <w:jc w:val="center"/>
              <w:ind w:left="208"/>
              <w:spacing w:after="0"/>
              <w:rPr>
                <w:sz w:val="20"/>
                <w:szCs w:val="20"/>
                <w:color w:val="auto"/>
              </w:rPr>
            </w:pPr>
            <w:r>
              <w:rPr>
                <w:rFonts w:ascii="Calibri" w:cs="Calibri" w:eastAsia="Calibri" w:hAnsi="Calibri"/>
                <w:sz w:val="10"/>
                <w:szCs w:val="10"/>
                <w:b w:val="1"/>
                <w:bCs w:val="1"/>
                <w:color w:val="FFFFFF"/>
              </w:rPr>
              <w:t>YoY</w:t>
            </w:r>
          </w:p>
        </w:tc>
        <w:tc>
          <w:tcPr>
            <w:tcW w:w="780" w:type="dxa"/>
            <w:vAlign w:val="bottom"/>
            <w:tcBorders>
              <w:bottom w:val="single" w:sz="8" w:color="auto"/>
            </w:tcBorders>
            <w:shd w:val="clear" w:color="auto" w:fill="2AD2C9"/>
          </w:tcPr>
          <w:p>
            <w:pPr>
              <w:jc w:val="center"/>
              <w:ind w:left="168"/>
              <w:spacing w:after="0"/>
              <w:rPr>
                <w:sz w:val="20"/>
                <w:szCs w:val="20"/>
                <w:color w:val="auto"/>
              </w:rPr>
            </w:pPr>
            <w:r>
              <w:rPr>
                <w:rFonts w:ascii="Calibri" w:cs="Calibri" w:eastAsia="Calibri" w:hAnsi="Calibri"/>
                <w:sz w:val="10"/>
                <w:szCs w:val="10"/>
                <w:b w:val="1"/>
                <w:bCs w:val="1"/>
                <w:color w:val="FFFFFF"/>
              </w:rPr>
              <w:t>Jun 24</w:t>
            </w:r>
          </w:p>
        </w:tc>
        <w:tc>
          <w:tcPr>
            <w:tcW w:w="1220" w:type="dxa"/>
            <w:vAlign w:val="bottom"/>
            <w:tcBorders>
              <w:bottom w:val="single" w:sz="8" w:color="auto"/>
              <w:right w:val="single" w:sz="8" w:color="auto"/>
            </w:tcBorders>
            <w:shd w:val="clear" w:color="auto" w:fill="2AD2C9"/>
          </w:tcPr>
          <w:p>
            <w:pPr>
              <w:jc w:val="center"/>
              <w:ind w:left="148"/>
              <w:spacing w:after="0"/>
              <w:rPr>
                <w:sz w:val="20"/>
                <w:szCs w:val="20"/>
                <w:color w:val="auto"/>
              </w:rPr>
            </w:pPr>
            <w:r>
              <w:rPr>
                <w:rFonts w:ascii="Calibri" w:cs="Calibri" w:eastAsia="Calibri" w:hAnsi="Calibri"/>
                <w:sz w:val="10"/>
                <w:szCs w:val="10"/>
                <w:b w:val="1"/>
                <w:bCs w:val="1"/>
                <w:color w:val="FFFFFF"/>
                <w:w w:val="98"/>
              </w:rPr>
              <w:t>Jun 25</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rPr>
              <w:t>Jun 25 / Jun 24</w:t>
            </w:r>
          </w:p>
        </w:tc>
      </w:tr>
      <w:tr>
        <w:trPr>
          <w:trHeight w:val="122"/>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Interest income</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r>
      <w:tr>
        <w:trPr>
          <w:trHeight w:val="124"/>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Net share of the income from investments in subsidiaries and associates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1,899,078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1,660,468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2,490,226</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50.0%</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31.1%</w:t>
            </w:r>
          </w:p>
        </w:tc>
        <w:tc>
          <w:tcPr>
            <w:tcW w:w="780" w:type="dxa"/>
            <w:vAlign w:val="bottom"/>
          </w:tcPr>
          <w:p>
            <w:pPr>
              <w:jc w:val="center"/>
              <w:ind w:left="148"/>
              <w:spacing w:after="0"/>
              <w:rPr>
                <w:sz w:val="20"/>
                <w:szCs w:val="20"/>
                <w:color w:val="auto"/>
              </w:rPr>
            </w:pPr>
            <w:r>
              <w:rPr>
                <w:rFonts w:ascii="Calibri" w:cs="Calibri" w:eastAsia="Calibri" w:hAnsi="Calibri"/>
                <w:sz w:val="10"/>
                <w:szCs w:val="10"/>
                <w:color w:val="auto"/>
              </w:rPr>
              <w:t>3,456,472</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4,150,694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20.1%</w:t>
            </w:r>
          </w:p>
        </w:tc>
      </w:tr>
      <w:tr>
        <w:trPr>
          <w:trHeight w:val="130"/>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Interest and similar income</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28,052</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21,312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19,281</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w w:val="95"/>
              </w:rPr>
              <w:t>-9.5%</w:t>
            </w:r>
          </w:p>
        </w:tc>
        <w:tc>
          <w:tcPr>
            <w:tcW w:w="130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color w:val="auto"/>
              </w:rPr>
              <w:t>-31.3%</w:t>
            </w:r>
          </w:p>
        </w:tc>
        <w:tc>
          <w:tcPr>
            <w:tcW w:w="780" w:type="dxa"/>
            <w:vAlign w:val="bottom"/>
          </w:tcPr>
          <w:p>
            <w:pPr>
              <w:jc w:val="center"/>
              <w:ind w:left="148"/>
              <w:spacing w:after="0"/>
              <w:rPr>
                <w:sz w:val="20"/>
                <w:szCs w:val="20"/>
                <w:color w:val="auto"/>
              </w:rPr>
            </w:pPr>
            <w:r>
              <w:rPr>
                <w:rFonts w:ascii="Calibri" w:cs="Calibri" w:eastAsia="Calibri" w:hAnsi="Calibri"/>
                <w:sz w:val="10"/>
                <w:szCs w:val="10"/>
                <w:color w:val="auto"/>
              </w:rPr>
              <w:t>46,777</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40,593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-13.2%</w:t>
            </w:r>
          </w:p>
        </w:tc>
      </w:tr>
      <w:tr>
        <w:trPr>
          <w:trHeight w:val="130"/>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Net gain on fnancial assets at fair value through proft or loss</w:t>
            </w:r>
          </w:p>
        </w:tc>
        <w:tc>
          <w:tcPr>
            <w:tcW w:w="1000" w:type="dxa"/>
            <w:vAlign w:val="bottom"/>
          </w:tcPr>
          <w:p>
            <w:pPr>
              <w:jc w:val="center"/>
              <w:spacing w:after="0"/>
              <w:rPr>
                <w:sz w:val="20"/>
                <w:szCs w:val="20"/>
                <w:color w:val="auto"/>
              </w:rPr>
            </w:pPr>
            <w:r>
              <w:rPr>
                <w:rFonts w:ascii="Calibri" w:cs="Calibri" w:eastAsia="Calibri" w:hAnsi="Calibri"/>
                <w:sz w:val="9"/>
                <w:szCs w:val="9"/>
                <w:color w:val="auto"/>
                <w:w w:val="70"/>
              </w:rPr>
              <w: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9"/>
                <w:szCs w:val="9"/>
                <w:color w:val="auto"/>
                <w:w w:val="70"/>
              </w:rPr>
              <w:t>-</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w w:val="92"/>
              </w:rPr>
              <w:t>n.a.</w:t>
            </w:r>
          </w:p>
        </w:tc>
        <w:tc>
          <w:tcPr>
            <w:tcW w:w="130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color w:val="auto"/>
              </w:rPr>
              <w:t>n.a.</w:t>
            </w:r>
          </w:p>
        </w:tc>
        <w:tc>
          <w:tcPr>
            <w:tcW w:w="780" w:type="dxa"/>
            <w:vAlign w:val="bottom"/>
          </w:tcPr>
          <w:p>
            <w:pPr>
              <w:jc w:val="center"/>
              <w:ind w:left="168"/>
              <w:spacing w:after="0"/>
              <w:rPr>
                <w:sz w:val="20"/>
                <w:szCs w:val="20"/>
                <w:color w:val="auto"/>
              </w:rPr>
            </w:pPr>
            <w:r>
              <w:rPr>
                <w:rFonts w:ascii="Calibri" w:cs="Calibri" w:eastAsia="Calibri" w:hAnsi="Calibri"/>
                <w:sz w:val="10"/>
                <w:szCs w:val="10"/>
                <w:color w:val="auto"/>
              </w:rPr>
              <w:t>1,234</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9"/>
                <w:szCs w:val="9"/>
                <w:color w:val="auto"/>
                <w:w w:val="70"/>
              </w:rPr>
              <w:t>-</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r>
      <w:tr>
        <w:trPr>
          <w:trHeight w:val="130"/>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income</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1,927,130</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1,681,780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2,509,507</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49.2%</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30.2%</w:t>
            </w:r>
          </w:p>
        </w:tc>
        <w:tc>
          <w:tcPr>
            <w:tcW w:w="780" w:type="dxa"/>
            <w:vAlign w:val="bottom"/>
          </w:tcPr>
          <w:p>
            <w:pPr>
              <w:jc w:val="center"/>
              <w:ind w:left="148"/>
              <w:spacing w:after="0"/>
              <w:rPr>
                <w:sz w:val="20"/>
                <w:szCs w:val="20"/>
                <w:color w:val="auto"/>
              </w:rPr>
            </w:pPr>
            <w:r>
              <w:rPr>
                <w:rFonts w:ascii="Calibri" w:cs="Calibri" w:eastAsia="Calibri" w:hAnsi="Calibri"/>
                <w:sz w:val="10"/>
                <w:szCs w:val="10"/>
                <w:b w:val="1"/>
                <w:bCs w:val="1"/>
                <w:color w:val="auto"/>
              </w:rPr>
              <w:t>3,504,483</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rPr>
              <w:t>4,191,287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19.6%</w:t>
            </w:r>
          </w:p>
        </w:tc>
      </w:tr>
      <w:tr>
        <w:trPr>
          <w:trHeight w:val="325"/>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Interest and similar expense</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(13,508)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(13,129)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(11,388)</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-13.3%</w:t>
            </w:r>
          </w:p>
        </w:tc>
        <w:tc>
          <w:tcPr>
            <w:tcW w:w="130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color w:val="auto"/>
              </w:rPr>
              <w:t>-15.7%</w:t>
            </w:r>
          </w:p>
        </w:tc>
        <w:tc>
          <w:tcPr>
            <w:tcW w:w="780" w:type="dxa"/>
            <w:vAlign w:val="bottom"/>
          </w:tcPr>
          <w:p>
            <w:pPr>
              <w:jc w:val="center"/>
              <w:ind w:left="148"/>
              <w:spacing w:after="0"/>
              <w:rPr>
                <w:sz w:val="20"/>
                <w:szCs w:val="20"/>
                <w:color w:val="auto"/>
              </w:rPr>
            </w:pPr>
            <w:r>
              <w:rPr>
                <w:rFonts w:ascii="Calibri" w:cs="Calibri" w:eastAsia="Calibri" w:hAnsi="Calibri"/>
                <w:sz w:val="10"/>
                <w:szCs w:val="10"/>
                <w:color w:val="auto"/>
              </w:rPr>
              <w:t>(27,073)</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(24,517)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-9.4%</w:t>
            </w:r>
          </w:p>
        </w:tc>
      </w:tr>
      <w:tr>
        <w:trPr>
          <w:trHeight w:val="130"/>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Administratve and general expenses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(5,115)</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(4,958)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(5,211)</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5.1%</w:t>
            </w:r>
          </w:p>
        </w:tc>
        <w:tc>
          <w:tcPr>
            <w:tcW w:w="130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color w:val="auto"/>
              </w:rPr>
              <w:t>1.9%</w:t>
            </w:r>
          </w:p>
        </w:tc>
        <w:tc>
          <w:tcPr>
            <w:tcW w:w="780" w:type="dxa"/>
            <w:vAlign w:val="bottom"/>
          </w:tcPr>
          <w:p>
            <w:pPr>
              <w:jc w:val="center"/>
              <w:ind w:left="148"/>
              <w:spacing w:after="0"/>
              <w:rPr>
                <w:sz w:val="20"/>
                <w:szCs w:val="20"/>
                <w:color w:val="auto"/>
              </w:rPr>
            </w:pPr>
            <w:r>
              <w:rPr>
                <w:rFonts w:ascii="Calibri" w:cs="Calibri" w:eastAsia="Calibri" w:hAnsi="Calibri"/>
                <w:sz w:val="10"/>
                <w:szCs w:val="10"/>
                <w:color w:val="auto"/>
              </w:rPr>
              <w:t>(9,916)</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(10,169)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2.6%</w:t>
            </w:r>
          </w:p>
        </w:tc>
      </w:tr>
      <w:tr>
        <w:trPr>
          <w:trHeight w:val="130"/>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expenses</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(18,623)</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(18,087)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(16,599)</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-8.2%</w:t>
            </w:r>
          </w:p>
        </w:tc>
        <w:tc>
          <w:tcPr>
            <w:tcW w:w="130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b w:val="1"/>
                <w:bCs w:val="1"/>
                <w:color w:val="auto"/>
                <w:w w:val="99"/>
              </w:rPr>
              <w:t>-10.9%</w:t>
            </w:r>
          </w:p>
        </w:tc>
        <w:tc>
          <w:tcPr>
            <w:tcW w:w="780" w:type="dxa"/>
            <w:vAlign w:val="bottom"/>
          </w:tcPr>
          <w:p>
            <w:pPr>
              <w:jc w:val="center"/>
              <w:ind w:left="168"/>
              <w:spacing w:after="0"/>
              <w:rPr>
                <w:sz w:val="20"/>
                <w:szCs w:val="20"/>
                <w:color w:val="auto"/>
              </w:rPr>
            </w:pPr>
            <w:r>
              <w:rPr>
                <w:rFonts w:ascii="Calibri" w:cs="Calibri" w:eastAsia="Calibri" w:hAnsi="Calibri"/>
                <w:sz w:val="10"/>
                <w:szCs w:val="10"/>
                <w:b w:val="1"/>
                <w:bCs w:val="1"/>
                <w:color w:val="auto"/>
              </w:rPr>
              <w:t>(36,989)</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w w:val="99"/>
              </w:rPr>
              <w:t>(34,686)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-6.2%</w:t>
            </w:r>
          </w:p>
        </w:tc>
      </w:tr>
      <w:tr>
        <w:trPr>
          <w:trHeight w:val="325"/>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Operatng income</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1,908,507</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1,663,693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2,492,908</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49.8%</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30.6%</w:t>
            </w:r>
          </w:p>
        </w:tc>
        <w:tc>
          <w:tcPr>
            <w:tcW w:w="780" w:type="dxa"/>
            <w:vAlign w:val="bottom"/>
          </w:tcPr>
          <w:p>
            <w:pPr>
              <w:jc w:val="center"/>
              <w:ind w:left="148"/>
              <w:spacing w:after="0"/>
              <w:rPr>
                <w:sz w:val="20"/>
                <w:szCs w:val="20"/>
                <w:color w:val="auto"/>
              </w:rPr>
            </w:pPr>
            <w:r>
              <w:rPr>
                <w:rFonts w:ascii="Calibri" w:cs="Calibri" w:eastAsia="Calibri" w:hAnsi="Calibri"/>
                <w:sz w:val="10"/>
                <w:szCs w:val="10"/>
                <w:b w:val="1"/>
                <w:bCs w:val="1"/>
                <w:color w:val="auto"/>
              </w:rPr>
              <w:t>3,467,494</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rPr>
              <w:t>4,156,601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19.9%</w:t>
            </w:r>
          </w:p>
        </w:tc>
      </w:tr>
      <w:tr>
        <w:trPr>
          <w:trHeight w:val="325"/>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Results from exchange diferences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(2,830)</w:t>
            </w:r>
          </w:p>
        </w:tc>
        <w:tc>
          <w:tcPr>
            <w:tcW w:w="1000" w:type="dxa"/>
            <w:vAlign w:val="bottom"/>
          </w:tcPr>
          <w:p>
            <w:pPr>
              <w:jc w:val="center"/>
              <w:spacing w:after="0"/>
              <w:rPr>
                <w:sz w:val="20"/>
                <w:szCs w:val="20"/>
                <w:color w:val="auto"/>
              </w:rPr>
            </w:pPr>
            <w:r>
              <w:rPr>
                <w:rFonts w:ascii="Calibri" w:cs="Calibri" w:eastAsia="Calibri" w:hAnsi="Calibri"/>
                <w:sz w:val="10"/>
                <w:szCs w:val="10"/>
                <w:color w:val="auto"/>
                <w:w w:val="98"/>
              </w:rPr>
              <w:t>65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(3,468)</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w w:val="92"/>
              </w:rPr>
              <w:t>n.a.</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22.5%</w:t>
            </w:r>
          </w:p>
        </w:tc>
        <w:tc>
          <w:tcPr>
            <w:tcW w:w="780" w:type="dxa"/>
            <w:vAlign w:val="bottom"/>
          </w:tcPr>
          <w:p>
            <w:pPr>
              <w:jc w:val="center"/>
              <w:ind w:left="148"/>
              <w:spacing w:after="0"/>
              <w:rPr>
                <w:sz w:val="20"/>
                <w:szCs w:val="20"/>
                <w:color w:val="auto"/>
              </w:rPr>
            </w:pPr>
            <w:r>
              <w:rPr>
                <w:rFonts w:ascii="Calibri" w:cs="Calibri" w:eastAsia="Calibri" w:hAnsi="Calibri"/>
                <w:sz w:val="10"/>
                <w:szCs w:val="10"/>
                <w:color w:val="auto"/>
              </w:rPr>
              <w:t>(2,737)</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(3,403)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24.3%</w:t>
            </w:r>
          </w:p>
        </w:tc>
      </w:tr>
      <w:tr>
        <w:trPr>
          <w:trHeight w:val="130"/>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Other, net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(295)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(121)</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w w:val="92"/>
              </w:rPr>
              <w:t>n.a.</w:t>
            </w:r>
          </w:p>
        </w:tc>
        <w:tc>
          <w:tcPr>
            <w:tcW w:w="130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color w:val="auto"/>
              </w:rPr>
              <w:t>n.a.</w:t>
            </w:r>
          </w:p>
        </w:tc>
        <w:tc>
          <w:tcPr>
            <w:tcW w:w="780" w:type="dxa"/>
            <w:vAlign w:val="bottom"/>
          </w:tcPr>
          <w:p>
            <w:pPr>
              <w:jc w:val="center"/>
              <w:ind w:left="168"/>
              <w:spacing w:after="0"/>
              <w:rPr>
                <w:sz w:val="20"/>
                <w:szCs w:val="20"/>
                <w:color w:val="auto"/>
              </w:rPr>
            </w:pPr>
            <w:r>
              <w:rPr>
                <w:rFonts w:ascii="Calibri" w:cs="Calibri" w:eastAsia="Calibri" w:hAnsi="Calibri"/>
                <w:sz w:val="10"/>
                <w:szCs w:val="10"/>
                <w:color w:val="auto"/>
              </w:rPr>
              <w:t>n.a.</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w w:val="92"/>
              </w:rPr>
              <w:t>n.a.</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r>
      <w:tr>
        <w:trPr>
          <w:trHeight w:val="325"/>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Proft before income tax</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1,905,648</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1,663,463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2,489,319</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49.6%</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30.6%</w:t>
            </w:r>
          </w:p>
        </w:tc>
        <w:tc>
          <w:tcPr>
            <w:tcW w:w="780" w:type="dxa"/>
            <w:vAlign w:val="bottom"/>
          </w:tcPr>
          <w:p>
            <w:pPr>
              <w:jc w:val="center"/>
              <w:ind w:left="148"/>
              <w:spacing w:after="0"/>
              <w:rPr>
                <w:sz w:val="20"/>
                <w:szCs w:val="20"/>
                <w:color w:val="auto"/>
              </w:rPr>
            </w:pPr>
            <w:r>
              <w:rPr>
                <w:rFonts w:ascii="Calibri" w:cs="Calibri" w:eastAsia="Calibri" w:hAnsi="Calibri"/>
                <w:sz w:val="10"/>
                <w:szCs w:val="10"/>
                <w:b w:val="1"/>
                <w:bCs w:val="1"/>
                <w:color w:val="auto"/>
              </w:rPr>
              <w:t>3,464,839</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rPr>
              <w:t>4,152,782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19.9%</w:t>
            </w:r>
          </w:p>
        </w:tc>
      </w:tr>
      <w:tr>
        <w:trPr>
          <w:trHeight w:val="130"/>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Income tax</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(51,879)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(45,071)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(52,310)</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w w:val="92"/>
              </w:rPr>
              <w:t>n.a.</w:t>
            </w:r>
          </w:p>
        </w:tc>
        <w:tc>
          <w:tcPr>
            <w:tcW w:w="130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color w:val="auto"/>
              </w:rPr>
              <w:t>0.8%</w:t>
            </w:r>
          </w:p>
        </w:tc>
        <w:tc>
          <w:tcPr>
            <w:tcW w:w="780" w:type="dxa"/>
            <w:vAlign w:val="bottom"/>
          </w:tcPr>
          <w:p>
            <w:pPr>
              <w:jc w:val="center"/>
              <w:ind w:left="148"/>
              <w:spacing w:after="0"/>
              <w:rPr>
                <w:sz w:val="20"/>
                <w:szCs w:val="20"/>
                <w:color w:val="auto"/>
              </w:rPr>
            </w:pPr>
            <w:r>
              <w:rPr>
                <w:rFonts w:ascii="Calibri" w:cs="Calibri" w:eastAsia="Calibri" w:hAnsi="Calibri"/>
                <w:sz w:val="10"/>
                <w:szCs w:val="10"/>
                <w:color w:val="auto"/>
              </w:rPr>
              <w:t>(94,983)</w:t>
            </w:r>
          </w:p>
        </w:tc>
        <w:tc>
          <w:tcPr>
            <w:tcW w:w="122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0"/>
                <w:szCs w:val="10"/>
                <w:color w:val="auto"/>
              </w:rPr>
              <w:t>(97,381)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2.5%</w:t>
            </w:r>
          </w:p>
        </w:tc>
      </w:tr>
      <w:tr>
        <w:trPr>
          <w:trHeight w:val="137"/>
        </w:trPr>
        <w:tc>
          <w:tcPr>
            <w:tcW w:w="3180" w:type="dxa"/>
            <w:vAlign w:val="bottom"/>
            <w:tcBorders>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income</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1,853,769</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1,618,392</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2,437,009</w:t>
            </w:r>
          </w:p>
        </w:tc>
        <w:tc>
          <w:tcPr>
            <w:tcW w:w="720" w:type="dxa"/>
            <w:vAlign w:val="bottom"/>
            <w:tcBorders>
              <w:bottom w:val="single" w:sz="8" w:color="auto"/>
            </w:tcBorders>
          </w:tcPr>
          <w:p>
            <w:pPr>
              <w:jc w:val="center"/>
              <w:ind w:left="208"/>
              <w:spacing w:after="0"/>
              <w:rPr>
                <w:sz w:val="20"/>
                <w:szCs w:val="20"/>
                <w:color w:val="auto"/>
              </w:rPr>
            </w:pPr>
            <w:r>
              <w:rPr>
                <w:rFonts w:ascii="Calibri" w:cs="Calibri" w:eastAsia="Calibri" w:hAnsi="Calibri"/>
                <w:sz w:val="10"/>
                <w:szCs w:val="10"/>
                <w:b w:val="1"/>
                <w:bCs w:val="1"/>
                <w:color w:val="auto"/>
              </w:rPr>
              <w:t>50.6%</w:t>
            </w:r>
          </w:p>
        </w:tc>
        <w:tc>
          <w:tcPr>
            <w:tcW w:w="1300" w:type="dxa"/>
            <w:vAlign w:val="bottom"/>
            <w:tcBorders>
              <w:bottom w:val="single" w:sz="8" w:color="auto"/>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31.5%</w:t>
            </w:r>
          </w:p>
        </w:tc>
        <w:tc>
          <w:tcPr>
            <w:tcW w:w="780" w:type="dxa"/>
            <w:vAlign w:val="bottom"/>
            <w:tcBorders>
              <w:bottom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rPr>
              <w:t>3,369,856</w:t>
            </w:r>
          </w:p>
        </w:tc>
        <w:tc>
          <w:tcPr>
            <w:tcW w:w="1220" w:type="dxa"/>
            <w:vAlign w:val="bottom"/>
            <w:tcBorders>
              <w:bottom w:val="single" w:sz="8" w:color="auto"/>
              <w:right w:val="single" w:sz="8" w:color="auto"/>
            </w:tcBorders>
          </w:tcPr>
          <w:p>
            <w:pPr>
              <w:jc w:val="center"/>
              <w:ind w:left="148"/>
              <w:spacing w:after="0"/>
              <w:rPr>
                <w:sz w:val="20"/>
                <w:szCs w:val="20"/>
                <w:color w:val="auto"/>
              </w:rPr>
            </w:pPr>
            <w:r>
              <w:rPr>
                <w:rFonts w:ascii="Calibri" w:cs="Calibri" w:eastAsia="Calibri" w:hAnsi="Calibri"/>
                <w:sz w:val="10"/>
                <w:szCs w:val="10"/>
                <w:b w:val="1"/>
                <w:bCs w:val="1"/>
                <w:color w:val="auto"/>
              </w:rPr>
              <w:t>4,055,401</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20.3%</w:t>
            </w:r>
          </w:p>
        </w:tc>
      </w:tr>
      <w:tr>
        <w:trPr>
          <w:trHeight w:val="195"/>
        </w:trPr>
        <w:tc>
          <w:tcPr>
            <w:tcW w:w="3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20"/>
        </w:trPr>
        <w:tc>
          <w:tcPr>
            <w:tcW w:w="3180" w:type="dxa"/>
            <w:vAlign w:val="bottom"/>
            <w:tcBorders>
              <w:left w:val="single" w:sz="8" w:color="auto"/>
              <w:bottom w:val="single" w:sz="8" w:color="auto"/>
              <w:right w:val="single" w:sz="8" w:color="auto"/>
            </w:tcBorders>
          </w:tcPr>
          <w:p>
            <w:pPr>
              <w:ind w:left="20"/>
              <w:spacing w:after="0" w:line="121" w:lineRule="exact"/>
              <w:rPr>
                <w:sz w:val="20"/>
                <w:szCs w:val="20"/>
                <w:color w:val="auto"/>
              </w:rPr>
            </w:pPr>
            <w:r>
              <w:rPr>
                <w:rFonts w:ascii="Calibri" w:cs="Calibri" w:eastAsia="Calibri" w:hAnsi="Calibri"/>
                <w:sz w:val="10"/>
                <w:szCs w:val="10"/>
                <w:b w:val="1"/>
                <w:bCs w:val="1"/>
                <w:color w:val="auto"/>
              </w:rPr>
              <w:t>Double Leverage Rato</w:t>
            </w:r>
          </w:p>
        </w:tc>
        <w:tc>
          <w:tcPr>
            <w:tcW w:w="100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99.1%</w:t>
            </w:r>
          </w:p>
        </w:tc>
        <w:tc>
          <w:tcPr>
            <w:tcW w:w="100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98.8%</w:t>
            </w:r>
          </w:p>
        </w:tc>
        <w:tc>
          <w:tcPr>
            <w:tcW w:w="104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99.7%</w:t>
            </w:r>
          </w:p>
        </w:tc>
        <w:tc>
          <w:tcPr>
            <w:tcW w:w="720" w:type="dxa"/>
            <w:vAlign w:val="bottom"/>
            <w:tcBorders>
              <w:bottom w:val="single" w:sz="8" w:color="auto"/>
            </w:tcBorders>
          </w:tcPr>
          <w:p>
            <w:pPr>
              <w:jc w:val="center"/>
              <w:ind w:left="208"/>
              <w:spacing w:after="0" w:line="121" w:lineRule="exact"/>
              <w:rPr>
                <w:sz w:val="20"/>
                <w:szCs w:val="20"/>
                <w:color w:val="auto"/>
              </w:rPr>
            </w:pPr>
            <w:r>
              <w:rPr>
                <w:rFonts w:ascii="Calibri" w:cs="Calibri" w:eastAsia="Calibri" w:hAnsi="Calibri"/>
                <w:sz w:val="10"/>
                <w:szCs w:val="10"/>
                <w:b w:val="1"/>
                <w:bCs w:val="1"/>
                <w:color w:val="auto"/>
              </w:rPr>
              <w:t>96 bps</w:t>
            </w:r>
          </w:p>
        </w:tc>
        <w:tc>
          <w:tcPr>
            <w:tcW w:w="1300" w:type="dxa"/>
            <w:vAlign w:val="bottom"/>
            <w:tcBorders>
              <w:bottom w:val="single" w:sz="8" w:color="auto"/>
              <w:right w:val="single" w:sz="8" w:color="auto"/>
            </w:tcBorders>
          </w:tcPr>
          <w:p>
            <w:pPr>
              <w:jc w:val="center"/>
              <w:ind w:left="208"/>
              <w:spacing w:after="0" w:line="121" w:lineRule="exact"/>
              <w:rPr>
                <w:sz w:val="20"/>
                <w:szCs w:val="20"/>
                <w:color w:val="auto"/>
              </w:rPr>
            </w:pPr>
            <w:r>
              <w:rPr>
                <w:rFonts w:ascii="Calibri" w:cs="Calibri" w:eastAsia="Calibri" w:hAnsi="Calibri"/>
                <w:sz w:val="10"/>
                <w:szCs w:val="10"/>
                <w:b w:val="1"/>
                <w:bCs w:val="1"/>
                <w:color w:val="auto"/>
              </w:rPr>
              <w:t>58 bps</w:t>
            </w:r>
          </w:p>
        </w:tc>
        <w:tc>
          <w:tcPr>
            <w:tcW w:w="780" w:type="dxa"/>
            <w:vAlign w:val="bottom"/>
            <w:tcBorders>
              <w:bottom w:val="single" w:sz="8" w:color="auto"/>
            </w:tcBorders>
          </w:tcPr>
          <w:p>
            <w:pPr>
              <w:jc w:val="center"/>
              <w:ind w:left="148"/>
              <w:spacing w:after="0" w:line="121" w:lineRule="exact"/>
              <w:rPr>
                <w:sz w:val="20"/>
                <w:szCs w:val="20"/>
                <w:color w:val="auto"/>
              </w:rPr>
            </w:pPr>
            <w:r>
              <w:rPr>
                <w:rFonts w:ascii="Calibri" w:cs="Calibri" w:eastAsia="Calibri" w:hAnsi="Calibri"/>
                <w:sz w:val="10"/>
                <w:szCs w:val="10"/>
                <w:b w:val="1"/>
                <w:bCs w:val="1"/>
                <w:color w:val="auto"/>
              </w:rPr>
              <w:t>99.1%</w:t>
            </w:r>
          </w:p>
        </w:tc>
        <w:tc>
          <w:tcPr>
            <w:tcW w:w="1220" w:type="dxa"/>
            <w:vAlign w:val="bottom"/>
            <w:tcBorders>
              <w:bottom w:val="single" w:sz="8" w:color="auto"/>
              <w:right w:val="single" w:sz="8" w:color="auto"/>
            </w:tcBorders>
          </w:tcPr>
          <w:p>
            <w:pPr>
              <w:jc w:val="center"/>
              <w:ind w:left="148"/>
              <w:spacing w:after="0" w:line="121" w:lineRule="exact"/>
              <w:rPr>
                <w:sz w:val="20"/>
                <w:szCs w:val="20"/>
                <w:color w:val="auto"/>
              </w:rPr>
            </w:pPr>
            <w:r>
              <w:rPr>
                <w:rFonts w:ascii="Calibri" w:cs="Calibri" w:eastAsia="Calibri" w:hAnsi="Calibri"/>
                <w:sz w:val="10"/>
                <w:szCs w:val="10"/>
                <w:b w:val="1"/>
                <w:bCs w:val="1"/>
                <w:color w:val="auto"/>
              </w:rPr>
              <w:t>99.7%</w:t>
            </w:r>
          </w:p>
        </w:tc>
        <w:tc>
          <w:tcPr>
            <w:tcW w:w="102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58 bps</w:t>
            </w:r>
          </w:p>
        </w:tc>
      </w:tr>
      <w:tr>
        <w:trPr>
          <w:trHeight w:val="1316"/>
        </w:trPr>
        <w:tc>
          <w:tcPr>
            <w:tcW w:w="3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-726440</wp:posOffset>
            </wp:positionV>
            <wp:extent cx="6509385" cy="5702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509385" cy="57023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12.7.3BCP Consolidated</w:t>
      </w:r>
    </w:p>
    <w:p>
      <w:pPr>
        <w:spacing w:after="0" w:line="191"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auto"/>
        </w:rPr>
        <w:t>Consolidated Statement of Financial Positon</w:t>
      </w:r>
    </w:p>
    <w:p>
      <w:pPr>
        <w:jc w:val="center"/>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6200" w:type="dxa"/>
            <w:vAlign w:val="bottom"/>
            <w:tcBorders>
              <w:top w:val="single" w:sz="8" w:color="auto"/>
              <w:left w:val="single" w:sz="8" w:color="auto"/>
              <w:right w:val="single" w:sz="8" w:color="auto"/>
            </w:tcBorders>
            <w:shd w:val="clear" w:color="auto" w:fill="2AD2C9"/>
          </w:tcPr>
          <w:p>
            <w:pPr>
              <w:spacing w:after="0"/>
              <w:rPr>
                <w:sz w:val="13"/>
                <w:szCs w:val="13"/>
                <w:color w:val="auto"/>
              </w:rPr>
            </w:pPr>
          </w:p>
        </w:tc>
        <w:tc>
          <w:tcPr>
            <w:tcW w:w="1000" w:type="dxa"/>
            <w:vAlign w:val="bottom"/>
            <w:tcBorders>
              <w:top w:val="single" w:sz="8" w:color="auto"/>
            </w:tcBorders>
            <w:shd w:val="clear" w:color="auto" w:fill="2AD2C9"/>
          </w:tcPr>
          <w:p>
            <w:pPr>
              <w:spacing w:after="0"/>
              <w:rPr>
                <w:sz w:val="13"/>
                <w:szCs w:val="13"/>
                <w:color w:val="auto"/>
              </w:rPr>
            </w:pPr>
          </w:p>
        </w:tc>
        <w:tc>
          <w:tcPr>
            <w:tcW w:w="1020" w:type="dxa"/>
            <w:vAlign w:val="bottom"/>
            <w:tcBorders>
              <w:top w:val="single" w:sz="8" w:color="auto"/>
            </w:tcBorders>
            <w:shd w:val="clear" w:color="auto" w:fill="2AD2C9"/>
          </w:tcPr>
          <w:p>
            <w:pPr>
              <w:jc w:val="center"/>
              <w:spacing w:after="0"/>
              <w:rPr>
                <w:sz w:val="20"/>
                <w:szCs w:val="20"/>
                <w:color w:val="auto"/>
              </w:rPr>
            </w:pPr>
            <w:r>
              <w:rPr>
                <w:rFonts w:ascii="Calibri" w:cs="Calibri" w:eastAsia="Calibri" w:hAnsi="Calibri"/>
                <w:sz w:val="12"/>
                <w:szCs w:val="12"/>
                <w:b w:val="1"/>
                <w:bCs w:val="1"/>
                <w:color w:val="FFFFFF"/>
              </w:rPr>
              <w:t>As of</w:t>
            </w:r>
          </w:p>
        </w:tc>
        <w:tc>
          <w:tcPr>
            <w:tcW w:w="1020" w:type="dxa"/>
            <w:vAlign w:val="bottom"/>
            <w:tcBorders>
              <w:top w:val="single" w:sz="8" w:color="auto"/>
              <w:right w:val="single" w:sz="8" w:color="auto"/>
            </w:tcBorders>
            <w:shd w:val="clear" w:color="auto" w:fill="2AD2C9"/>
          </w:tcPr>
          <w:p>
            <w:pPr>
              <w:spacing w:after="0"/>
              <w:rPr>
                <w:sz w:val="13"/>
                <w:szCs w:val="13"/>
                <w:color w:val="auto"/>
              </w:rPr>
            </w:pPr>
          </w:p>
        </w:tc>
        <w:tc>
          <w:tcPr>
            <w:tcW w:w="720" w:type="dxa"/>
            <w:vAlign w:val="bottom"/>
            <w:tcBorders>
              <w:top w:val="single" w:sz="8" w:color="auto"/>
            </w:tcBorders>
            <w:shd w:val="clear" w:color="auto" w:fill="2AD2C9"/>
          </w:tcPr>
          <w:p>
            <w:pPr>
              <w:spacing w:after="0"/>
              <w:rPr>
                <w:sz w:val="13"/>
                <w:szCs w:val="13"/>
                <w:color w:val="auto"/>
              </w:rPr>
            </w:pPr>
          </w:p>
        </w:tc>
        <w:tc>
          <w:tcPr>
            <w:tcW w:w="1300" w:type="dxa"/>
            <w:vAlign w:val="bottom"/>
            <w:tcBorders>
              <w:top w:val="single" w:sz="8" w:color="auto"/>
              <w:right w:val="single" w:sz="8" w:color="auto"/>
            </w:tcBorders>
            <w:shd w:val="clear" w:color="auto" w:fill="2AD2C9"/>
          </w:tcPr>
          <w:p>
            <w:pPr>
              <w:ind w:left="40"/>
              <w:spacing w:after="0"/>
              <w:rPr>
                <w:sz w:val="20"/>
                <w:szCs w:val="20"/>
                <w:color w:val="auto"/>
              </w:rPr>
            </w:pPr>
            <w:r>
              <w:rPr>
                <w:rFonts w:ascii="Calibri" w:cs="Calibri" w:eastAsia="Calibri" w:hAnsi="Calibri"/>
                <w:sz w:val="12"/>
                <w:szCs w:val="12"/>
                <w:b w:val="1"/>
                <w:bCs w:val="1"/>
                <w:color w:val="FFFFFF"/>
              </w:rPr>
              <w:t>% change</w:t>
            </w:r>
          </w:p>
        </w:tc>
      </w:tr>
      <w:tr>
        <w:trPr>
          <w:trHeight w:val="143"/>
        </w:trPr>
        <w:tc>
          <w:tcPr>
            <w:tcW w:w="62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000" w:type="dxa"/>
            <w:vAlign w:val="bottom"/>
            <w:tcBorders>
              <w:bottom w:val="single" w:sz="8" w:color="auto"/>
            </w:tcBorders>
            <w:shd w:val="clear" w:color="auto" w:fill="2AD2C9"/>
          </w:tcPr>
          <w:p>
            <w:pPr>
              <w:ind w:left="340"/>
              <w:spacing w:after="0" w:line="143" w:lineRule="exact"/>
              <w:rPr>
                <w:sz w:val="20"/>
                <w:szCs w:val="20"/>
                <w:color w:val="auto"/>
              </w:rPr>
            </w:pPr>
            <w:r>
              <w:rPr>
                <w:rFonts w:ascii="Calibri" w:cs="Calibri" w:eastAsia="Calibri" w:hAnsi="Calibri"/>
                <w:sz w:val="12"/>
                <w:szCs w:val="12"/>
                <w:b w:val="1"/>
                <w:bCs w:val="1"/>
                <w:color w:val="FFFFFF"/>
              </w:rPr>
              <w:t>Jun 24</w:t>
            </w:r>
          </w:p>
        </w:tc>
        <w:tc>
          <w:tcPr>
            <w:tcW w:w="1020" w:type="dxa"/>
            <w:vAlign w:val="bottom"/>
            <w:tcBorders>
              <w:bottom w:val="single" w:sz="8" w:color="auto"/>
            </w:tcBorders>
            <w:shd w:val="clear" w:color="auto" w:fill="2AD2C9"/>
          </w:tcPr>
          <w:p>
            <w:pPr>
              <w:jc w:val="center"/>
              <w:spacing w:after="0" w:line="143" w:lineRule="exact"/>
              <w:rPr>
                <w:sz w:val="20"/>
                <w:szCs w:val="20"/>
                <w:color w:val="auto"/>
              </w:rPr>
            </w:pPr>
            <w:r>
              <w:rPr>
                <w:rFonts w:ascii="Calibri" w:cs="Calibri" w:eastAsia="Calibri" w:hAnsi="Calibri"/>
                <w:sz w:val="12"/>
                <w:szCs w:val="12"/>
                <w:b w:val="1"/>
                <w:bCs w:val="1"/>
                <w:color w:val="FFFFFF"/>
              </w:rPr>
              <w:t>Mar 25</w:t>
            </w:r>
          </w:p>
        </w:tc>
        <w:tc>
          <w:tcPr>
            <w:tcW w:w="1020" w:type="dxa"/>
            <w:vAlign w:val="bottom"/>
            <w:tcBorders>
              <w:bottom w:val="single" w:sz="8" w:color="auto"/>
              <w:right w:val="single" w:sz="8" w:color="auto"/>
            </w:tcBorders>
            <w:shd w:val="clear" w:color="auto" w:fill="2AD2C9"/>
          </w:tcPr>
          <w:p>
            <w:pPr>
              <w:ind w:left="340"/>
              <w:spacing w:after="0" w:line="143" w:lineRule="exact"/>
              <w:rPr>
                <w:sz w:val="20"/>
                <w:szCs w:val="20"/>
                <w:color w:val="auto"/>
              </w:rPr>
            </w:pPr>
            <w:r>
              <w:rPr>
                <w:rFonts w:ascii="Calibri" w:cs="Calibri" w:eastAsia="Calibri" w:hAnsi="Calibri"/>
                <w:sz w:val="12"/>
                <w:szCs w:val="12"/>
                <w:b w:val="1"/>
                <w:bCs w:val="1"/>
                <w:color w:val="FFFFFF"/>
              </w:rPr>
              <w:t>Jun 25</w:t>
            </w:r>
          </w:p>
        </w:tc>
        <w:tc>
          <w:tcPr>
            <w:tcW w:w="720" w:type="dxa"/>
            <w:vAlign w:val="bottom"/>
            <w:tcBorders>
              <w:bottom w:val="single" w:sz="8" w:color="auto"/>
            </w:tcBorders>
            <w:shd w:val="clear" w:color="auto" w:fill="2AD2C9"/>
          </w:tcPr>
          <w:p>
            <w:pPr>
              <w:ind w:left="380"/>
              <w:spacing w:after="0" w:line="143" w:lineRule="exact"/>
              <w:rPr>
                <w:sz w:val="20"/>
                <w:szCs w:val="20"/>
                <w:color w:val="auto"/>
              </w:rPr>
            </w:pPr>
            <w:r>
              <w:rPr>
                <w:rFonts w:ascii="Calibri" w:cs="Calibri" w:eastAsia="Calibri" w:hAnsi="Calibri"/>
                <w:sz w:val="12"/>
                <w:szCs w:val="12"/>
                <w:b w:val="1"/>
                <w:bCs w:val="1"/>
                <w:color w:val="FFFFFF"/>
              </w:rPr>
              <w:t>QoQ</w:t>
            </w:r>
          </w:p>
        </w:tc>
        <w:tc>
          <w:tcPr>
            <w:tcW w:w="1300" w:type="dxa"/>
            <w:vAlign w:val="bottom"/>
            <w:tcBorders>
              <w:bottom w:val="single" w:sz="8" w:color="auto"/>
              <w:right w:val="single" w:sz="8" w:color="auto"/>
            </w:tcBorders>
            <w:shd w:val="clear" w:color="auto" w:fill="2AD2C9"/>
          </w:tcPr>
          <w:p>
            <w:pPr>
              <w:ind w:left="680"/>
              <w:spacing w:after="0" w:line="143" w:lineRule="exact"/>
              <w:rPr>
                <w:sz w:val="20"/>
                <w:szCs w:val="20"/>
                <w:color w:val="auto"/>
              </w:rPr>
            </w:pPr>
            <w:r>
              <w:rPr>
                <w:rFonts w:ascii="Calibri" w:cs="Calibri" w:eastAsia="Calibri" w:hAnsi="Calibri"/>
                <w:sz w:val="12"/>
                <w:szCs w:val="12"/>
                <w:b w:val="1"/>
                <w:bCs w:val="1"/>
                <w:color w:val="FFFFFF"/>
              </w:rPr>
              <w:t>YoY</w:t>
            </w:r>
          </w:p>
        </w:tc>
      </w:tr>
      <w:tr>
        <w:trPr>
          <w:trHeight w:val="125"/>
        </w:trPr>
        <w:tc>
          <w:tcPr>
            <w:tcW w:w="6200" w:type="dxa"/>
            <w:vAlign w:val="bottom"/>
            <w:tcBorders>
              <w:left w:val="single" w:sz="8" w:color="auto"/>
              <w:right w:val="single" w:sz="8" w:color="auto"/>
            </w:tcBorders>
          </w:tcPr>
          <w:p>
            <w:pPr>
              <w:ind w:left="20"/>
              <w:spacing w:after="0" w:line="126" w:lineRule="exact"/>
              <w:rPr>
                <w:sz w:val="20"/>
                <w:szCs w:val="20"/>
                <w:color w:val="auto"/>
              </w:rPr>
            </w:pPr>
            <w:r>
              <w:rPr>
                <w:rFonts w:ascii="Calibri" w:cs="Calibri" w:eastAsia="Calibri" w:hAnsi="Calibri"/>
                <w:sz w:val="12"/>
                <w:szCs w:val="12"/>
                <w:b w:val="1"/>
                <w:bCs w:val="1"/>
                <w:color w:val="auto"/>
              </w:rPr>
              <w:t>ASSETS</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Cash and due from banks</w:t>
            </w: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Non-interest bearing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5,464,859</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5,330,664</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5,990,377</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color w:val="auto"/>
              </w:rPr>
              <w:t>12.4%</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9.6%</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Interest bearing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26,093,132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35,977,823</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32,653,406</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-9.2%</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25.1%</w:t>
            </w:r>
          </w:p>
        </w:tc>
      </w:tr>
      <w:tr>
        <w:trPr>
          <w:trHeight w:val="145"/>
        </w:trPr>
        <w:tc>
          <w:tcPr>
            <w:tcW w:w="6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Total cash and due from banks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31,557,991</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41,308,487</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38,643,783</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rPr>
              <w:t>-6.5%</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w w:val="99"/>
              </w:rPr>
              <w:t>22.5%</w:t>
            </w:r>
          </w:p>
        </w:tc>
      </w:tr>
      <w:tr>
        <w:trPr>
          <w:trHeight w:val="286"/>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Cash collateral, reverse repurchase agreements and securites borrowing</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839,649</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776,081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574,653</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-26.0%</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-31.6%</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Fair value through proft or loss investments</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439,004</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537,503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617,368</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w w:val="99"/>
              </w:rPr>
              <w:t>14.9%</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w w:val="99"/>
              </w:rPr>
              <w:t>40.6%</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Fair value through other comprehensive income investments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22,661,943</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24,940,660</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21,881,734</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b w:val="1"/>
                <w:bCs w:val="1"/>
                <w:color w:val="auto"/>
              </w:rPr>
              <w:t>-12.3%</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b w:val="1"/>
                <w:bCs w:val="1"/>
                <w:color w:val="auto"/>
              </w:rPr>
              <w:t>-3.4%</w:t>
            </w:r>
          </w:p>
        </w:tc>
      </w:tr>
      <w:tr>
        <w:trPr>
          <w:trHeight w:val="145"/>
        </w:trPr>
        <w:tc>
          <w:tcPr>
            <w:tcW w:w="6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Amortzed cost investments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w w:val="98"/>
              </w:rPr>
              <w:t>8,321,181</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8,134,166</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8"/>
              </w:rPr>
              <w:t>8,262,941</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w w:val="99"/>
              </w:rPr>
              <w:t>1.6%</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-0.7%</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Loans</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132,958,919</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131,470,639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133,011,844</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1.2%</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0.0%</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Current</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127,103,518</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126,570,181</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128,218,187</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1.3%</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0.9%</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Internal overdue loans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5,855,401</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4,900,458</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4,793,657</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-2.2%</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-18.1%</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Less - allowance for loan losses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(7,799,646)</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(7,323,541)</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(7,310,931)</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-0.2%</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w w:val="94"/>
              </w:rPr>
              <w:t>-6.3%</w:t>
            </w:r>
          </w:p>
        </w:tc>
      </w:tr>
      <w:tr>
        <w:trPr>
          <w:trHeight w:val="145"/>
        </w:trPr>
        <w:tc>
          <w:tcPr>
            <w:tcW w:w="6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Loans, net</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125,159,273</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color w:val="auto"/>
              </w:rPr>
              <w:t>124,147,098</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125,700,913</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1.3%</w:t>
            </w:r>
          </w:p>
        </w:tc>
        <w:tc>
          <w:tcPr>
            <w:tcW w:w="1300" w:type="dxa"/>
            <w:vAlign w:val="bottom"/>
            <w:tcBorders>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0.4%</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 xml:space="preserve">Property, furniture and equipment, net </w:t>
            </w:r>
            <w:r>
              <w:rPr>
                <w:rFonts w:ascii="Calibri" w:cs="Calibri" w:eastAsia="Calibri" w:hAnsi="Calibri"/>
                <w:sz w:val="20"/>
                <w:szCs w:val="20"/>
                <w:b w:val="1"/>
                <w:bCs w:val="1"/>
                <w:color w:val="auto"/>
                <w:vertAlign w:val="superscript"/>
              </w:rPr>
              <w:t>(1)</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w w:val="98"/>
              </w:rPr>
              <w:t>1,490,388</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1,643,626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1,604,393</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rPr>
              <w:t>-2.4%</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7.6%</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Due from customers on acceptances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473,382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639,749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559,370</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b w:val="1"/>
                <w:bCs w:val="1"/>
                <w:color w:val="auto"/>
              </w:rPr>
              <w:t>-12.6%</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b w:val="1"/>
                <w:bCs w:val="1"/>
                <w:color w:val="auto"/>
                <w:w w:val="99"/>
              </w:rPr>
              <w:t>18.2%</w:t>
            </w:r>
          </w:p>
        </w:tc>
      </w:tr>
      <w:tr>
        <w:trPr>
          <w:trHeight w:val="136"/>
        </w:trPr>
        <w:tc>
          <w:tcPr>
            <w:tcW w:w="620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b w:val="1"/>
                <w:bCs w:val="1"/>
                <w:color w:val="auto"/>
              </w:rPr>
              <w:t>Investments in associates</w:t>
            </w:r>
          </w:p>
        </w:tc>
        <w:tc>
          <w:tcPr>
            <w:tcW w:w="100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auto"/>
              </w:rPr>
              <w:t>26,754</w:t>
            </w:r>
          </w:p>
        </w:tc>
        <w:tc>
          <w:tcPr>
            <w:tcW w:w="102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auto"/>
              </w:rPr>
              <w:t>24,738</w:t>
            </w:r>
          </w:p>
        </w:tc>
        <w:tc>
          <w:tcPr>
            <w:tcW w:w="102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b w:val="1"/>
                <w:bCs w:val="1"/>
                <w:color w:val="auto"/>
                <w:w w:val="95"/>
              </w:rPr>
              <w:t>22,452</w:t>
            </w:r>
          </w:p>
        </w:tc>
        <w:tc>
          <w:tcPr>
            <w:tcW w:w="720" w:type="dxa"/>
            <w:vAlign w:val="bottom"/>
          </w:tcPr>
          <w:p>
            <w:pPr>
              <w:jc w:val="center"/>
              <w:ind w:left="219"/>
              <w:spacing w:after="0" w:line="137" w:lineRule="exact"/>
              <w:rPr>
                <w:sz w:val="20"/>
                <w:szCs w:val="20"/>
                <w:color w:val="auto"/>
              </w:rPr>
            </w:pPr>
            <w:r>
              <w:rPr>
                <w:rFonts w:ascii="Calibri" w:cs="Calibri" w:eastAsia="Calibri" w:hAnsi="Calibri"/>
                <w:sz w:val="12"/>
                <w:szCs w:val="12"/>
                <w:b w:val="1"/>
                <w:bCs w:val="1"/>
                <w:color w:val="auto"/>
              </w:rPr>
              <w:t>-9.2%</w:t>
            </w:r>
          </w:p>
        </w:tc>
        <w:tc>
          <w:tcPr>
            <w:tcW w:w="1300" w:type="dxa"/>
            <w:vAlign w:val="bottom"/>
            <w:tcBorders>
              <w:right w:val="single" w:sz="8" w:color="auto"/>
            </w:tcBorders>
          </w:tcPr>
          <w:p>
            <w:pPr>
              <w:jc w:val="center"/>
              <w:ind w:left="179"/>
              <w:spacing w:after="0" w:line="137" w:lineRule="exact"/>
              <w:rPr>
                <w:sz w:val="20"/>
                <w:szCs w:val="20"/>
                <w:color w:val="auto"/>
              </w:rPr>
            </w:pPr>
            <w:r>
              <w:rPr>
                <w:rFonts w:ascii="Calibri" w:cs="Calibri" w:eastAsia="Calibri" w:hAnsi="Calibri"/>
                <w:sz w:val="12"/>
                <w:szCs w:val="12"/>
                <w:b w:val="1"/>
                <w:bCs w:val="1"/>
                <w:color w:val="auto"/>
              </w:rPr>
              <w:t>-16.1%</w:t>
            </w:r>
          </w:p>
        </w:tc>
      </w:tr>
      <w:tr>
        <w:trPr>
          <w:trHeight w:val="234"/>
        </w:trPr>
        <w:tc>
          <w:tcPr>
            <w:tcW w:w="6200" w:type="dxa"/>
            <w:vAlign w:val="bottom"/>
            <w:tcBorders>
              <w:left w:val="single" w:sz="8" w:color="auto"/>
              <w:right w:val="single" w:sz="8" w:color="auto"/>
            </w:tcBorders>
          </w:tcPr>
          <w:p>
            <w:pPr>
              <w:ind w:left="20"/>
              <w:spacing w:after="0" w:line="233" w:lineRule="exact"/>
              <w:rPr>
                <w:sz w:val="20"/>
                <w:szCs w:val="20"/>
                <w:color w:val="auto"/>
              </w:rPr>
            </w:pPr>
            <w:r>
              <w:rPr>
                <w:rFonts w:ascii="Calibri" w:cs="Calibri" w:eastAsia="Calibri" w:hAnsi="Calibri"/>
                <w:sz w:val="12"/>
                <w:szCs w:val="12"/>
                <w:b w:val="1"/>
                <w:bCs w:val="1"/>
                <w:color w:val="auto"/>
              </w:rPr>
              <w:t xml:space="preserve">Other assets </w:t>
            </w:r>
            <w:r>
              <w:rPr>
                <w:rFonts w:ascii="Calibri" w:cs="Calibri" w:eastAsia="Calibri" w:hAnsi="Calibri"/>
                <w:sz w:val="20"/>
                <w:szCs w:val="20"/>
                <w:b w:val="1"/>
                <w:bCs w:val="1"/>
                <w:color w:val="auto"/>
                <w:vertAlign w:val="superscript"/>
              </w:rPr>
              <w:t>(2)</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11,820,436</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8,045,520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6,811,768</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-15.3%</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-42.4%</w:t>
            </w:r>
          </w:p>
        </w:tc>
      </w:tr>
      <w:tr>
        <w:trPr>
          <w:trHeight w:val="205"/>
        </w:trPr>
        <w:tc>
          <w:tcPr>
            <w:tcW w:w="6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9"/>
              </w:rPr>
              <w:t>Total Assets</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202,790,001</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210,197,628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204,679,375</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rPr>
              <w:t>-2.6%</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0.9%</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Liabilites and Equity</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Deposits and obligatons</w:t>
            </w: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Non-interest bearing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41,187,095</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46,181,912</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44,615,769</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-3.4%</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8.3%</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Interest bearing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96,391,919</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100,410,686</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102,043,442</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1.6%</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5.9%</w:t>
            </w:r>
          </w:p>
        </w:tc>
      </w:tr>
      <w:tr>
        <w:trPr>
          <w:trHeight w:val="145"/>
        </w:trPr>
        <w:tc>
          <w:tcPr>
            <w:tcW w:w="6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Total deposits and obligatons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137,579,014</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146,592,598</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8"/>
              </w:rPr>
              <w:t>146,659,211</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w w:val="99"/>
              </w:rPr>
              <w:t>0.0%</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6.6%</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Payables from repurchase agreements and securites lending</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w w:val="98"/>
              </w:rPr>
              <w:t>6,095,858</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7,892,912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5,968,190</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-24.4%</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-2.1%</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BCRP instruments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5,542,892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7,064,476</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5,096,459</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color w:val="auto"/>
              </w:rPr>
              <w:t>-27.9%</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w w:val="94"/>
              </w:rPr>
              <w:t>-8.1%</w:t>
            </w:r>
          </w:p>
        </w:tc>
      </w:tr>
      <w:tr>
        <w:trPr>
          <w:trHeight w:val="145"/>
        </w:trPr>
        <w:tc>
          <w:tcPr>
            <w:tcW w:w="6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Repurchase agreements with third partes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552,966</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color w:val="auto"/>
              </w:rPr>
              <w:t>828,436</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871,731</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5.2%</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57.6%</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Due to banks and correspondents</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12,141,299</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10,314,235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10,402,291</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0.9%</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-14.3%</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Bonds and notes issued</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14,284,148</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10,759,498</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10,170,286</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b w:val="1"/>
                <w:bCs w:val="1"/>
                <w:color w:val="auto"/>
              </w:rPr>
              <w:t>-5.5%</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b w:val="1"/>
                <w:bCs w:val="1"/>
                <w:color w:val="auto"/>
              </w:rPr>
              <w:t>-28.8%</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Banker’s acceptances outstanding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473,382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639,749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559,370</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b w:val="1"/>
                <w:bCs w:val="1"/>
                <w:color w:val="auto"/>
              </w:rPr>
              <w:t>-12.6%</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b w:val="1"/>
                <w:bCs w:val="1"/>
                <w:color w:val="auto"/>
                <w:w w:val="99"/>
              </w:rPr>
              <w:t>18.2%</w:t>
            </w:r>
          </w:p>
        </w:tc>
      </w:tr>
      <w:tr>
        <w:trPr>
          <w:trHeight w:val="136"/>
        </w:trPr>
        <w:tc>
          <w:tcPr>
            <w:tcW w:w="620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b w:val="1"/>
                <w:bCs w:val="1"/>
                <w:color w:val="auto"/>
              </w:rPr>
              <w:t>Financial liabilites at fair value through proft or loss</w:t>
            </w:r>
          </w:p>
        </w:tc>
        <w:tc>
          <w:tcPr>
            <w:tcW w:w="100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auto"/>
              </w:rPr>
              <w:t>468,746</w:t>
            </w:r>
          </w:p>
        </w:tc>
        <w:tc>
          <w:tcPr>
            <w:tcW w:w="102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auto"/>
              </w:rPr>
              <w:t>367,988</w:t>
            </w:r>
          </w:p>
        </w:tc>
        <w:tc>
          <w:tcPr>
            <w:tcW w:w="102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b w:val="1"/>
                <w:bCs w:val="1"/>
                <w:color w:val="auto"/>
              </w:rPr>
              <w:t>387,867</w:t>
            </w:r>
          </w:p>
        </w:tc>
        <w:tc>
          <w:tcPr>
            <w:tcW w:w="720" w:type="dxa"/>
            <w:vAlign w:val="bottom"/>
          </w:tcPr>
          <w:p>
            <w:pPr>
              <w:jc w:val="center"/>
              <w:ind w:left="219"/>
              <w:spacing w:after="0" w:line="137" w:lineRule="exact"/>
              <w:rPr>
                <w:sz w:val="20"/>
                <w:szCs w:val="20"/>
                <w:color w:val="auto"/>
              </w:rPr>
            </w:pPr>
            <w:r>
              <w:rPr>
                <w:rFonts w:ascii="Calibri" w:cs="Calibri" w:eastAsia="Calibri" w:hAnsi="Calibri"/>
                <w:sz w:val="12"/>
                <w:szCs w:val="12"/>
                <w:b w:val="1"/>
                <w:bCs w:val="1"/>
                <w:color w:val="auto"/>
                <w:w w:val="99"/>
              </w:rPr>
              <w:t>5.4%</w:t>
            </w:r>
          </w:p>
        </w:tc>
        <w:tc>
          <w:tcPr>
            <w:tcW w:w="1300" w:type="dxa"/>
            <w:vAlign w:val="bottom"/>
            <w:tcBorders>
              <w:right w:val="single" w:sz="8" w:color="auto"/>
            </w:tcBorders>
          </w:tcPr>
          <w:p>
            <w:pPr>
              <w:jc w:val="center"/>
              <w:ind w:left="179"/>
              <w:spacing w:after="0" w:line="137" w:lineRule="exact"/>
              <w:rPr>
                <w:sz w:val="20"/>
                <w:szCs w:val="20"/>
                <w:color w:val="auto"/>
              </w:rPr>
            </w:pPr>
            <w:r>
              <w:rPr>
                <w:rFonts w:ascii="Calibri" w:cs="Calibri" w:eastAsia="Calibri" w:hAnsi="Calibri"/>
                <w:sz w:val="12"/>
                <w:szCs w:val="12"/>
                <w:b w:val="1"/>
                <w:bCs w:val="1"/>
                <w:color w:val="auto"/>
              </w:rPr>
              <w:t>-17.3%</w:t>
            </w:r>
          </w:p>
        </w:tc>
      </w:tr>
      <w:tr>
        <w:trPr>
          <w:trHeight w:val="150"/>
        </w:trPr>
        <w:tc>
          <w:tcPr>
            <w:tcW w:w="6200" w:type="dxa"/>
            <w:vAlign w:val="bottom"/>
            <w:tcBorders>
              <w:left w:val="single" w:sz="8" w:color="auto"/>
              <w:right w:val="single" w:sz="8" w:color="auto"/>
            </w:tcBorders>
          </w:tcPr>
          <w:p>
            <w:pPr>
              <w:ind w:left="20"/>
              <w:spacing w:after="0" w:line="150" w:lineRule="exact"/>
              <w:rPr>
                <w:sz w:val="20"/>
                <w:szCs w:val="20"/>
                <w:color w:val="auto"/>
              </w:rPr>
            </w:pPr>
            <w:r>
              <w:rPr>
                <w:rFonts w:ascii="Calibri" w:cs="Calibri" w:eastAsia="Calibri" w:hAnsi="Calibri"/>
                <w:sz w:val="10"/>
                <w:szCs w:val="10"/>
                <w:b w:val="1"/>
                <w:bCs w:val="1"/>
                <w:color w:val="auto"/>
              </w:rPr>
              <w:t xml:space="preserve">Other liabilites </w:t>
            </w:r>
            <w:r>
              <w:rPr>
                <w:rFonts w:ascii="Calibri" w:cs="Calibri" w:eastAsia="Calibri" w:hAnsi="Calibri"/>
                <w:sz w:val="16"/>
                <w:szCs w:val="16"/>
                <w:b w:val="1"/>
                <w:bCs w:val="1"/>
                <w:color w:val="auto"/>
                <w:vertAlign w:val="superscript"/>
              </w:rPr>
              <w:t>(3)</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w w:val="98"/>
              </w:rPr>
              <w:t>7,978,251</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10,599,135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5,604,105</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-47.1%</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-29.8%</w:t>
            </w:r>
          </w:p>
        </w:tc>
      </w:tr>
      <w:tr>
        <w:trPr>
          <w:trHeight w:val="145"/>
        </w:trPr>
        <w:tc>
          <w:tcPr>
            <w:tcW w:w="6200" w:type="dxa"/>
            <w:vAlign w:val="bottom"/>
            <w:tcBorders>
              <w:left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Total Liabilites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179,020,698</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187,166,115</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8"/>
              </w:rPr>
              <w:t>179,751,320</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rPr>
              <w:t>-4.0%</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0.4%</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Net equity</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23,624,852</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22,896,863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24,790,836</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8.3%</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4.9%</w:t>
            </w:r>
          </w:p>
        </w:tc>
      </w:tr>
      <w:tr>
        <w:trPr>
          <w:trHeight w:val="143"/>
        </w:trPr>
        <w:tc>
          <w:tcPr>
            <w:tcW w:w="620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Capital stock</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12,679,794</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12,679,794</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12,679,794</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0.0%</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0.0%</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Reserves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6,372,468</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5,905,440</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5,906,590</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0.0%</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w w:val="94"/>
              </w:rPr>
              <w:t>-7.3%</w:t>
            </w:r>
          </w:p>
        </w:tc>
      </w:tr>
      <w:tr>
        <w:trPr>
          <w:trHeight w:val="143"/>
        </w:trPr>
        <w:tc>
          <w:tcPr>
            <w:tcW w:w="620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Unrealized gains and losses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(95,961)</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141,193</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284,780</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101.7%</w:t>
            </w:r>
          </w:p>
        </w:tc>
        <w:tc>
          <w:tcPr>
            <w:tcW w:w="1300" w:type="dxa"/>
            <w:vAlign w:val="bottom"/>
            <w:tcBorders>
              <w:right w:val="single" w:sz="8" w:color="auto"/>
            </w:tcBorders>
          </w:tcPr>
          <w:p>
            <w:pPr>
              <w:ind w:left="680"/>
              <w:spacing w:after="0" w:line="143" w:lineRule="exact"/>
              <w:rPr>
                <w:sz w:val="20"/>
                <w:szCs w:val="20"/>
                <w:color w:val="auto"/>
              </w:rPr>
            </w:pPr>
            <w:r>
              <w:rPr>
                <w:rFonts w:ascii="Calibri" w:cs="Calibri" w:eastAsia="Calibri" w:hAnsi="Calibri"/>
                <w:sz w:val="12"/>
                <w:szCs w:val="12"/>
                <w:color w:val="auto"/>
              </w:rPr>
              <w:t>n.a.</w:t>
            </w:r>
          </w:p>
        </w:tc>
      </w:tr>
      <w:tr>
        <w:trPr>
          <w:trHeight w:val="145"/>
        </w:trPr>
        <w:tc>
          <w:tcPr>
            <w:tcW w:w="6200" w:type="dxa"/>
            <w:vAlign w:val="bottom"/>
            <w:tcBorders>
              <w:left w:val="single" w:sz="8" w:color="auto"/>
              <w:right w:val="single" w:sz="8" w:color="auto"/>
            </w:tcBorders>
          </w:tcPr>
          <w:p>
            <w:pPr>
              <w:ind w:left="120"/>
              <w:spacing w:after="0" w:line="145" w:lineRule="exact"/>
              <w:rPr>
                <w:sz w:val="20"/>
                <w:szCs w:val="20"/>
                <w:color w:val="auto"/>
              </w:rPr>
            </w:pPr>
            <w:r>
              <w:rPr>
                <w:rFonts w:ascii="Calibri" w:cs="Calibri" w:eastAsia="Calibri" w:hAnsi="Calibri"/>
                <w:sz w:val="12"/>
                <w:szCs w:val="12"/>
                <w:color w:val="auto"/>
              </w:rPr>
              <w:t>Retained earnings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4,668,551</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color w:val="auto"/>
              </w:rPr>
              <w:t>4,170,436</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5,919,672</w:t>
            </w:r>
          </w:p>
        </w:tc>
        <w:tc>
          <w:tcPr>
            <w:tcW w:w="72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41.9%</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26.8%</w:t>
            </w:r>
          </w:p>
        </w:tc>
      </w:tr>
      <w:tr>
        <w:trPr>
          <w:trHeight w:val="286"/>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Non-controlling interest</w:t>
            </w:r>
          </w:p>
        </w:tc>
        <w:tc>
          <w:tcPr>
            <w:tcW w:w="1000" w:type="dxa"/>
            <w:vAlign w:val="bottom"/>
          </w:tcPr>
          <w:p>
            <w:pPr>
              <w:jc w:val="center"/>
              <w:spacing w:after="0"/>
              <w:rPr>
                <w:sz w:val="20"/>
                <w:szCs w:val="20"/>
                <w:color w:val="auto"/>
              </w:rPr>
            </w:pPr>
            <w:r>
              <w:rPr>
                <w:rFonts w:ascii="Calibri" w:cs="Calibri" w:eastAsia="Calibri" w:hAnsi="Calibri"/>
                <w:sz w:val="12"/>
                <w:szCs w:val="12"/>
                <w:color w:val="auto"/>
              </w:rPr>
              <w:t>144,451</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134,650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137,219</w:t>
            </w:r>
          </w:p>
        </w:tc>
        <w:tc>
          <w:tcPr>
            <w:tcW w:w="720" w:type="dxa"/>
            <w:vAlign w:val="bottom"/>
          </w:tcPr>
          <w:p>
            <w:pPr>
              <w:jc w:val="center"/>
              <w:ind w:left="219"/>
              <w:spacing w:after="0"/>
              <w:rPr>
                <w:sz w:val="20"/>
                <w:szCs w:val="20"/>
                <w:color w:val="auto"/>
              </w:rPr>
            </w:pPr>
            <w:r>
              <w:rPr>
                <w:rFonts w:ascii="Calibri" w:cs="Calibri" w:eastAsia="Calibri" w:hAnsi="Calibri"/>
                <w:sz w:val="12"/>
                <w:szCs w:val="12"/>
                <w:color w:val="auto"/>
              </w:rPr>
              <w:t>1.9%</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color w:val="auto"/>
                <w:w w:val="94"/>
              </w:rPr>
              <w:t>-5.0%</w:t>
            </w:r>
          </w:p>
        </w:tc>
      </w:tr>
      <w:tr>
        <w:trPr>
          <w:trHeight w:val="286"/>
        </w:trPr>
        <w:tc>
          <w:tcPr>
            <w:tcW w:w="6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9"/>
              </w:rPr>
              <w:t>Total Net Equity</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23,769,303</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23,031,513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24,928,055</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8.2%</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4.9%</w:t>
            </w:r>
          </w:p>
        </w:tc>
      </w:tr>
      <w:tr>
        <w:trPr>
          <w:trHeight w:val="286"/>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Total liabilites and equity</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202,790,001</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210,197,628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204,679,375</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rPr>
              <w:t>-2.6%</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0.9%</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Of-balance sheet</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152,205,005</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136,896,925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139,056,539</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1.6%</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-8.6%</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Total performance bonds, stand-by and L/Cs.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20,008,285</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20,571,287</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20,908,399</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1.6%</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4.5%</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Undrawn credit lines, advised but not commited</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79,567,802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72,392,139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71,484,467</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-1.3%</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-10.2%</w:t>
            </w:r>
          </w:p>
        </w:tc>
      </w:tr>
      <w:tr>
        <w:trPr>
          <w:trHeight w:val="150"/>
        </w:trPr>
        <w:tc>
          <w:tcPr>
            <w:tcW w:w="6200" w:type="dxa"/>
            <w:vAlign w:val="bottom"/>
            <w:tcBorders>
              <w:left w:val="single" w:sz="8" w:color="auto"/>
              <w:bottom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Total derivatves (notonal) and others</w:t>
            </w:r>
          </w:p>
        </w:tc>
        <w:tc>
          <w:tcPr>
            <w:tcW w:w="100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52,628,918</w:t>
            </w:r>
          </w:p>
        </w:tc>
        <w:tc>
          <w:tcPr>
            <w:tcW w:w="102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43,933,499</w:t>
            </w:r>
          </w:p>
        </w:tc>
        <w:tc>
          <w:tcPr>
            <w:tcW w:w="102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46,663,673</w:t>
            </w:r>
          </w:p>
        </w:tc>
        <w:tc>
          <w:tcPr>
            <w:tcW w:w="720" w:type="dxa"/>
            <w:vAlign w:val="bottom"/>
            <w:tcBorders>
              <w:bottom w:val="single" w:sz="8" w:color="auto"/>
            </w:tcBorders>
          </w:tcPr>
          <w:p>
            <w:pPr>
              <w:jc w:val="center"/>
              <w:ind w:left="219"/>
              <w:spacing w:after="0" w:line="145" w:lineRule="exact"/>
              <w:rPr>
                <w:sz w:val="20"/>
                <w:szCs w:val="20"/>
                <w:color w:val="auto"/>
              </w:rPr>
            </w:pPr>
            <w:r>
              <w:rPr>
                <w:rFonts w:ascii="Calibri" w:cs="Calibri" w:eastAsia="Calibri" w:hAnsi="Calibri"/>
                <w:sz w:val="12"/>
                <w:szCs w:val="12"/>
                <w:color w:val="auto"/>
              </w:rPr>
              <w:t>6.2%</w:t>
            </w:r>
          </w:p>
        </w:tc>
        <w:tc>
          <w:tcPr>
            <w:tcW w:w="1300" w:type="dxa"/>
            <w:vAlign w:val="bottom"/>
            <w:tcBorders>
              <w:bottom w:val="single" w:sz="8" w:color="auto"/>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-11.3%</w:t>
            </w:r>
          </w:p>
        </w:tc>
      </w:tr>
    </w:tbl>
    <w:p>
      <w:pPr>
        <w:spacing w:after="0" w:line="180" w:lineRule="exact"/>
        <w:rPr>
          <w:sz w:val="20"/>
          <w:szCs w:val="20"/>
          <w:color w:val="auto"/>
        </w:rPr>
      </w:pPr>
    </w:p>
    <w:p>
      <w:pPr>
        <w:ind w:left="160" w:hanging="156"/>
        <w:spacing w:after="0"/>
        <w:tabs>
          <w:tab w:leader="none" w:pos="160" w:val="left"/>
        </w:tabs>
        <w:numPr>
          <w:ilvl w:val="0"/>
          <w:numId w:val="59"/>
        </w:numPr>
        <w:rPr>
          <w:rFonts w:ascii="Calibri" w:cs="Calibri" w:eastAsia="Calibri" w:hAnsi="Calibri"/>
          <w:sz w:val="11"/>
          <w:szCs w:val="11"/>
          <w:color w:val="auto"/>
        </w:rPr>
      </w:pPr>
      <w:r>
        <w:rPr>
          <w:rFonts w:ascii="Calibri" w:cs="Calibri" w:eastAsia="Calibri" w:hAnsi="Calibri"/>
          <w:sz w:val="11"/>
          <w:szCs w:val="11"/>
          <w:color w:val="auto"/>
        </w:rPr>
        <w:t>Right of use asset of lease contracts is included by applicaton of IFRS 16.</w:t>
      </w:r>
    </w:p>
    <w:p>
      <w:pPr>
        <w:ind w:left="160" w:hanging="156"/>
        <w:spacing w:after="0" w:line="232" w:lineRule="auto"/>
        <w:tabs>
          <w:tab w:leader="none" w:pos="160" w:val="left"/>
        </w:tabs>
        <w:numPr>
          <w:ilvl w:val="0"/>
          <w:numId w:val="59"/>
        </w:numPr>
        <w:rPr>
          <w:rFonts w:ascii="Calibri" w:cs="Calibri" w:eastAsia="Calibri" w:hAnsi="Calibri"/>
          <w:sz w:val="11"/>
          <w:szCs w:val="11"/>
          <w:color w:val="auto"/>
        </w:rPr>
      </w:pPr>
      <w:r>
        <w:rPr>
          <w:rFonts w:ascii="Calibri" w:cs="Calibri" w:eastAsia="Calibri" w:hAnsi="Calibri"/>
          <w:sz w:val="11"/>
          <w:szCs w:val="11"/>
          <w:color w:val="auto"/>
        </w:rPr>
        <w:t>Mainly includes intangible assets, other receivable accounts, trading derivatves receivable accounts and tax credit.</w:t>
      </w:r>
    </w:p>
    <w:p>
      <w:pPr>
        <w:ind w:left="160" w:hanging="156"/>
        <w:spacing w:after="0" w:line="232" w:lineRule="auto"/>
        <w:tabs>
          <w:tab w:leader="none" w:pos="160" w:val="left"/>
        </w:tabs>
        <w:numPr>
          <w:ilvl w:val="0"/>
          <w:numId w:val="59"/>
        </w:numPr>
        <w:rPr>
          <w:rFonts w:ascii="Calibri" w:cs="Calibri" w:eastAsia="Calibri" w:hAnsi="Calibri"/>
          <w:sz w:val="11"/>
          <w:szCs w:val="11"/>
          <w:color w:val="auto"/>
        </w:rPr>
      </w:pPr>
      <w:r>
        <w:rPr>
          <w:rFonts w:ascii="Calibri" w:cs="Calibri" w:eastAsia="Calibri" w:hAnsi="Calibri"/>
          <w:sz w:val="11"/>
          <w:szCs w:val="11"/>
          <w:color w:val="auto"/>
        </w:rPr>
        <w:t>Mainly includes other payable accounts, trading derivatves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800100</wp:posOffset>
            </wp:positionV>
            <wp:extent cx="7137400"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89535</wp:posOffset>
            </wp:positionV>
            <wp:extent cx="6501130" cy="5702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501130" cy="57023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3" w:name="page64"/>
    <w:bookmarkEnd w:id="63"/>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20"/>
        <w:spacing w:after="0"/>
        <w:rPr>
          <w:sz w:val="20"/>
          <w:szCs w:val="20"/>
          <w:color w:val="auto"/>
        </w:rPr>
      </w:pPr>
      <w:r>
        <w:rPr>
          <w:rFonts w:ascii="Calibri" w:cs="Calibri" w:eastAsia="Calibri" w:hAnsi="Calibri"/>
          <w:sz w:val="16"/>
          <w:szCs w:val="16"/>
          <w:b w:val="1"/>
          <w:bCs w:val="1"/>
          <w:color w:val="auto"/>
        </w:rPr>
        <w:t>Consolidated Statement of Income</w:t>
      </w:r>
    </w:p>
    <w:p>
      <w:pPr>
        <w:jc w:val="center"/>
        <w:ind w:right="120"/>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364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920" w:type="dxa"/>
            <w:vAlign w:val="bottom"/>
            <w:tcBorders>
              <w:top w:val="single" w:sz="8" w:color="auto"/>
            </w:tcBorders>
            <w:shd w:val="clear" w:color="auto" w:fill="2AD2C9"/>
          </w:tcPr>
          <w:p>
            <w:pPr>
              <w:spacing w:after="0"/>
              <w:rPr>
                <w:sz w:val="10"/>
                <w:szCs w:val="10"/>
                <w:color w:val="auto"/>
              </w:rPr>
            </w:pPr>
          </w:p>
        </w:tc>
        <w:tc>
          <w:tcPr>
            <w:tcW w:w="940" w:type="dxa"/>
            <w:vAlign w:val="bottom"/>
            <w:tcBorders>
              <w:top w:val="single" w:sz="8" w:color="auto"/>
            </w:tcBorders>
            <w:shd w:val="clear" w:color="auto" w:fill="2AD2C9"/>
          </w:tcPr>
          <w:p>
            <w:pPr>
              <w:ind w:left="320"/>
              <w:spacing w:after="0"/>
              <w:rPr>
                <w:sz w:val="20"/>
                <w:szCs w:val="20"/>
                <w:color w:val="auto"/>
              </w:rPr>
            </w:pPr>
            <w:r>
              <w:rPr>
                <w:rFonts w:ascii="Calibri" w:cs="Calibri" w:eastAsia="Calibri" w:hAnsi="Calibri"/>
                <w:sz w:val="10"/>
                <w:szCs w:val="10"/>
                <w:b w:val="1"/>
                <w:bCs w:val="1"/>
                <w:color w:val="FFFFFF"/>
              </w:rPr>
              <w:t>Quarter</w:t>
            </w:r>
          </w:p>
        </w:tc>
        <w:tc>
          <w:tcPr>
            <w:tcW w:w="980" w:type="dxa"/>
            <w:vAlign w:val="bottom"/>
            <w:tcBorders>
              <w:top w:val="single" w:sz="8" w:color="auto"/>
              <w:right w:val="single" w:sz="8" w:color="auto"/>
            </w:tcBorders>
            <w:shd w:val="clear" w:color="auto" w:fill="2AD2C9"/>
          </w:tcPr>
          <w:p>
            <w:pPr>
              <w:spacing w:after="0"/>
              <w:rPr>
                <w:sz w:val="10"/>
                <w:szCs w:val="10"/>
                <w:color w:val="auto"/>
              </w:rPr>
            </w:pPr>
          </w:p>
        </w:tc>
        <w:tc>
          <w:tcPr>
            <w:tcW w:w="1180" w:type="dxa"/>
            <w:vAlign w:val="bottom"/>
            <w:tcBorders>
              <w:top w:val="single" w:sz="8" w:color="auto"/>
            </w:tcBorders>
            <w:shd w:val="clear" w:color="auto" w:fill="2AD2C9"/>
          </w:tcPr>
          <w:p>
            <w:pPr>
              <w:ind w:left="740"/>
              <w:spacing w:after="0"/>
              <w:rPr>
                <w:sz w:val="20"/>
                <w:szCs w:val="20"/>
                <w:color w:val="auto"/>
              </w:rPr>
            </w:pPr>
            <w:r>
              <w:rPr>
                <w:rFonts w:ascii="Calibri" w:cs="Calibri" w:eastAsia="Calibri" w:hAnsi="Calibri"/>
                <w:sz w:val="10"/>
                <w:szCs w:val="10"/>
                <w:b w:val="1"/>
                <w:bCs w:val="1"/>
                <w:color w:val="FFFFFF"/>
              </w:rPr>
              <w:t>% change</w:t>
            </w:r>
          </w:p>
        </w:tc>
        <w:tc>
          <w:tcPr>
            <w:tcW w:w="680" w:type="dxa"/>
            <w:vAlign w:val="bottom"/>
            <w:tcBorders>
              <w:top w:val="single" w:sz="8" w:color="auto"/>
              <w:right w:val="single" w:sz="8" w:color="auto"/>
            </w:tcBorders>
            <w:shd w:val="clear" w:color="auto" w:fill="2AD2C9"/>
          </w:tcPr>
          <w:p>
            <w:pPr>
              <w:spacing w:after="0"/>
              <w:rPr>
                <w:sz w:val="10"/>
                <w:szCs w:val="10"/>
                <w:color w:val="auto"/>
              </w:rPr>
            </w:pPr>
          </w:p>
        </w:tc>
        <w:tc>
          <w:tcPr>
            <w:tcW w:w="780" w:type="dxa"/>
            <w:vAlign w:val="bottom"/>
            <w:tcBorders>
              <w:top w:val="single" w:sz="8" w:color="auto"/>
            </w:tcBorders>
            <w:shd w:val="clear" w:color="auto" w:fill="2AD2C9"/>
          </w:tcPr>
          <w:p>
            <w:pPr>
              <w:spacing w:after="0"/>
              <w:rPr>
                <w:sz w:val="10"/>
                <w:szCs w:val="10"/>
                <w:color w:val="auto"/>
              </w:rPr>
            </w:pPr>
          </w:p>
        </w:tc>
        <w:tc>
          <w:tcPr>
            <w:tcW w:w="1160" w:type="dxa"/>
            <w:vAlign w:val="bottom"/>
            <w:tcBorders>
              <w:top w:val="single" w:sz="8" w:color="auto"/>
              <w:right w:val="single" w:sz="8" w:color="auto"/>
            </w:tcBorders>
            <w:shd w:val="clear" w:color="auto" w:fill="2AD2C9"/>
          </w:tcPr>
          <w:p>
            <w:pPr>
              <w:ind w:left="80"/>
              <w:spacing w:after="0"/>
              <w:rPr>
                <w:sz w:val="20"/>
                <w:szCs w:val="20"/>
                <w:color w:val="auto"/>
              </w:rPr>
            </w:pPr>
            <w:r>
              <w:rPr>
                <w:rFonts w:ascii="Calibri" w:cs="Calibri" w:eastAsia="Calibri" w:hAnsi="Calibri"/>
                <w:sz w:val="10"/>
                <w:szCs w:val="10"/>
                <w:b w:val="1"/>
                <w:bCs w:val="1"/>
                <w:color w:val="FFFFFF"/>
              </w:rPr>
              <w:t>Up to</w:t>
            </w:r>
          </w:p>
        </w:tc>
        <w:tc>
          <w:tcPr>
            <w:tcW w:w="9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4"/>
              </w:rPr>
              <w:t>% Change</w:t>
            </w:r>
          </w:p>
        </w:tc>
      </w:tr>
      <w:tr>
        <w:trPr>
          <w:trHeight w:val="117"/>
        </w:trPr>
        <w:tc>
          <w:tcPr>
            <w:tcW w:w="364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920" w:type="dxa"/>
            <w:vAlign w:val="bottom"/>
            <w:tcBorders>
              <w:bottom w:val="single" w:sz="8" w:color="auto"/>
            </w:tcBorders>
            <w:shd w:val="clear" w:color="auto" w:fill="2AD2C9"/>
          </w:tcPr>
          <w:p>
            <w:pPr>
              <w:jc w:val="center"/>
              <w:spacing w:after="0" w:line="112" w:lineRule="exact"/>
              <w:rPr>
                <w:sz w:val="20"/>
                <w:szCs w:val="20"/>
                <w:color w:val="auto"/>
              </w:rPr>
            </w:pPr>
            <w:r>
              <w:rPr>
                <w:rFonts w:ascii="Calibri" w:cs="Calibri" w:eastAsia="Calibri" w:hAnsi="Calibri"/>
                <w:sz w:val="10"/>
                <w:szCs w:val="10"/>
                <w:b w:val="1"/>
                <w:bCs w:val="1"/>
                <w:color w:val="FFFFFF"/>
                <w:w w:val="90"/>
              </w:rPr>
              <w:t>2Q24</w:t>
            </w:r>
          </w:p>
        </w:tc>
        <w:tc>
          <w:tcPr>
            <w:tcW w:w="940" w:type="dxa"/>
            <w:vAlign w:val="bottom"/>
            <w:tcBorders>
              <w:bottom w:val="single" w:sz="8" w:color="auto"/>
            </w:tcBorders>
            <w:shd w:val="clear" w:color="auto" w:fill="2AD2C9"/>
          </w:tcPr>
          <w:p>
            <w:pPr>
              <w:jc w:val="center"/>
              <w:spacing w:after="0" w:line="112" w:lineRule="exact"/>
              <w:rPr>
                <w:sz w:val="20"/>
                <w:szCs w:val="20"/>
                <w:color w:val="auto"/>
              </w:rPr>
            </w:pPr>
            <w:r>
              <w:rPr>
                <w:rFonts w:ascii="Calibri" w:cs="Calibri" w:eastAsia="Calibri" w:hAnsi="Calibri"/>
                <w:sz w:val="10"/>
                <w:szCs w:val="10"/>
                <w:b w:val="1"/>
                <w:bCs w:val="1"/>
                <w:color w:val="FFFFFF"/>
                <w:w w:val="99"/>
              </w:rPr>
              <w:t>1Q25</w:t>
            </w:r>
          </w:p>
        </w:tc>
        <w:tc>
          <w:tcPr>
            <w:tcW w:w="980" w:type="dxa"/>
            <w:vAlign w:val="bottom"/>
            <w:tcBorders>
              <w:bottom w:val="single" w:sz="8" w:color="auto"/>
              <w:right w:val="single" w:sz="8" w:color="auto"/>
            </w:tcBorders>
            <w:shd w:val="clear" w:color="auto" w:fill="2AD2C9"/>
          </w:tcPr>
          <w:p>
            <w:pPr>
              <w:jc w:val="center"/>
              <w:spacing w:after="0" w:line="112" w:lineRule="exact"/>
              <w:rPr>
                <w:sz w:val="20"/>
                <w:szCs w:val="20"/>
                <w:color w:val="auto"/>
              </w:rPr>
            </w:pPr>
            <w:r>
              <w:rPr>
                <w:rFonts w:ascii="Calibri" w:cs="Calibri" w:eastAsia="Calibri" w:hAnsi="Calibri"/>
                <w:sz w:val="10"/>
                <w:szCs w:val="10"/>
                <w:b w:val="1"/>
                <w:bCs w:val="1"/>
                <w:color w:val="FFFFFF"/>
                <w:w w:val="90"/>
              </w:rPr>
              <w:t>2Q25</w:t>
            </w:r>
          </w:p>
        </w:tc>
        <w:tc>
          <w:tcPr>
            <w:tcW w:w="1180" w:type="dxa"/>
            <w:vAlign w:val="bottom"/>
            <w:tcBorders>
              <w:bottom w:val="single" w:sz="8" w:color="auto"/>
            </w:tcBorders>
            <w:shd w:val="clear" w:color="auto" w:fill="2AD2C9"/>
          </w:tcPr>
          <w:p>
            <w:pPr>
              <w:jc w:val="center"/>
              <w:ind w:right="232"/>
              <w:spacing w:after="0" w:line="112" w:lineRule="exact"/>
              <w:rPr>
                <w:sz w:val="20"/>
                <w:szCs w:val="20"/>
                <w:color w:val="auto"/>
              </w:rPr>
            </w:pPr>
            <w:r>
              <w:rPr>
                <w:rFonts w:ascii="Calibri" w:cs="Calibri" w:eastAsia="Calibri" w:hAnsi="Calibri"/>
                <w:sz w:val="10"/>
                <w:szCs w:val="10"/>
                <w:b w:val="1"/>
                <w:bCs w:val="1"/>
                <w:color w:val="FFFFFF"/>
                <w:w w:val="93"/>
              </w:rPr>
              <w:t>QoQ</w:t>
            </w:r>
          </w:p>
        </w:tc>
        <w:tc>
          <w:tcPr>
            <w:tcW w:w="680" w:type="dxa"/>
            <w:vAlign w:val="bottom"/>
            <w:tcBorders>
              <w:bottom w:val="single" w:sz="8" w:color="auto"/>
              <w:right w:val="single" w:sz="8" w:color="auto"/>
            </w:tcBorders>
            <w:shd w:val="clear" w:color="auto" w:fill="2AD2C9"/>
          </w:tcPr>
          <w:p>
            <w:pPr>
              <w:ind w:left="140"/>
              <w:spacing w:after="0" w:line="112" w:lineRule="exact"/>
              <w:rPr>
                <w:sz w:val="20"/>
                <w:szCs w:val="20"/>
                <w:color w:val="auto"/>
              </w:rPr>
            </w:pPr>
            <w:r>
              <w:rPr>
                <w:rFonts w:ascii="Calibri" w:cs="Calibri" w:eastAsia="Calibri" w:hAnsi="Calibri"/>
                <w:sz w:val="10"/>
                <w:szCs w:val="10"/>
                <w:b w:val="1"/>
                <w:bCs w:val="1"/>
                <w:color w:val="FFFFFF"/>
              </w:rPr>
              <w:t>YoY</w:t>
            </w:r>
          </w:p>
        </w:tc>
        <w:tc>
          <w:tcPr>
            <w:tcW w:w="780" w:type="dxa"/>
            <w:vAlign w:val="bottom"/>
            <w:tcBorders>
              <w:bottom w:val="single" w:sz="8" w:color="auto"/>
            </w:tcBorders>
            <w:shd w:val="clear" w:color="auto" w:fill="2AD2C9"/>
          </w:tcPr>
          <w:p>
            <w:pPr>
              <w:ind w:left="360"/>
              <w:spacing w:after="0" w:line="112" w:lineRule="exact"/>
              <w:rPr>
                <w:sz w:val="20"/>
                <w:szCs w:val="20"/>
                <w:color w:val="auto"/>
              </w:rPr>
            </w:pPr>
            <w:r>
              <w:rPr>
                <w:rFonts w:ascii="Calibri" w:cs="Calibri" w:eastAsia="Calibri" w:hAnsi="Calibri"/>
                <w:sz w:val="10"/>
                <w:szCs w:val="10"/>
                <w:b w:val="1"/>
                <w:bCs w:val="1"/>
                <w:color w:val="FFFFFF"/>
              </w:rPr>
              <w:t>Jun 24</w:t>
            </w:r>
          </w:p>
        </w:tc>
        <w:tc>
          <w:tcPr>
            <w:tcW w:w="1160" w:type="dxa"/>
            <w:vAlign w:val="bottom"/>
            <w:tcBorders>
              <w:bottom w:val="single" w:sz="8" w:color="auto"/>
              <w:right w:val="single" w:sz="8" w:color="auto"/>
            </w:tcBorders>
            <w:shd w:val="clear" w:color="auto" w:fill="2AD2C9"/>
          </w:tcPr>
          <w:p>
            <w:pPr>
              <w:ind w:left="520"/>
              <w:spacing w:after="0" w:line="112" w:lineRule="exact"/>
              <w:rPr>
                <w:sz w:val="20"/>
                <w:szCs w:val="20"/>
                <w:color w:val="auto"/>
              </w:rPr>
            </w:pPr>
            <w:r>
              <w:rPr>
                <w:rFonts w:ascii="Calibri" w:cs="Calibri" w:eastAsia="Calibri" w:hAnsi="Calibri"/>
                <w:sz w:val="10"/>
                <w:szCs w:val="10"/>
                <w:b w:val="1"/>
                <w:bCs w:val="1"/>
                <w:color w:val="FFFFFF"/>
              </w:rPr>
              <w:t>Jun 25</w:t>
            </w:r>
          </w:p>
        </w:tc>
        <w:tc>
          <w:tcPr>
            <w:tcW w:w="980" w:type="dxa"/>
            <w:vAlign w:val="bottom"/>
            <w:tcBorders>
              <w:bottom w:val="single" w:sz="8" w:color="auto"/>
              <w:right w:val="single" w:sz="8" w:color="auto"/>
            </w:tcBorders>
            <w:shd w:val="clear" w:color="auto" w:fill="2AD2C9"/>
          </w:tcPr>
          <w:p>
            <w:pPr>
              <w:jc w:val="center"/>
              <w:spacing w:after="0" w:line="112" w:lineRule="exact"/>
              <w:rPr>
                <w:sz w:val="20"/>
                <w:szCs w:val="20"/>
                <w:color w:val="auto"/>
              </w:rPr>
            </w:pPr>
            <w:r>
              <w:rPr>
                <w:rFonts w:ascii="Calibri" w:cs="Calibri" w:eastAsia="Calibri" w:hAnsi="Calibri"/>
                <w:sz w:val="10"/>
                <w:szCs w:val="10"/>
                <w:b w:val="1"/>
                <w:bCs w:val="1"/>
                <w:color w:val="FFFFFF"/>
                <w:w w:val="93"/>
              </w:rPr>
              <w:t>Jun 25 / Jun 24</w:t>
            </w:r>
          </w:p>
        </w:tc>
      </w:tr>
      <w:tr>
        <w:trPr>
          <w:trHeight w:val="104"/>
        </w:trPr>
        <w:tc>
          <w:tcPr>
            <w:tcW w:w="3640" w:type="dxa"/>
            <w:vAlign w:val="bottom"/>
            <w:tcBorders>
              <w:left w:val="single" w:sz="8" w:color="auto"/>
              <w:right w:val="single" w:sz="8" w:color="auto"/>
            </w:tcBorders>
          </w:tcPr>
          <w:p>
            <w:pPr>
              <w:ind w:left="20"/>
              <w:spacing w:after="0" w:line="104" w:lineRule="exact"/>
              <w:rPr>
                <w:sz w:val="20"/>
                <w:szCs w:val="20"/>
                <w:color w:val="auto"/>
              </w:rPr>
            </w:pPr>
            <w:r>
              <w:rPr>
                <w:rFonts w:ascii="Calibri" w:cs="Calibri" w:eastAsia="Calibri" w:hAnsi="Calibri"/>
                <w:sz w:val="10"/>
                <w:szCs w:val="10"/>
                <w:b w:val="1"/>
                <w:bCs w:val="1"/>
                <w:color w:val="auto"/>
              </w:rPr>
              <w:t>Interest income and expense</w:t>
            </w: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r>
      <w:tr>
        <w:trPr>
          <w:trHeight w:val="112"/>
        </w:trPr>
        <w:tc>
          <w:tcPr>
            <w:tcW w:w="3640" w:type="dxa"/>
            <w:vAlign w:val="bottom"/>
            <w:tcBorders>
              <w:left w:val="single" w:sz="8" w:color="auto"/>
              <w:right w:val="single" w:sz="8" w:color="auto"/>
            </w:tcBorders>
          </w:tcPr>
          <w:p>
            <w:pPr>
              <w:ind w:left="180"/>
              <w:spacing w:after="0" w:line="112" w:lineRule="exact"/>
              <w:rPr>
                <w:sz w:val="20"/>
                <w:szCs w:val="20"/>
                <w:color w:val="auto"/>
              </w:rPr>
            </w:pPr>
            <w:r>
              <w:rPr>
                <w:rFonts w:ascii="Calibri" w:cs="Calibri" w:eastAsia="Calibri" w:hAnsi="Calibri"/>
                <w:sz w:val="10"/>
                <w:szCs w:val="10"/>
                <w:color w:val="auto"/>
              </w:rPr>
              <w:t>Interest and similar income</w:t>
            </w:r>
          </w:p>
        </w:tc>
        <w:tc>
          <w:tcPr>
            <w:tcW w:w="920" w:type="dxa"/>
            <w:vAlign w:val="bottom"/>
          </w:tcPr>
          <w:p>
            <w:pPr>
              <w:jc w:val="center"/>
              <w:spacing w:after="0" w:line="112" w:lineRule="exact"/>
              <w:rPr>
                <w:sz w:val="20"/>
                <w:szCs w:val="20"/>
                <w:color w:val="auto"/>
              </w:rPr>
            </w:pPr>
            <w:r>
              <w:rPr>
                <w:rFonts w:ascii="Calibri" w:cs="Calibri" w:eastAsia="Calibri" w:hAnsi="Calibri"/>
                <w:sz w:val="10"/>
                <w:szCs w:val="10"/>
                <w:color w:val="auto"/>
                <w:w w:val="93"/>
              </w:rPr>
              <w:t>4,321,539</w:t>
            </w:r>
          </w:p>
        </w:tc>
        <w:tc>
          <w:tcPr>
            <w:tcW w:w="940" w:type="dxa"/>
            <w:vAlign w:val="bottom"/>
          </w:tcPr>
          <w:p>
            <w:pPr>
              <w:jc w:val="center"/>
              <w:spacing w:after="0" w:line="112" w:lineRule="exact"/>
              <w:rPr>
                <w:sz w:val="20"/>
                <w:szCs w:val="20"/>
                <w:color w:val="auto"/>
              </w:rPr>
            </w:pPr>
            <w:r>
              <w:rPr>
                <w:rFonts w:ascii="Calibri" w:cs="Calibri" w:eastAsia="Calibri" w:hAnsi="Calibri"/>
                <w:sz w:val="10"/>
                <w:szCs w:val="10"/>
                <w:color w:val="auto"/>
                <w:w w:val="93"/>
              </w:rPr>
              <w:t>4,260,384</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color w:val="auto"/>
                <w:w w:val="98"/>
              </w:rPr>
              <w:t>4,309,923</w:t>
            </w:r>
          </w:p>
        </w:tc>
        <w:tc>
          <w:tcPr>
            <w:tcW w:w="1180" w:type="dxa"/>
            <w:vAlign w:val="bottom"/>
          </w:tcPr>
          <w:p>
            <w:pPr>
              <w:jc w:val="center"/>
              <w:ind w:right="232"/>
              <w:spacing w:after="0" w:line="112" w:lineRule="exact"/>
              <w:rPr>
                <w:sz w:val="20"/>
                <w:szCs w:val="20"/>
                <w:color w:val="auto"/>
              </w:rPr>
            </w:pPr>
            <w:r>
              <w:rPr>
                <w:rFonts w:ascii="Calibri" w:cs="Calibri" w:eastAsia="Calibri" w:hAnsi="Calibri"/>
                <w:sz w:val="10"/>
                <w:szCs w:val="10"/>
                <w:color w:val="auto"/>
                <w:w w:val="90"/>
              </w:rPr>
              <w:t>1.2%</w:t>
            </w:r>
          </w:p>
        </w:tc>
        <w:tc>
          <w:tcPr>
            <w:tcW w:w="680" w:type="dxa"/>
            <w:vAlign w:val="bottom"/>
            <w:tcBorders>
              <w:right w:val="single" w:sz="8" w:color="auto"/>
            </w:tcBorders>
          </w:tcPr>
          <w:p>
            <w:pPr>
              <w:jc w:val="center"/>
              <w:ind w:right="212"/>
              <w:spacing w:after="0" w:line="112" w:lineRule="exact"/>
              <w:rPr>
                <w:sz w:val="20"/>
                <w:szCs w:val="20"/>
                <w:color w:val="auto"/>
              </w:rPr>
            </w:pPr>
            <w:r>
              <w:rPr>
                <w:rFonts w:ascii="Calibri" w:cs="Calibri" w:eastAsia="Calibri" w:hAnsi="Calibri"/>
                <w:sz w:val="10"/>
                <w:szCs w:val="10"/>
                <w:color w:val="auto"/>
                <w:w w:val="95"/>
              </w:rPr>
              <w:t>-0.3%</w:t>
            </w:r>
          </w:p>
        </w:tc>
        <w:tc>
          <w:tcPr>
            <w:tcW w:w="780" w:type="dxa"/>
            <w:vAlign w:val="bottom"/>
          </w:tcPr>
          <w:p>
            <w:pPr>
              <w:jc w:val="center"/>
              <w:ind w:left="132"/>
              <w:spacing w:after="0" w:line="112" w:lineRule="exact"/>
              <w:rPr>
                <w:sz w:val="20"/>
                <w:szCs w:val="20"/>
                <w:color w:val="auto"/>
              </w:rPr>
            </w:pPr>
            <w:r>
              <w:rPr>
                <w:rFonts w:ascii="Calibri" w:cs="Calibri" w:eastAsia="Calibri" w:hAnsi="Calibri"/>
                <w:sz w:val="10"/>
                <w:szCs w:val="10"/>
                <w:color w:val="auto"/>
                <w:w w:val="98"/>
              </w:rPr>
              <w:t>8,600,440</w:t>
            </w:r>
          </w:p>
        </w:tc>
        <w:tc>
          <w:tcPr>
            <w:tcW w:w="1160" w:type="dxa"/>
            <w:vAlign w:val="bottom"/>
            <w:tcBorders>
              <w:right w:val="single" w:sz="8" w:color="auto"/>
            </w:tcBorders>
          </w:tcPr>
          <w:p>
            <w:pPr>
              <w:jc w:val="center"/>
              <w:ind w:left="92"/>
              <w:spacing w:after="0" w:line="112" w:lineRule="exact"/>
              <w:rPr>
                <w:sz w:val="20"/>
                <w:szCs w:val="20"/>
                <w:color w:val="auto"/>
              </w:rPr>
            </w:pPr>
            <w:r>
              <w:rPr>
                <w:rFonts w:ascii="Calibri" w:cs="Calibri" w:eastAsia="Calibri" w:hAnsi="Calibri"/>
                <w:sz w:val="10"/>
                <w:szCs w:val="10"/>
                <w:color w:val="auto"/>
                <w:w w:val="93"/>
              </w:rPr>
              <w:t>8,570,307</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color w:val="auto"/>
                <w:w w:val="95"/>
              </w:rPr>
              <w:t>-0.4%</w:t>
            </w:r>
          </w:p>
        </w:tc>
      </w:tr>
      <w:tr>
        <w:trPr>
          <w:trHeight w:val="123"/>
        </w:trPr>
        <w:tc>
          <w:tcPr>
            <w:tcW w:w="3640" w:type="dxa"/>
            <w:vAlign w:val="bottom"/>
            <w:tcBorders>
              <w:left w:val="single" w:sz="8" w:color="auto"/>
              <w:right w:val="single" w:sz="8" w:color="auto"/>
            </w:tcBorders>
          </w:tcPr>
          <w:p>
            <w:pPr>
              <w:ind w:left="180"/>
              <w:spacing w:after="0" w:line="123" w:lineRule="exact"/>
              <w:rPr>
                <w:sz w:val="20"/>
                <w:szCs w:val="20"/>
                <w:color w:val="auto"/>
              </w:rPr>
            </w:pPr>
            <w:r>
              <w:rPr>
                <w:rFonts w:ascii="Calibri" w:cs="Calibri" w:eastAsia="Calibri" w:hAnsi="Calibri"/>
                <w:sz w:val="8"/>
                <w:szCs w:val="8"/>
                <w:color w:val="auto"/>
              </w:rPr>
              <w:t xml:space="preserve">Interest and similar expense </w:t>
            </w:r>
            <w:r>
              <w:rPr>
                <w:rFonts w:ascii="Calibri" w:cs="Calibri" w:eastAsia="Calibri" w:hAnsi="Calibri"/>
                <w:sz w:val="13"/>
                <w:szCs w:val="13"/>
                <w:color w:val="auto"/>
                <w:vertAlign w:val="superscript"/>
              </w:rPr>
              <w:t>(1)</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4"/>
              </w:rPr>
              <w:t>(1,101,415)</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(975,337)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(953,011)</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5"/>
              </w:rPr>
              <w:t>-2.3%</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rPr>
              <w:t>-13.5%</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4"/>
              </w:rPr>
              <w:t>(2,221,073)</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4"/>
              </w:rPr>
              <w:t>(1,928,348)</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-13.2%</w:t>
            </w:r>
          </w:p>
        </w:tc>
      </w:tr>
      <w:tr>
        <w:trPr>
          <w:trHeight w:val="112"/>
        </w:trPr>
        <w:tc>
          <w:tcPr>
            <w:tcW w:w="3640" w:type="dxa"/>
            <w:vAlign w:val="bottom"/>
            <w:tcBorders>
              <w:left w:val="single" w:sz="8" w:color="auto"/>
              <w:right w:val="single" w:sz="8" w:color="auto"/>
            </w:tcBorders>
          </w:tcPr>
          <w:p>
            <w:pPr>
              <w:ind w:left="20"/>
              <w:spacing w:after="0" w:line="112" w:lineRule="exact"/>
              <w:rPr>
                <w:sz w:val="20"/>
                <w:szCs w:val="20"/>
                <w:color w:val="auto"/>
              </w:rPr>
            </w:pPr>
            <w:r>
              <w:rPr>
                <w:rFonts w:ascii="Calibri" w:cs="Calibri" w:eastAsia="Calibri" w:hAnsi="Calibri"/>
                <w:sz w:val="10"/>
                <w:szCs w:val="10"/>
                <w:b w:val="1"/>
                <w:bCs w:val="1"/>
                <w:color w:val="auto"/>
              </w:rPr>
              <w:t>Interest income and expense</w:t>
            </w:r>
          </w:p>
        </w:tc>
        <w:tc>
          <w:tcPr>
            <w:tcW w:w="920" w:type="dxa"/>
            <w:vAlign w:val="bottom"/>
          </w:tcPr>
          <w:p>
            <w:pPr>
              <w:jc w:val="center"/>
              <w:spacing w:after="0" w:line="112" w:lineRule="exact"/>
              <w:rPr>
                <w:sz w:val="20"/>
                <w:szCs w:val="20"/>
                <w:color w:val="auto"/>
              </w:rPr>
            </w:pPr>
            <w:r>
              <w:rPr>
                <w:rFonts w:ascii="Calibri" w:cs="Calibri" w:eastAsia="Calibri" w:hAnsi="Calibri"/>
                <w:sz w:val="10"/>
                <w:szCs w:val="10"/>
                <w:b w:val="1"/>
                <w:bCs w:val="1"/>
                <w:color w:val="auto"/>
                <w:w w:val="93"/>
              </w:rPr>
              <w:t>3,220,124</w:t>
            </w:r>
          </w:p>
        </w:tc>
        <w:tc>
          <w:tcPr>
            <w:tcW w:w="940" w:type="dxa"/>
            <w:vAlign w:val="bottom"/>
          </w:tcPr>
          <w:p>
            <w:pPr>
              <w:jc w:val="center"/>
              <w:spacing w:after="0" w:line="112" w:lineRule="exact"/>
              <w:rPr>
                <w:sz w:val="20"/>
                <w:szCs w:val="20"/>
                <w:color w:val="auto"/>
              </w:rPr>
            </w:pPr>
            <w:r>
              <w:rPr>
                <w:rFonts w:ascii="Calibri" w:cs="Calibri" w:eastAsia="Calibri" w:hAnsi="Calibri"/>
                <w:sz w:val="10"/>
                <w:szCs w:val="10"/>
                <w:b w:val="1"/>
                <w:bCs w:val="1"/>
                <w:color w:val="auto"/>
                <w:w w:val="93"/>
              </w:rPr>
              <w:t>3,285,047</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b w:val="1"/>
                <w:bCs w:val="1"/>
                <w:color w:val="auto"/>
                <w:w w:val="98"/>
              </w:rPr>
              <w:t>3,356,912</w:t>
            </w:r>
          </w:p>
        </w:tc>
        <w:tc>
          <w:tcPr>
            <w:tcW w:w="1180" w:type="dxa"/>
            <w:vAlign w:val="bottom"/>
          </w:tcPr>
          <w:p>
            <w:pPr>
              <w:jc w:val="center"/>
              <w:ind w:right="232"/>
              <w:spacing w:after="0" w:line="112" w:lineRule="exact"/>
              <w:rPr>
                <w:sz w:val="20"/>
                <w:szCs w:val="20"/>
                <w:color w:val="auto"/>
              </w:rPr>
            </w:pPr>
            <w:r>
              <w:rPr>
                <w:rFonts w:ascii="Calibri" w:cs="Calibri" w:eastAsia="Calibri" w:hAnsi="Calibri"/>
                <w:sz w:val="10"/>
                <w:szCs w:val="10"/>
                <w:b w:val="1"/>
                <w:bCs w:val="1"/>
                <w:color w:val="auto"/>
                <w:w w:val="89"/>
              </w:rPr>
              <w:t>2.2%</w:t>
            </w:r>
          </w:p>
        </w:tc>
        <w:tc>
          <w:tcPr>
            <w:tcW w:w="680" w:type="dxa"/>
            <w:vAlign w:val="bottom"/>
            <w:tcBorders>
              <w:right w:val="single" w:sz="8" w:color="auto"/>
            </w:tcBorders>
          </w:tcPr>
          <w:p>
            <w:pPr>
              <w:jc w:val="center"/>
              <w:ind w:right="232"/>
              <w:spacing w:after="0" w:line="112" w:lineRule="exact"/>
              <w:rPr>
                <w:sz w:val="20"/>
                <w:szCs w:val="20"/>
                <w:color w:val="auto"/>
              </w:rPr>
            </w:pPr>
            <w:r>
              <w:rPr>
                <w:rFonts w:ascii="Calibri" w:cs="Calibri" w:eastAsia="Calibri" w:hAnsi="Calibri"/>
                <w:sz w:val="10"/>
                <w:szCs w:val="10"/>
                <w:b w:val="1"/>
                <w:bCs w:val="1"/>
                <w:color w:val="auto"/>
                <w:w w:val="99"/>
              </w:rPr>
              <w:t>4.2%</w:t>
            </w:r>
          </w:p>
        </w:tc>
        <w:tc>
          <w:tcPr>
            <w:tcW w:w="780" w:type="dxa"/>
            <w:vAlign w:val="bottom"/>
          </w:tcPr>
          <w:p>
            <w:pPr>
              <w:jc w:val="center"/>
              <w:ind w:left="132"/>
              <w:spacing w:after="0" w:line="112" w:lineRule="exact"/>
              <w:rPr>
                <w:sz w:val="20"/>
                <w:szCs w:val="20"/>
                <w:color w:val="auto"/>
              </w:rPr>
            </w:pPr>
            <w:r>
              <w:rPr>
                <w:rFonts w:ascii="Calibri" w:cs="Calibri" w:eastAsia="Calibri" w:hAnsi="Calibri"/>
                <w:sz w:val="10"/>
                <w:szCs w:val="10"/>
                <w:b w:val="1"/>
                <w:bCs w:val="1"/>
                <w:color w:val="auto"/>
                <w:w w:val="98"/>
              </w:rPr>
              <w:t>6,379,367</w:t>
            </w:r>
          </w:p>
        </w:tc>
        <w:tc>
          <w:tcPr>
            <w:tcW w:w="1160" w:type="dxa"/>
            <w:vAlign w:val="bottom"/>
            <w:tcBorders>
              <w:right w:val="single" w:sz="8" w:color="auto"/>
            </w:tcBorders>
          </w:tcPr>
          <w:p>
            <w:pPr>
              <w:jc w:val="center"/>
              <w:ind w:left="92"/>
              <w:spacing w:after="0" w:line="112" w:lineRule="exact"/>
              <w:rPr>
                <w:sz w:val="20"/>
                <w:szCs w:val="20"/>
                <w:color w:val="auto"/>
              </w:rPr>
            </w:pPr>
            <w:r>
              <w:rPr>
                <w:rFonts w:ascii="Calibri" w:cs="Calibri" w:eastAsia="Calibri" w:hAnsi="Calibri"/>
                <w:sz w:val="10"/>
                <w:szCs w:val="10"/>
                <w:b w:val="1"/>
                <w:bCs w:val="1"/>
                <w:color w:val="auto"/>
                <w:w w:val="93"/>
              </w:rPr>
              <w:t>6,641,959</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b w:val="1"/>
                <w:bCs w:val="1"/>
                <w:color w:val="auto"/>
                <w:w w:val="89"/>
              </w:rPr>
              <w:t>4.1%</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Provision for credit losses on loan portolio</w:t>
            </w:r>
          </w:p>
        </w:tc>
        <w:tc>
          <w:tcPr>
            <w:tcW w:w="920" w:type="dxa"/>
            <w:vAlign w:val="bottom"/>
          </w:tcPr>
          <w:p>
            <w:pPr>
              <w:jc w:val="center"/>
              <w:spacing w:after="0"/>
              <w:rPr>
                <w:sz w:val="20"/>
                <w:szCs w:val="20"/>
                <w:color w:val="auto"/>
              </w:rPr>
            </w:pPr>
            <w:r>
              <w:rPr>
                <w:rFonts w:ascii="Calibri" w:cs="Calibri" w:eastAsia="Calibri" w:hAnsi="Calibri"/>
                <w:sz w:val="10"/>
                <w:szCs w:val="10"/>
                <w:color w:val="auto"/>
                <w:w w:val="94"/>
              </w:rPr>
              <w:t>(1,117,597)</w:t>
            </w:r>
          </w:p>
        </w:tc>
        <w:tc>
          <w:tcPr>
            <w:tcW w:w="940" w:type="dxa"/>
            <w:vAlign w:val="bottom"/>
          </w:tcPr>
          <w:p>
            <w:pPr>
              <w:jc w:val="center"/>
              <w:spacing w:after="0"/>
              <w:rPr>
                <w:sz w:val="20"/>
                <w:szCs w:val="20"/>
                <w:color w:val="auto"/>
              </w:rPr>
            </w:pPr>
            <w:r>
              <w:rPr>
                <w:rFonts w:ascii="Calibri" w:cs="Calibri" w:eastAsia="Calibri" w:hAnsi="Calibri"/>
                <w:sz w:val="10"/>
                <w:szCs w:val="10"/>
                <w:color w:val="auto"/>
                <w:w w:val="97"/>
              </w:rPr>
              <w:t>(648,883)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2"/>
              </w:rPr>
              <w:t>(633,987)</w:t>
            </w:r>
          </w:p>
        </w:tc>
        <w:tc>
          <w:tcPr>
            <w:tcW w:w="1180" w:type="dxa"/>
            <w:vAlign w:val="bottom"/>
          </w:tcPr>
          <w:p>
            <w:pPr>
              <w:jc w:val="center"/>
              <w:ind w:right="232"/>
              <w:spacing w:after="0"/>
              <w:rPr>
                <w:sz w:val="20"/>
                <w:szCs w:val="20"/>
                <w:color w:val="auto"/>
              </w:rPr>
            </w:pPr>
            <w:r>
              <w:rPr>
                <w:rFonts w:ascii="Calibri" w:cs="Calibri" w:eastAsia="Calibri" w:hAnsi="Calibri"/>
                <w:sz w:val="10"/>
                <w:szCs w:val="10"/>
                <w:color w:val="auto"/>
                <w:w w:val="95"/>
              </w:rPr>
              <w:t>-2.3%</w:t>
            </w:r>
          </w:p>
        </w:tc>
        <w:tc>
          <w:tcPr>
            <w:tcW w:w="68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0"/>
                <w:szCs w:val="10"/>
                <w:color w:val="auto"/>
              </w:rPr>
              <w:t>-43.3%</w:t>
            </w:r>
          </w:p>
        </w:tc>
        <w:tc>
          <w:tcPr>
            <w:tcW w:w="780" w:type="dxa"/>
            <w:vAlign w:val="bottom"/>
          </w:tcPr>
          <w:p>
            <w:pPr>
              <w:jc w:val="center"/>
              <w:ind w:left="132"/>
              <w:spacing w:after="0"/>
              <w:rPr>
                <w:sz w:val="20"/>
                <w:szCs w:val="20"/>
                <w:color w:val="auto"/>
              </w:rPr>
            </w:pPr>
            <w:r>
              <w:rPr>
                <w:rFonts w:ascii="Calibri" w:cs="Calibri" w:eastAsia="Calibri" w:hAnsi="Calibri"/>
                <w:sz w:val="10"/>
                <w:szCs w:val="10"/>
                <w:color w:val="auto"/>
                <w:w w:val="94"/>
              </w:rPr>
              <w:t>(1,961,748)</w:t>
            </w:r>
          </w:p>
        </w:tc>
        <w:tc>
          <w:tcPr>
            <w:tcW w:w="1160" w:type="dxa"/>
            <w:vAlign w:val="bottom"/>
            <w:tcBorders>
              <w:right w:val="single" w:sz="8" w:color="auto"/>
            </w:tcBorders>
          </w:tcPr>
          <w:p>
            <w:pPr>
              <w:jc w:val="center"/>
              <w:ind w:left="112"/>
              <w:spacing w:after="0"/>
              <w:rPr>
                <w:sz w:val="20"/>
                <w:szCs w:val="20"/>
                <w:color w:val="auto"/>
              </w:rPr>
            </w:pPr>
            <w:r>
              <w:rPr>
                <w:rFonts w:ascii="Calibri" w:cs="Calibri" w:eastAsia="Calibri" w:hAnsi="Calibri"/>
                <w:sz w:val="10"/>
                <w:szCs w:val="10"/>
                <w:color w:val="auto"/>
                <w:w w:val="94"/>
              </w:rPr>
              <w:t>(1,282,870)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2"/>
              </w:rPr>
              <w:t>-34.6%</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Recoveries of writen-of loans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95,174</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0"/>
              </w:rPr>
              <w:t>108,978</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7"/>
              </w:rPr>
              <w:t>105,024</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5"/>
              </w:rPr>
              <w:t>-3.6%</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10.3%</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7"/>
              </w:rPr>
              <w:t>185,972</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7"/>
              </w:rPr>
              <w:t>214,002</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15.1%</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b w:val="1"/>
                <w:bCs w:val="1"/>
                <w:color w:val="auto"/>
              </w:rPr>
              <w:t>Provision for credit losses on loan portolio, net of recoveries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3"/>
              </w:rPr>
              <w:t>(1,022,423)</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6"/>
              </w:rPr>
              <w:t>(539,905)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1"/>
              </w:rPr>
              <w:t>(528,963)</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4"/>
              </w:rPr>
              <w:t>-2.0%</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9"/>
              </w:rPr>
              <w:t>-48.3%</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b w:val="1"/>
                <w:bCs w:val="1"/>
                <w:color w:val="auto"/>
                <w:w w:val="93"/>
              </w:rPr>
              <w:t>(1,775,776)</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b w:val="1"/>
                <w:bCs w:val="1"/>
                <w:color w:val="auto"/>
                <w:w w:val="93"/>
              </w:rPr>
              <w:t>(1,068,868)</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1"/>
              </w:rPr>
              <w:t>-39.8%</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w w:val="95"/>
              </w:rPr>
              <w:t>Net interest, similar income and expenses, afer provision for credit losses on loan portolio</w:t>
            </w:r>
          </w:p>
        </w:tc>
        <w:tc>
          <w:tcPr>
            <w:tcW w:w="920" w:type="dxa"/>
            <w:vAlign w:val="bottom"/>
          </w:tcPr>
          <w:p>
            <w:pPr>
              <w:jc w:val="center"/>
              <w:spacing w:after="0"/>
              <w:rPr>
                <w:sz w:val="20"/>
                <w:szCs w:val="20"/>
                <w:color w:val="auto"/>
              </w:rPr>
            </w:pPr>
            <w:r>
              <w:rPr>
                <w:rFonts w:ascii="Calibri" w:cs="Calibri" w:eastAsia="Calibri" w:hAnsi="Calibri"/>
                <w:sz w:val="10"/>
                <w:szCs w:val="10"/>
                <w:b w:val="1"/>
                <w:bCs w:val="1"/>
                <w:color w:val="auto"/>
                <w:w w:val="93"/>
              </w:rPr>
              <w:t>2,197,701</w:t>
            </w:r>
          </w:p>
        </w:tc>
        <w:tc>
          <w:tcPr>
            <w:tcW w:w="940" w:type="dxa"/>
            <w:vAlign w:val="bottom"/>
          </w:tcPr>
          <w:p>
            <w:pPr>
              <w:jc w:val="center"/>
              <w:spacing w:after="0"/>
              <w:rPr>
                <w:sz w:val="20"/>
                <w:szCs w:val="20"/>
                <w:color w:val="auto"/>
              </w:rPr>
            </w:pPr>
            <w:r>
              <w:rPr>
                <w:rFonts w:ascii="Calibri" w:cs="Calibri" w:eastAsia="Calibri" w:hAnsi="Calibri"/>
                <w:sz w:val="10"/>
                <w:szCs w:val="10"/>
                <w:b w:val="1"/>
                <w:bCs w:val="1"/>
                <w:color w:val="auto"/>
                <w:w w:val="93"/>
              </w:rPr>
              <w:t>2,745,142</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2,827,949</w:t>
            </w:r>
          </w:p>
        </w:tc>
        <w:tc>
          <w:tcPr>
            <w:tcW w:w="1180" w:type="dxa"/>
            <w:vAlign w:val="bottom"/>
          </w:tcPr>
          <w:p>
            <w:pPr>
              <w:jc w:val="center"/>
              <w:ind w:right="232"/>
              <w:spacing w:after="0"/>
              <w:rPr>
                <w:sz w:val="20"/>
                <w:szCs w:val="20"/>
                <w:color w:val="auto"/>
              </w:rPr>
            </w:pPr>
            <w:r>
              <w:rPr>
                <w:rFonts w:ascii="Calibri" w:cs="Calibri" w:eastAsia="Calibri" w:hAnsi="Calibri"/>
                <w:sz w:val="10"/>
                <w:szCs w:val="10"/>
                <w:b w:val="1"/>
                <w:bCs w:val="1"/>
                <w:color w:val="auto"/>
                <w:w w:val="89"/>
              </w:rPr>
              <w:t>3.0%</w:t>
            </w:r>
          </w:p>
        </w:tc>
        <w:tc>
          <w:tcPr>
            <w:tcW w:w="68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0"/>
                <w:szCs w:val="10"/>
                <w:b w:val="1"/>
                <w:bCs w:val="1"/>
                <w:color w:val="auto"/>
                <w:w w:val="95"/>
              </w:rPr>
              <w:t>28.7%</w:t>
            </w:r>
          </w:p>
        </w:tc>
        <w:tc>
          <w:tcPr>
            <w:tcW w:w="780" w:type="dxa"/>
            <w:vAlign w:val="bottom"/>
          </w:tcPr>
          <w:p>
            <w:pPr>
              <w:jc w:val="center"/>
              <w:ind w:left="132"/>
              <w:spacing w:after="0"/>
              <w:rPr>
                <w:sz w:val="20"/>
                <w:szCs w:val="20"/>
                <w:color w:val="auto"/>
              </w:rPr>
            </w:pPr>
            <w:r>
              <w:rPr>
                <w:rFonts w:ascii="Calibri" w:cs="Calibri" w:eastAsia="Calibri" w:hAnsi="Calibri"/>
                <w:sz w:val="10"/>
                <w:szCs w:val="10"/>
                <w:b w:val="1"/>
                <w:bCs w:val="1"/>
                <w:color w:val="auto"/>
                <w:w w:val="98"/>
              </w:rPr>
              <w:t>4,603,591</w:t>
            </w:r>
          </w:p>
        </w:tc>
        <w:tc>
          <w:tcPr>
            <w:tcW w:w="11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0"/>
                <w:szCs w:val="10"/>
                <w:b w:val="1"/>
                <w:bCs w:val="1"/>
                <w:color w:val="auto"/>
                <w:w w:val="93"/>
              </w:rPr>
              <w:t>5,573,091</w:t>
            </w:r>
          </w:p>
        </w:tc>
        <w:tc>
          <w:tcPr>
            <w:tcW w:w="980" w:type="dxa"/>
            <w:vAlign w:val="bottom"/>
            <w:tcBorders>
              <w:right w:val="single" w:sz="8" w:color="auto"/>
            </w:tcBorders>
          </w:tcPr>
          <w:p>
            <w:pPr>
              <w:jc w:val="center"/>
              <w:ind w:right="12"/>
              <w:spacing w:after="0"/>
              <w:rPr>
                <w:sz w:val="20"/>
                <w:szCs w:val="20"/>
                <w:color w:val="auto"/>
              </w:rPr>
            </w:pPr>
            <w:r>
              <w:rPr>
                <w:rFonts w:ascii="Calibri" w:cs="Calibri" w:eastAsia="Calibri" w:hAnsi="Calibri"/>
                <w:sz w:val="10"/>
                <w:szCs w:val="10"/>
                <w:b w:val="1"/>
                <w:bCs w:val="1"/>
                <w:color w:val="auto"/>
                <w:w w:val="95"/>
              </w:rPr>
              <w:t>21.1%</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Other income</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Fee income</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764,394</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0"/>
              </w:rPr>
              <w:t>860,089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7"/>
              </w:rPr>
              <w:t>881,866</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0"/>
              </w:rPr>
              <w:t>2.5%</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15.4%</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8"/>
              </w:rPr>
              <w:t>1,494,094</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3"/>
              </w:rPr>
              <w:t>1,741,955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16.6%</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Net gain on foreign exchange transactons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291,722</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0"/>
              </w:rPr>
              <w:t>305,799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7"/>
              </w:rPr>
              <w:t>349,277</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color w:val="auto"/>
                <w:w w:val="96"/>
              </w:rPr>
              <w:t>14.2%</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19.7%</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7"/>
              </w:rPr>
              <w:t>553,604</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7"/>
              </w:rPr>
              <w:t>655,076</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18.3%</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Net gain (loss) on securites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33,920</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11,361</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7"/>
              </w:rPr>
              <w:t>121,126</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2"/>
              </w:rPr>
              <w:t>n.a.</w:t>
            </w:r>
          </w:p>
        </w:tc>
        <w:tc>
          <w:tcPr>
            <w:tcW w:w="680" w:type="dxa"/>
            <w:vAlign w:val="bottom"/>
            <w:tcBorders>
              <w:right w:val="single" w:sz="8" w:color="auto"/>
            </w:tcBorders>
          </w:tcPr>
          <w:p>
            <w:pPr>
              <w:ind w:left="120"/>
              <w:spacing w:after="0" w:line="117" w:lineRule="exact"/>
              <w:rPr>
                <w:sz w:val="20"/>
                <w:szCs w:val="20"/>
                <w:color w:val="auto"/>
              </w:rPr>
            </w:pPr>
            <w:r>
              <w:rPr>
                <w:rFonts w:ascii="Calibri" w:cs="Calibri" w:eastAsia="Calibri" w:hAnsi="Calibri"/>
                <w:sz w:val="10"/>
                <w:szCs w:val="10"/>
                <w:color w:val="auto"/>
              </w:rPr>
              <w:t>n.a.</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rPr>
              <w:t>23,391</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7"/>
              </w:rPr>
              <w:t>132,487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n.a.</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Net gain on derivatves held for trading</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21,197</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14,635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rPr>
              <w:t>30,207</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rPr>
              <w:t>106.4%</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42.5%</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rPr>
              <w:t>39,153</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3"/>
              </w:rPr>
              <w:t>44,842</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14.5%</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Net loss (gain) from exchange diferences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1"/>
              </w:rPr>
              <w:t>723</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1"/>
              </w:rPr>
              <w:t>784</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6"/>
              </w:rPr>
              <w:t>7,541</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2"/>
              </w:rPr>
              <w:t>n.a.</w:t>
            </w:r>
          </w:p>
        </w:tc>
        <w:tc>
          <w:tcPr>
            <w:tcW w:w="680" w:type="dxa"/>
            <w:vAlign w:val="bottom"/>
            <w:tcBorders>
              <w:right w:val="single" w:sz="8" w:color="auto"/>
            </w:tcBorders>
          </w:tcPr>
          <w:p>
            <w:pPr>
              <w:ind w:left="120"/>
              <w:spacing w:after="0" w:line="117" w:lineRule="exact"/>
              <w:rPr>
                <w:sz w:val="20"/>
                <w:szCs w:val="20"/>
                <w:color w:val="auto"/>
              </w:rPr>
            </w:pPr>
            <w:r>
              <w:rPr>
                <w:rFonts w:ascii="Calibri" w:cs="Calibri" w:eastAsia="Calibri" w:hAnsi="Calibri"/>
                <w:sz w:val="10"/>
                <w:szCs w:val="10"/>
                <w:color w:val="auto"/>
              </w:rPr>
              <w:t>n.a.</w:t>
            </w:r>
          </w:p>
        </w:tc>
        <w:tc>
          <w:tcPr>
            <w:tcW w:w="780" w:type="dxa"/>
            <w:vAlign w:val="bottom"/>
          </w:tcPr>
          <w:p>
            <w:pPr>
              <w:jc w:val="center"/>
              <w:ind w:left="112"/>
              <w:spacing w:after="0" w:line="117" w:lineRule="exact"/>
              <w:rPr>
                <w:sz w:val="20"/>
                <w:szCs w:val="20"/>
                <w:color w:val="auto"/>
              </w:rPr>
            </w:pPr>
            <w:r>
              <w:rPr>
                <w:rFonts w:ascii="Calibri" w:cs="Calibri" w:eastAsia="Calibri" w:hAnsi="Calibri"/>
                <w:sz w:val="10"/>
                <w:szCs w:val="10"/>
                <w:color w:val="auto"/>
                <w:w w:val="96"/>
              </w:rPr>
              <w:t>7,249</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6"/>
              </w:rPr>
              <w:t>8,325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14.8%</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Others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74,705</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23,975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rPr>
              <w:t>30,424</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color w:val="auto"/>
                <w:w w:val="96"/>
              </w:rPr>
              <w:t>26.9%</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rPr>
              <w:t>-59.3%</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7"/>
              </w:rPr>
              <w:t>131,641</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3"/>
              </w:rPr>
              <w:t>54,399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-58.7%</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b w:val="1"/>
                <w:bCs w:val="1"/>
                <w:color w:val="auto"/>
              </w:rPr>
              <w:t>Total other income</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3"/>
              </w:rPr>
              <w:t>1,186,661</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3"/>
              </w:rPr>
              <w:t>1,216,643</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8"/>
              </w:rPr>
              <w:t>1,420,441</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b w:val="1"/>
                <w:bCs w:val="1"/>
                <w:color w:val="auto"/>
                <w:w w:val="95"/>
              </w:rPr>
              <w:t>16.8%</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5"/>
              </w:rPr>
              <w:t>19.7%</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b w:val="1"/>
                <w:bCs w:val="1"/>
                <w:color w:val="auto"/>
                <w:w w:val="98"/>
              </w:rPr>
              <w:t>2,249,132</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b w:val="1"/>
                <w:bCs w:val="1"/>
                <w:color w:val="auto"/>
                <w:w w:val="93"/>
              </w:rPr>
              <w:t>2,637,084</w:t>
            </w:r>
          </w:p>
        </w:tc>
        <w:tc>
          <w:tcPr>
            <w:tcW w:w="980" w:type="dxa"/>
            <w:vAlign w:val="bottom"/>
            <w:tcBorders>
              <w:right w:val="single" w:sz="8" w:color="auto"/>
            </w:tcBorders>
          </w:tcPr>
          <w:p>
            <w:pPr>
              <w:jc w:val="center"/>
              <w:ind w:right="12"/>
              <w:spacing w:after="0" w:line="117" w:lineRule="exact"/>
              <w:rPr>
                <w:sz w:val="20"/>
                <w:szCs w:val="20"/>
                <w:color w:val="auto"/>
              </w:rPr>
            </w:pPr>
            <w:r>
              <w:rPr>
                <w:rFonts w:ascii="Calibri" w:cs="Calibri" w:eastAsia="Calibri" w:hAnsi="Calibri"/>
                <w:sz w:val="10"/>
                <w:szCs w:val="10"/>
                <w:b w:val="1"/>
                <w:bCs w:val="1"/>
                <w:color w:val="auto"/>
                <w:w w:val="95"/>
              </w:rPr>
              <w:t>17.2%</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expenses</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Salaries and employee benefts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(821,206)</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(979,534)</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(951,711)</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5"/>
              </w:rPr>
              <w:t>-2.8%</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15.9%</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4"/>
              </w:rPr>
              <w:t>(1,616,775)</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4"/>
              </w:rPr>
              <w:t>(1,931,245)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19.5%</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Administratve expenses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(712,685)</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(628,741)</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(732,854)</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color w:val="auto"/>
                <w:w w:val="96"/>
              </w:rPr>
              <w:t>16.6%</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rPr>
              <w:t>2.8%</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4"/>
              </w:rPr>
              <w:t>(1,342,699)</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4"/>
              </w:rPr>
              <w:t>(1,361,595)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0"/>
              </w:rPr>
              <w:t>1.4%</w:t>
            </w:r>
          </w:p>
        </w:tc>
      </w:tr>
      <w:tr>
        <w:trPr>
          <w:trHeight w:val="123"/>
        </w:trPr>
        <w:tc>
          <w:tcPr>
            <w:tcW w:w="3640" w:type="dxa"/>
            <w:vAlign w:val="bottom"/>
            <w:tcBorders>
              <w:left w:val="single" w:sz="8" w:color="auto"/>
              <w:right w:val="single" w:sz="8" w:color="auto"/>
            </w:tcBorders>
          </w:tcPr>
          <w:p>
            <w:pPr>
              <w:ind w:left="180"/>
              <w:spacing w:after="0" w:line="123" w:lineRule="exact"/>
              <w:rPr>
                <w:sz w:val="20"/>
                <w:szCs w:val="20"/>
                <w:color w:val="auto"/>
              </w:rPr>
            </w:pPr>
            <w:r>
              <w:rPr>
                <w:rFonts w:ascii="Calibri" w:cs="Calibri" w:eastAsia="Calibri" w:hAnsi="Calibri"/>
                <w:sz w:val="8"/>
                <w:szCs w:val="8"/>
                <w:color w:val="auto"/>
              </w:rPr>
              <w:t xml:space="preserve">Depreciaton and amortzaton </w:t>
            </w:r>
            <w:r>
              <w:rPr>
                <w:rFonts w:ascii="Calibri" w:cs="Calibri" w:eastAsia="Calibri" w:hAnsi="Calibri"/>
                <w:sz w:val="13"/>
                <w:szCs w:val="13"/>
                <w:color w:val="auto"/>
                <w:vertAlign w:val="superscript"/>
              </w:rPr>
              <w:t>(2)</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(140,270)</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(168,136)</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(176,020)</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0"/>
              </w:rPr>
              <w:t>4.7%</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25.5%</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2"/>
              </w:rPr>
              <w:t>(282,540)</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7"/>
              </w:rPr>
              <w:t>(344,156)</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21.8%</w:t>
            </w:r>
          </w:p>
        </w:tc>
      </w:tr>
      <w:tr>
        <w:trPr>
          <w:trHeight w:val="112"/>
        </w:trPr>
        <w:tc>
          <w:tcPr>
            <w:tcW w:w="3640" w:type="dxa"/>
            <w:vAlign w:val="bottom"/>
            <w:tcBorders>
              <w:left w:val="single" w:sz="8" w:color="auto"/>
              <w:right w:val="single" w:sz="8" w:color="auto"/>
            </w:tcBorders>
          </w:tcPr>
          <w:p>
            <w:pPr>
              <w:ind w:left="180"/>
              <w:spacing w:after="0" w:line="112" w:lineRule="exact"/>
              <w:rPr>
                <w:sz w:val="20"/>
                <w:szCs w:val="20"/>
                <w:color w:val="auto"/>
              </w:rPr>
            </w:pPr>
            <w:r>
              <w:rPr>
                <w:rFonts w:ascii="Calibri" w:cs="Calibri" w:eastAsia="Calibri" w:hAnsi="Calibri"/>
                <w:sz w:val="10"/>
                <w:szCs w:val="10"/>
                <w:color w:val="auto"/>
              </w:rPr>
              <w:t>Other expenses</w:t>
            </w:r>
          </w:p>
        </w:tc>
        <w:tc>
          <w:tcPr>
            <w:tcW w:w="920" w:type="dxa"/>
            <w:vAlign w:val="bottom"/>
          </w:tcPr>
          <w:p>
            <w:pPr>
              <w:jc w:val="center"/>
              <w:spacing w:after="0" w:line="112" w:lineRule="exact"/>
              <w:rPr>
                <w:sz w:val="20"/>
                <w:szCs w:val="20"/>
                <w:color w:val="auto"/>
              </w:rPr>
            </w:pPr>
            <w:r>
              <w:rPr>
                <w:rFonts w:ascii="Calibri" w:cs="Calibri" w:eastAsia="Calibri" w:hAnsi="Calibri"/>
                <w:sz w:val="10"/>
                <w:szCs w:val="10"/>
                <w:color w:val="auto"/>
                <w:w w:val="94"/>
              </w:rPr>
              <w:t>(63,530)</w:t>
            </w:r>
          </w:p>
        </w:tc>
        <w:tc>
          <w:tcPr>
            <w:tcW w:w="940" w:type="dxa"/>
            <w:vAlign w:val="bottom"/>
          </w:tcPr>
          <w:p>
            <w:pPr>
              <w:jc w:val="center"/>
              <w:spacing w:after="0" w:line="112" w:lineRule="exact"/>
              <w:rPr>
                <w:sz w:val="20"/>
                <w:szCs w:val="20"/>
                <w:color w:val="auto"/>
              </w:rPr>
            </w:pPr>
            <w:r>
              <w:rPr>
                <w:rFonts w:ascii="Calibri" w:cs="Calibri" w:eastAsia="Calibri" w:hAnsi="Calibri"/>
                <w:sz w:val="10"/>
                <w:szCs w:val="10"/>
                <w:color w:val="auto"/>
                <w:w w:val="94"/>
              </w:rPr>
              <w:t>(53,526)</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color w:val="auto"/>
                <w:w w:val="94"/>
              </w:rPr>
              <w:t>(57,092)</w:t>
            </w:r>
          </w:p>
        </w:tc>
        <w:tc>
          <w:tcPr>
            <w:tcW w:w="1180" w:type="dxa"/>
            <w:vAlign w:val="bottom"/>
          </w:tcPr>
          <w:p>
            <w:pPr>
              <w:jc w:val="center"/>
              <w:ind w:right="232"/>
              <w:spacing w:after="0" w:line="112" w:lineRule="exact"/>
              <w:rPr>
                <w:sz w:val="20"/>
                <w:szCs w:val="20"/>
                <w:color w:val="auto"/>
              </w:rPr>
            </w:pPr>
            <w:r>
              <w:rPr>
                <w:rFonts w:ascii="Calibri" w:cs="Calibri" w:eastAsia="Calibri" w:hAnsi="Calibri"/>
                <w:sz w:val="10"/>
                <w:szCs w:val="10"/>
                <w:color w:val="auto"/>
                <w:w w:val="90"/>
              </w:rPr>
              <w:t>6.7%</w:t>
            </w:r>
          </w:p>
        </w:tc>
        <w:tc>
          <w:tcPr>
            <w:tcW w:w="680" w:type="dxa"/>
            <w:vAlign w:val="bottom"/>
            <w:tcBorders>
              <w:right w:val="single" w:sz="8" w:color="auto"/>
            </w:tcBorders>
          </w:tcPr>
          <w:p>
            <w:pPr>
              <w:jc w:val="center"/>
              <w:ind w:right="232"/>
              <w:spacing w:after="0" w:line="112" w:lineRule="exact"/>
              <w:rPr>
                <w:sz w:val="20"/>
                <w:szCs w:val="20"/>
                <w:color w:val="auto"/>
              </w:rPr>
            </w:pPr>
            <w:r>
              <w:rPr>
                <w:rFonts w:ascii="Calibri" w:cs="Calibri" w:eastAsia="Calibri" w:hAnsi="Calibri"/>
                <w:sz w:val="10"/>
                <w:szCs w:val="10"/>
                <w:color w:val="auto"/>
              </w:rPr>
              <w:t>-10.1%</w:t>
            </w:r>
          </w:p>
        </w:tc>
        <w:tc>
          <w:tcPr>
            <w:tcW w:w="780" w:type="dxa"/>
            <w:vAlign w:val="bottom"/>
          </w:tcPr>
          <w:p>
            <w:pPr>
              <w:jc w:val="center"/>
              <w:ind w:left="132"/>
              <w:spacing w:after="0" w:line="112" w:lineRule="exact"/>
              <w:rPr>
                <w:sz w:val="20"/>
                <w:szCs w:val="20"/>
                <w:color w:val="auto"/>
              </w:rPr>
            </w:pPr>
            <w:r>
              <w:rPr>
                <w:rFonts w:ascii="Calibri" w:cs="Calibri" w:eastAsia="Calibri" w:hAnsi="Calibri"/>
                <w:sz w:val="10"/>
                <w:szCs w:val="10"/>
                <w:color w:val="auto"/>
                <w:w w:val="92"/>
              </w:rPr>
              <w:t>(116,504)</w:t>
            </w:r>
          </w:p>
        </w:tc>
        <w:tc>
          <w:tcPr>
            <w:tcW w:w="1160" w:type="dxa"/>
            <w:vAlign w:val="bottom"/>
            <w:tcBorders>
              <w:right w:val="single" w:sz="8" w:color="auto"/>
            </w:tcBorders>
          </w:tcPr>
          <w:p>
            <w:pPr>
              <w:jc w:val="center"/>
              <w:ind w:left="92"/>
              <w:spacing w:after="0" w:line="112" w:lineRule="exact"/>
              <w:rPr>
                <w:sz w:val="20"/>
                <w:szCs w:val="20"/>
                <w:color w:val="auto"/>
              </w:rPr>
            </w:pPr>
            <w:r>
              <w:rPr>
                <w:rFonts w:ascii="Calibri" w:cs="Calibri" w:eastAsia="Calibri" w:hAnsi="Calibri"/>
                <w:sz w:val="10"/>
                <w:szCs w:val="10"/>
                <w:color w:val="auto"/>
                <w:w w:val="97"/>
              </w:rPr>
              <w:t>(110,618)</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color w:val="auto"/>
                <w:w w:val="95"/>
              </w:rPr>
              <w:t>-5.1%</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Total expenses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3"/>
              </w:rPr>
              <w:t>(1,737,691)</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7"/>
              </w:rPr>
              <w:t>(1,829,937)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3"/>
              </w:rPr>
              <w:t>(1,917,677)</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89"/>
              </w:rPr>
              <w:t>4.8%</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5"/>
              </w:rPr>
              <w:t>10.4%</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b w:val="1"/>
                <w:bCs w:val="1"/>
                <w:color w:val="auto"/>
                <w:w w:val="93"/>
              </w:rPr>
              <w:t>(3,358,518)</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b w:val="1"/>
                <w:bCs w:val="1"/>
                <w:color w:val="auto"/>
                <w:w w:val="93"/>
              </w:rPr>
              <w:t>(3,747,614)</w:t>
            </w:r>
          </w:p>
        </w:tc>
        <w:tc>
          <w:tcPr>
            <w:tcW w:w="980" w:type="dxa"/>
            <w:vAlign w:val="bottom"/>
            <w:tcBorders>
              <w:right w:val="single" w:sz="8" w:color="auto"/>
            </w:tcBorders>
          </w:tcPr>
          <w:p>
            <w:pPr>
              <w:jc w:val="center"/>
              <w:ind w:right="12"/>
              <w:spacing w:after="0" w:line="117" w:lineRule="exact"/>
              <w:rPr>
                <w:sz w:val="20"/>
                <w:szCs w:val="20"/>
                <w:color w:val="auto"/>
              </w:rPr>
            </w:pPr>
            <w:r>
              <w:rPr>
                <w:rFonts w:ascii="Calibri" w:cs="Calibri" w:eastAsia="Calibri" w:hAnsi="Calibri"/>
                <w:sz w:val="10"/>
                <w:szCs w:val="10"/>
                <w:b w:val="1"/>
                <w:bCs w:val="1"/>
                <w:color w:val="auto"/>
                <w:w w:val="95"/>
              </w:rPr>
              <w:t>11.6%</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Proft before income tax</w:t>
            </w:r>
          </w:p>
        </w:tc>
        <w:tc>
          <w:tcPr>
            <w:tcW w:w="920" w:type="dxa"/>
            <w:vAlign w:val="bottom"/>
          </w:tcPr>
          <w:p>
            <w:pPr>
              <w:jc w:val="center"/>
              <w:spacing w:after="0"/>
              <w:rPr>
                <w:sz w:val="20"/>
                <w:szCs w:val="20"/>
                <w:color w:val="auto"/>
              </w:rPr>
            </w:pPr>
            <w:r>
              <w:rPr>
                <w:rFonts w:ascii="Calibri" w:cs="Calibri" w:eastAsia="Calibri" w:hAnsi="Calibri"/>
                <w:sz w:val="10"/>
                <w:szCs w:val="10"/>
                <w:b w:val="1"/>
                <w:bCs w:val="1"/>
                <w:color w:val="auto"/>
                <w:w w:val="93"/>
              </w:rPr>
              <w:t>1,646,671</w:t>
            </w:r>
          </w:p>
        </w:tc>
        <w:tc>
          <w:tcPr>
            <w:tcW w:w="940" w:type="dxa"/>
            <w:vAlign w:val="bottom"/>
          </w:tcPr>
          <w:p>
            <w:pPr>
              <w:jc w:val="center"/>
              <w:spacing w:after="0"/>
              <w:rPr>
                <w:sz w:val="20"/>
                <w:szCs w:val="20"/>
                <w:color w:val="auto"/>
              </w:rPr>
            </w:pPr>
            <w:r>
              <w:rPr>
                <w:rFonts w:ascii="Calibri" w:cs="Calibri" w:eastAsia="Calibri" w:hAnsi="Calibri"/>
                <w:sz w:val="10"/>
                <w:szCs w:val="10"/>
                <w:b w:val="1"/>
                <w:bCs w:val="1"/>
                <w:color w:val="auto"/>
                <w:w w:val="93"/>
              </w:rPr>
              <w:t>2,131,848</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2,330,713</w:t>
            </w:r>
          </w:p>
        </w:tc>
        <w:tc>
          <w:tcPr>
            <w:tcW w:w="1180" w:type="dxa"/>
            <w:vAlign w:val="bottom"/>
          </w:tcPr>
          <w:p>
            <w:pPr>
              <w:jc w:val="center"/>
              <w:ind w:right="232"/>
              <w:spacing w:after="0"/>
              <w:rPr>
                <w:sz w:val="20"/>
                <w:szCs w:val="20"/>
                <w:color w:val="auto"/>
              </w:rPr>
            </w:pPr>
            <w:r>
              <w:rPr>
                <w:rFonts w:ascii="Calibri" w:cs="Calibri" w:eastAsia="Calibri" w:hAnsi="Calibri"/>
                <w:sz w:val="10"/>
                <w:szCs w:val="10"/>
                <w:b w:val="1"/>
                <w:bCs w:val="1"/>
                <w:color w:val="auto"/>
                <w:w w:val="89"/>
              </w:rPr>
              <w:t>9.3%</w:t>
            </w:r>
          </w:p>
        </w:tc>
        <w:tc>
          <w:tcPr>
            <w:tcW w:w="68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0"/>
                <w:szCs w:val="10"/>
                <w:b w:val="1"/>
                <w:bCs w:val="1"/>
                <w:color w:val="auto"/>
                <w:w w:val="95"/>
              </w:rPr>
              <w:t>41.5%</w:t>
            </w:r>
          </w:p>
        </w:tc>
        <w:tc>
          <w:tcPr>
            <w:tcW w:w="780" w:type="dxa"/>
            <w:vAlign w:val="bottom"/>
          </w:tcPr>
          <w:p>
            <w:pPr>
              <w:jc w:val="center"/>
              <w:ind w:left="132"/>
              <w:spacing w:after="0"/>
              <w:rPr>
                <w:sz w:val="20"/>
                <w:szCs w:val="20"/>
                <w:color w:val="auto"/>
              </w:rPr>
            </w:pPr>
            <w:r>
              <w:rPr>
                <w:rFonts w:ascii="Calibri" w:cs="Calibri" w:eastAsia="Calibri" w:hAnsi="Calibri"/>
                <w:sz w:val="10"/>
                <w:szCs w:val="10"/>
                <w:b w:val="1"/>
                <w:bCs w:val="1"/>
                <w:color w:val="auto"/>
                <w:w w:val="98"/>
              </w:rPr>
              <w:t>3,494,205</w:t>
            </w:r>
          </w:p>
        </w:tc>
        <w:tc>
          <w:tcPr>
            <w:tcW w:w="11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0"/>
                <w:szCs w:val="10"/>
                <w:b w:val="1"/>
                <w:bCs w:val="1"/>
                <w:color w:val="auto"/>
                <w:w w:val="93"/>
              </w:rPr>
              <w:t>4,462,561</w:t>
            </w:r>
          </w:p>
        </w:tc>
        <w:tc>
          <w:tcPr>
            <w:tcW w:w="980" w:type="dxa"/>
            <w:vAlign w:val="bottom"/>
            <w:tcBorders>
              <w:right w:val="single" w:sz="8" w:color="auto"/>
            </w:tcBorders>
          </w:tcPr>
          <w:p>
            <w:pPr>
              <w:jc w:val="center"/>
              <w:ind w:right="12"/>
              <w:spacing w:after="0"/>
              <w:rPr>
                <w:sz w:val="20"/>
                <w:szCs w:val="20"/>
                <w:color w:val="auto"/>
              </w:rPr>
            </w:pPr>
            <w:r>
              <w:rPr>
                <w:rFonts w:ascii="Calibri" w:cs="Calibri" w:eastAsia="Calibri" w:hAnsi="Calibri"/>
                <w:sz w:val="10"/>
                <w:szCs w:val="10"/>
                <w:b w:val="1"/>
                <w:bCs w:val="1"/>
                <w:color w:val="auto"/>
                <w:w w:val="95"/>
              </w:rPr>
              <w:t>27.7%</w:t>
            </w:r>
          </w:p>
        </w:tc>
      </w:tr>
      <w:tr>
        <w:trPr>
          <w:trHeight w:val="234"/>
        </w:trPr>
        <w:tc>
          <w:tcPr>
            <w:tcW w:w="364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Income tax</w:t>
            </w:r>
          </w:p>
        </w:tc>
        <w:tc>
          <w:tcPr>
            <w:tcW w:w="920" w:type="dxa"/>
            <w:vAlign w:val="bottom"/>
          </w:tcPr>
          <w:p>
            <w:pPr>
              <w:jc w:val="center"/>
              <w:spacing w:after="0"/>
              <w:rPr>
                <w:sz w:val="20"/>
                <w:szCs w:val="20"/>
                <w:color w:val="auto"/>
              </w:rPr>
            </w:pPr>
            <w:r>
              <w:rPr>
                <w:rFonts w:ascii="Calibri" w:cs="Calibri" w:eastAsia="Calibri" w:hAnsi="Calibri"/>
                <w:sz w:val="10"/>
                <w:szCs w:val="10"/>
                <w:color w:val="auto"/>
                <w:w w:val="97"/>
              </w:rPr>
              <w:t>(399,971)</w:t>
            </w:r>
          </w:p>
        </w:tc>
        <w:tc>
          <w:tcPr>
            <w:tcW w:w="940" w:type="dxa"/>
            <w:vAlign w:val="bottom"/>
          </w:tcPr>
          <w:p>
            <w:pPr>
              <w:jc w:val="center"/>
              <w:spacing w:after="0"/>
              <w:rPr>
                <w:sz w:val="20"/>
                <w:szCs w:val="20"/>
                <w:color w:val="auto"/>
              </w:rPr>
            </w:pPr>
            <w:r>
              <w:rPr>
                <w:rFonts w:ascii="Calibri" w:cs="Calibri" w:eastAsia="Calibri" w:hAnsi="Calibri"/>
                <w:sz w:val="10"/>
                <w:szCs w:val="10"/>
                <w:color w:val="auto"/>
                <w:w w:val="97"/>
              </w:rPr>
              <w:t>(549,462)</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2"/>
              </w:rPr>
              <w:t>(576,345)</w:t>
            </w:r>
          </w:p>
        </w:tc>
        <w:tc>
          <w:tcPr>
            <w:tcW w:w="1180" w:type="dxa"/>
            <w:vAlign w:val="bottom"/>
          </w:tcPr>
          <w:p>
            <w:pPr>
              <w:jc w:val="center"/>
              <w:ind w:right="232"/>
              <w:spacing w:after="0"/>
              <w:rPr>
                <w:sz w:val="20"/>
                <w:szCs w:val="20"/>
                <w:color w:val="auto"/>
              </w:rPr>
            </w:pPr>
            <w:r>
              <w:rPr>
                <w:rFonts w:ascii="Calibri" w:cs="Calibri" w:eastAsia="Calibri" w:hAnsi="Calibri"/>
                <w:sz w:val="10"/>
                <w:szCs w:val="10"/>
                <w:color w:val="auto"/>
                <w:w w:val="90"/>
              </w:rPr>
              <w:t>4.9%</w:t>
            </w:r>
          </w:p>
        </w:tc>
        <w:tc>
          <w:tcPr>
            <w:tcW w:w="68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0"/>
                <w:szCs w:val="10"/>
                <w:color w:val="auto"/>
                <w:w w:val="96"/>
              </w:rPr>
              <w:t>44.1%</w:t>
            </w:r>
          </w:p>
        </w:tc>
        <w:tc>
          <w:tcPr>
            <w:tcW w:w="780" w:type="dxa"/>
            <w:vAlign w:val="bottom"/>
          </w:tcPr>
          <w:p>
            <w:pPr>
              <w:jc w:val="center"/>
              <w:ind w:left="132"/>
              <w:spacing w:after="0"/>
              <w:rPr>
                <w:sz w:val="20"/>
                <w:szCs w:val="20"/>
                <w:color w:val="auto"/>
              </w:rPr>
            </w:pPr>
            <w:r>
              <w:rPr>
                <w:rFonts w:ascii="Calibri" w:cs="Calibri" w:eastAsia="Calibri" w:hAnsi="Calibri"/>
                <w:sz w:val="10"/>
                <w:szCs w:val="10"/>
                <w:color w:val="auto"/>
                <w:w w:val="92"/>
              </w:rPr>
              <w:t>(862,549)</w:t>
            </w:r>
          </w:p>
        </w:tc>
        <w:tc>
          <w:tcPr>
            <w:tcW w:w="1160" w:type="dxa"/>
            <w:vAlign w:val="bottom"/>
            <w:tcBorders>
              <w:right w:val="single" w:sz="8" w:color="auto"/>
            </w:tcBorders>
          </w:tcPr>
          <w:p>
            <w:pPr>
              <w:jc w:val="center"/>
              <w:ind w:left="112"/>
              <w:spacing w:after="0"/>
              <w:rPr>
                <w:sz w:val="20"/>
                <w:szCs w:val="20"/>
                <w:color w:val="auto"/>
              </w:rPr>
            </w:pPr>
            <w:r>
              <w:rPr>
                <w:rFonts w:ascii="Calibri" w:cs="Calibri" w:eastAsia="Calibri" w:hAnsi="Calibri"/>
                <w:sz w:val="10"/>
                <w:szCs w:val="10"/>
                <w:color w:val="auto"/>
                <w:w w:val="94"/>
              </w:rPr>
              <w:t>(1,125,807)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88"/>
              </w:rPr>
              <w:t>30.5%</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Net proft</w:t>
            </w:r>
          </w:p>
        </w:tc>
        <w:tc>
          <w:tcPr>
            <w:tcW w:w="920" w:type="dxa"/>
            <w:vAlign w:val="bottom"/>
          </w:tcPr>
          <w:p>
            <w:pPr>
              <w:jc w:val="center"/>
              <w:spacing w:after="0"/>
              <w:rPr>
                <w:sz w:val="20"/>
                <w:szCs w:val="20"/>
                <w:color w:val="auto"/>
              </w:rPr>
            </w:pPr>
            <w:r>
              <w:rPr>
                <w:rFonts w:ascii="Calibri" w:cs="Calibri" w:eastAsia="Calibri" w:hAnsi="Calibri"/>
                <w:sz w:val="10"/>
                <w:szCs w:val="10"/>
                <w:color w:val="auto"/>
                <w:w w:val="93"/>
              </w:rPr>
              <w:t>1,246,700</w:t>
            </w:r>
          </w:p>
        </w:tc>
        <w:tc>
          <w:tcPr>
            <w:tcW w:w="940" w:type="dxa"/>
            <w:vAlign w:val="bottom"/>
          </w:tcPr>
          <w:p>
            <w:pPr>
              <w:jc w:val="center"/>
              <w:spacing w:after="0"/>
              <w:rPr>
                <w:sz w:val="20"/>
                <w:szCs w:val="20"/>
                <w:color w:val="auto"/>
              </w:rPr>
            </w:pPr>
            <w:r>
              <w:rPr>
                <w:rFonts w:ascii="Calibri" w:cs="Calibri" w:eastAsia="Calibri" w:hAnsi="Calibri"/>
                <w:sz w:val="10"/>
                <w:szCs w:val="10"/>
                <w:color w:val="auto"/>
                <w:w w:val="93"/>
              </w:rPr>
              <w:t>1,582,386</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8"/>
              </w:rPr>
              <w:t>1,754,368</w:t>
            </w:r>
          </w:p>
        </w:tc>
        <w:tc>
          <w:tcPr>
            <w:tcW w:w="1180" w:type="dxa"/>
            <w:vAlign w:val="bottom"/>
          </w:tcPr>
          <w:p>
            <w:pPr>
              <w:jc w:val="center"/>
              <w:ind w:right="212"/>
              <w:spacing w:after="0"/>
              <w:rPr>
                <w:sz w:val="20"/>
                <w:szCs w:val="20"/>
                <w:color w:val="auto"/>
              </w:rPr>
            </w:pPr>
            <w:r>
              <w:rPr>
                <w:rFonts w:ascii="Calibri" w:cs="Calibri" w:eastAsia="Calibri" w:hAnsi="Calibri"/>
                <w:sz w:val="10"/>
                <w:szCs w:val="10"/>
                <w:color w:val="auto"/>
                <w:w w:val="96"/>
              </w:rPr>
              <w:t>10.9%</w:t>
            </w:r>
          </w:p>
        </w:tc>
        <w:tc>
          <w:tcPr>
            <w:tcW w:w="68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0"/>
                <w:szCs w:val="10"/>
                <w:color w:val="auto"/>
                <w:w w:val="96"/>
              </w:rPr>
              <w:t>40.7%</w:t>
            </w:r>
          </w:p>
        </w:tc>
        <w:tc>
          <w:tcPr>
            <w:tcW w:w="780" w:type="dxa"/>
            <w:vAlign w:val="bottom"/>
          </w:tcPr>
          <w:p>
            <w:pPr>
              <w:jc w:val="center"/>
              <w:ind w:left="132"/>
              <w:spacing w:after="0"/>
              <w:rPr>
                <w:sz w:val="20"/>
                <w:szCs w:val="20"/>
                <w:color w:val="auto"/>
              </w:rPr>
            </w:pPr>
            <w:r>
              <w:rPr>
                <w:rFonts w:ascii="Calibri" w:cs="Calibri" w:eastAsia="Calibri" w:hAnsi="Calibri"/>
                <w:sz w:val="10"/>
                <w:szCs w:val="10"/>
                <w:color w:val="auto"/>
                <w:w w:val="98"/>
              </w:rPr>
              <w:t>2,631,656</w:t>
            </w:r>
          </w:p>
        </w:tc>
        <w:tc>
          <w:tcPr>
            <w:tcW w:w="11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0"/>
                <w:szCs w:val="10"/>
                <w:color w:val="auto"/>
                <w:w w:val="93"/>
              </w:rPr>
              <w:t>3,336,754</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88"/>
              </w:rPr>
              <w:t>26.8%</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Non-controlling interest</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6"/>
              </w:rPr>
              <w:t>(1,749)</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89"/>
              </w:rPr>
              <w:t>(4,721)</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6"/>
              </w:rPr>
              <w:t>(5,135)</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0"/>
              </w:rPr>
              <w:t>8.8%</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3"/>
              </w:rPr>
              <w:t>193.6%</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6"/>
              </w:rPr>
              <w:t>(6,379)</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6"/>
              </w:rPr>
              <w:t>(9,856)</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54.5%</w:t>
            </w:r>
          </w:p>
        </w:tc>
      </w:tr>
      <w:tr>
        <w:trPr>
          <w:trHeight w:val="127"/>
        </w:trPr>
        <w:tc>
          <w:tcPr>
            <w:tcW w:w="3640" w:type="dxa"/>
            <w:vAlign w:val="bottom"/>
            <w:tcBorders>
              <w:left w:val="single" w:sz="8" w:color="auto"/>
              <w:bottom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b w:val="1"/>
                <w:bCs w:val="1"/>
                <w:color w:val="auto"/>
              </w:rPr>
              <w:t>Net proft atributable to BCP Consolidated</w:t>
            </w:r>
          </w:p>
        </w:tc>
        <w:tc>
          <w:tcPr>
            <w:tcW w:w="920" w:type="dxa"/>
            <w:vAlign w:val="bottom"/>
            <w:tcBorders>
              <w:bottom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3"/>
              </w:rPr>
              <w:t>1,244,951</w:t>
            </w:r>
          </w:p>
        </w:tc>
        <w:tc>
          <w:tcPr>
            <w:tcW w:w="940" w:type="dxa"/>
            <w:vAlign w:val="bottom"/>
            <w:tcBorders>
              <w:bottom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3"/>
              </w:rPr>
              <w:t>1,577,665</w:t>
            </w:r>
          </w:p>
        </w:tc>
        <w:tc>
          <w:tcPr>
            <w:tcW w:w="980" w:type="dxa"/>
            <w:vAlign w:val="bottom"/>
            <w:tcBorders>
              <w:bottom w:val="single" w:sz="8" w:color="auto"/>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8"/>
              </w:rPr>
              <w:t>1,749,233</w:t>
            </w:r>
          </w:p>
        </w:tc>
        <w:tc>
          <w:tcPr>
            <w:tcW w:w="1180" w:type="dxa"/>
            <w:vAlign w:val="bottom"/>
            <w:tcBorders>
              <w:bottom w:val="single" w:sz="8" w:color="auto"/>
            </w:tcBorders>
          </w:tcPr>
          <w:p>
            <w:pPr>
              <w:jc w:val="center"/>
              <w:ind w:right="212"/>
              <w:spacing w:after="0" w:line="117" w:lineRule="exact"/>
              <w:rPr>
                <w:sz w:val="20"/>
                <w:szCs w:val="20"/>
                <w:color w:val="auto"/>
              </w:rPr>
            </w:pPr>
            <w:r>
              <w:rPr>
                <w:rFonts w:ascii="Calibri" w:cs="Calibri" w:eastAsia="Calibri" w:hAnsi="Calibri"/>
                <w:sz w:val="10"/>
                <w:szCs w:val="10"/>
                <w:b w:val="1"/>
                <w:bCs w:val="1"/>
                <w:color w:val="auto"/>
                <w:w w:val="95"/>
              </w:rPr>
              <w:t>10.9%</w:t>
            </w:r>
          </w:p>
        </w:tc>
        <w:tc>
          <w:tcPr>
            <w:tcW w:w="680" w:type="dxa"/>
            <w:vAlign w:val="bottom"/>
            <w:tcBorders>
              <w:bottom w:val="single" w:sz="8" w:color="auto"/>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5"/>
              </w:rPr>
              <w:t>40.5%</w:t>
            </w:r>
          </w:p>
        </w:tc>
        <w:tc>
          <w:tcPr>
            <w:tcW w:w="780" w:type="dxa"/>
            <w:vAlign w:val="bottom"/>
            <w:tcBorders>
              <w:bottom w:val="single" w:sz="8" w:color="auto"/>
            </w:tcBorders>
          </w:tcPr>
          <w:p>
            <w:pPr>
              <w:jc w:val="center"/>
              <w:ind w:left="132"/>
              <w:spacing w:after="0" w:line="117" w:lineRule="exact"/>
              <w:rPr>
                <w:sz w:val="20"/>
                <w:szCs w:val="20"/>
                <w:color w:val="auto"/>
              </w:rPr>
            </w:pPr>
            <w:r>
              <w:rPr>
                <w:rFonts w:ascii="Calibri" w:cs="Calibri" w:eastAsia="Calibri" w:hAnsi="Calibri"/>
                <w:sz w:val="10"/>
                <w:szCs w:val="10"/>
                <w:b w:val="1"/>
                <w:bCs w:val="1"/>
                <w:color w:val="auto"/>
                <w:w w:val="98"/>
              </w:rPr>
              <w:t>2,625,277</w:t>
            </w:r>
          </w:p>
        </w:tc>
        <w:tc>
          <w:tcPr>
            <w:tcW w:w="1160" w:type="dxa"/>
            <w:vAlign w:val="bottom"/>
            <w:tcBorders>
              <w:bottom w:val="single" w:sz="8" w:color="auto"/>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b w:val="1"/>
                <w:bCs w:val="1"/>
                <w:color w:val="auto"/>
                <w:w w:val="93"/>
              </w:rPr>
              <w:t>3,326,898</w:t>
            </w:r>
          </w:p>
        </w:tc>
        <w:tc>
          <w:tcPr>
            <w:tcW w:w="980" w:type="dxa"/>
            <w:vAlign w:val="bottom"/>
            <w:tcBorders>
              <w:bottom w:val="single" w:sz="8" w:color="auto"/>
              <w:right w:val="single" w:sz="8" w:color="auto"/>
            </w:tcBorders>
          </w:tcPr>
          <w:p>
            <w:pPr>
              <w:jc w:val="center"/>
              <w:ind w:right="12"/>
              <w:spacing w:after="0" w:line="117" w:lineRule="exact"/>
              <w:rPr>
                <w:sz w:val="20"/>
                <w:szCs w:val="20"/>
                <w:color w:val="auto"/>
              </w:rPr>
            </w:pPr>
            <w:r>
              <w:rPr>
                <w:rFonts w:ascii="Calibri" w:cs="Calibri" w:eastAsia="Calibri" w:hAnsi="Calibri"/>
                <w:sz w:val="10"/>
                <w:szCs w:val="10"/>
                <w:b w:val="1"/>
                <w:bCs w:val="1"/>
                <w:color w:val="auto"/>
                <w:w w:val="95"/>
              </w:rPr>
              <w:t>26.7%</w:t>
            </w:r>
          </w:p>
        </w:tc>
      </w:tr>
    </w:tbl>
    <w:p>
      <w:pPr>
        <w:spacing w:after="0" w:line="180" w:lineRule="exact"/>
        <w:rPr>
          <w:sz w:val="20"/>
          <w:szCs w:val="20"/>
          <w:color w:val="auto"/>
        </w:rPr>
      </w:pPr>
    </w:p>
    <w:p>
      <w:pPr>
        <w:ind w:left="160" w:hanging="156"/>
        <w:spacing w:after="0"/>
        <w:tabs>
          <w:tab w:leader="none" w:pos="160" w:val="left"/>
        </w:tabs>
        <w:numPr>
          <w:ilvl w:val="0"/>
          <w:numId w:val="60"/>
        </w:numPr>
        <w:rPr>
          <w:rFonts w:ascii="Calibri" w:cs="Calibri" w:eastAsia="Calibri" w:hAnsi="Calibri"/>
          <w:sz w:val="11"/>
          <w:szCs w:val="11"/>
          <w:color w:val="auto"/>
        </w:rPr>
      </w:pPr>
      <w:r>
        <w:rPr>
          <w:rFonts w:ascii="Calibri" w:cs="Calibri" w:eastAsia="Calibri" w:hAnsi="Calibri"/>
          <w:sz w:val="11"/>
          <w:szCs w:val="11"/>
          <w:color w:val="auto"/>
        </w:rPr>
        <w:t>Financing expenses related to lease agreements are included according to the applicaton of IFRS 16.</w:t>
      </w:r>
    </w:p>
    <w:p>
      <w:pPr>
        <w:ind w:left="160" w:hanging="156"/>
        <w:spacing w:after="0" w:line="232" w:lineRule="auto"/>
        <w:tabs>
          <w:tab w:leader="none" w:pos="160" w:val="left"/>
        </w:tabs>
        <w:numPr>
          <w:ilvl w:val="0"/>
          <w:numId w:val="60"/>
        </w:numPr>
        <w:rPr>
          <w:rFonts w:ascii="Calibri" w:cs="Calibri" w:eastAsia="Calibri" w:hAnsi="Calibri"/>
          <w:sz w:val="11"/>
          <w:szCs w:val="11"/>
          <w:color w:val="auto"/>
        </w:rPr>
      </w:pPr>
      <w:r>
        <w:rPr>
          <w:rFonts w:ascii="Calibri" w:cs="Calibri" w:eastAsia="Calibri" w:hAnsi="Calibri"/>
          <w:sz w:val="11"/>
          <w:szCs w:val="11"/>
          <w:color w:val="auto"/>
        </w:rPr>
        <w:t>The efect of the applicaton of IFRS 16 is included, which corresponds to a greater depreciaton for the asset for right-of-use".</w:t>
      </w:r>
    </w:p>
    <w:p>
      <w:pPr>
        <w:spacing w:after="0" w:line="114" w:lineRule="exact"/>
        <w:rPr>
          <w:sz w:val="20"/>
          <w:szCs w:val="20"/>
          <w:color w:val="auto"/>
        </w:rPr>
      </w:pPr>
    </w:p>
    <w:p>
      <w:pPr>
        <w:jc w:val="center"/>
        <w:ind w:right="120"/>
        <w:spacing w:after="0"/>
        <w:rPr>
          <w:sz w:val="20"/>
          <w:szCs w:val="20"/>
          <w:color w:val="auto"/>
        </w:rPr>
      </w:pPr>
      <w:r>
        <w:rPr>
          <w:rFonts w:ascii="Calibri" w:cs="Calibri" w:eastAsia="Calibri" w:hAnsi="Calibri"/>
          <w:sz w:val="16"/>
          <w:szCs w:val="16"/>
          <w:b w:val="1"/>
          <w:bCs w:val="1"/>
          <w:color w:val="auto"/>
        </w:rPr>
        <w:t>Selected Financial Indicators</w:t>
      </w:r>
    </w:p>
    <w:p>
      <w:pPr>
        <w:spacing w:after="0" w:line="202" w:lineRule="exact"/>
        <w:rPr>
          <w:sz w:val="20"/>
          <w:szCs w:val="20"/>
          <w:color w:val="auto"/>
        </w:rPr>
      </w:pPr>
    </w:p>
    <w:tbl>
      <w:tblPr>
        <w:tblLayout w:type="fixed"/>
        <w:tblInd w:w="590" w:type="dxa"/>
        <w:tblCellMar>
          <w:top w:w="0" w:type="dxa"/>
          <w:left w:w="0" w:type="dxa"/>
          <w:bottom w:w="0" w:type="dxa"/>
          <w:right w:w="0" w:type="dxa"/>
        </w:tblCellMar>
      </w:tblPr>
      <w:tr>
        <w:trPr>
          <w:trHeight w:val="169"/>
        </w:trPr>
        <w:tc>
          <w:tcPr>
            <w:tcW w:w="5100" w:type="dxa"/>
            <w:vAlign w:val="bottom"/>
            <w:tcBorders>
              <w:top w:val="single" w:sz="8" w:color="auto"/>
              <w:left w:val="single" w:sz="8" w:color="auto"/>
              <w:right w:val="single" w:sz="8" w:color="auto"/>
            </w:tcBorders>
            <w:shd w:val="clear" w:color="auto" w:fill="2AD2C9"/>
          </w:tcPr>
          <w:p>
            <w:pPr>
              <w:spacing w:after="0"/>
              <w:rPr>
                <w:sz w:val="14"/>
                <w:szCs w:val="14"/>
                <w:color w:val="auto"/>
              </w:rPr>
            </w:pPr>
          </w:p>
        </w:tc>
        <w:tc>
          <w:tcPr>
            <w:tcW w:w="960" w:type="dxa"/>
            <w:vAlign w:val="bottom"/>
            <w:tcBorders>
              <w:top w:val="single" w:sz="8" w:color="auto"/>
            </w:tcBorders>
            <w:shd w:val="clear" w:color="auto" w:fill="2AD2C9"/>
          </w:tcPr>
          <w:p>
            <w:pPr>
              <w:spacing w:after="0"/>
              <w:rPr>
                <w:sz w:val="14"/>
                <w:szCs w:val="14"/>
                <w:color w:val="auto"/>
              </w:rPr>
            </w:pPr>
          </w:p>
        </w:tc>
        <w:tc>
          <w:tcPr>
            <w:tcW w:w="1000" w:type="dxa"/>
            <w:vAlign w:val="bottom"/>
            <w:tcBorders>
              <w:top w:val="single" w:sz="8" w:color="auto"/>
            </w:tcBorders>
            <w:shd w:val="clear" w:color="auto" w:fill="2AD2C9"/>
          </w:tcPr>
          <w:p>
            <w:pPr>
              <w:ind w:left="280"/>
              <w:spacing w:after="0"/>
              <w:rPr>
                <w:sz w:val="20"/>
                <w:szCs w:val="20"/>
                <w:color w:val="auto"/>
              </w:rPr>
            </w:pPr>
            <w:r>
              <w:rPr>
                <w:rFonts w:ascii="Calibri" w:cs="Calibri" w:eastAsia="Calibri" w:hAnsi="Calibri"/>
                <w:sz w:val="13"/>
                <w:szCs w:val="13"/>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4"/>
                <w:szCs w:val="14"/>
                <w:color w:val="auto"/>
              </w:rPr>
            </w:pPr>
          </w:p>
        </w:tc>
        <w:tc>
          <w:tcPr>
            <w:tcW w:w="720" w:type="dxa"/>
            <w:vAlign w:val="bottom"/>
            <w:tcBorders>
              <w:top w:val="single" w:sz="8" w:color="auto"/>
            </w:tcBorders>
            <w:shd w:val="clear" w:color="auto" w:fill="2AD2C9"/>
          </w:tcPr>
          <w:p>
            <w:pPr>
              <w:spacing w:after="0"/>
              <w:rPr>
                <w:sz w:val="14"/>
                <w:szCs w:val="14"/>
                <w:color w:val="auto"/>
              </w:rPr>
            </w:pPr>
          </w:p>
        </w:tc>
        <w:tc>
          <w:tcPr>
            <w:tcW w:w="1300" w:type="dxa"/>
            <w:vAlign w:val="bottom"/>
            <w:tcBorders>
              <w:top w:val="single" w:sz="8" w:color="auto"/>
              <w:right w:val="single" w:sz="8" w:color="auto"/>
            </w:tcBorders>
            <w:shd w:val="clear" w:color="auto" w:fill="2AD2C9"/>
          </w:tcPr>
          <w:p>
            <w:pPr>
              <w:ind w:left="40"/>
              <w:spacing w:after="0"/>
              <w:rPr>
                <w:sz w:val="20"/>
                <w:szCs w:val="20"/>
                <w:color w:val="auto"/>
              </w:rPr>
            </w:pPr>
            <w:r>
              <w:rPr>
                <w:rFonts w:ascii="Calibri" w:cs="Calibri" w:eastAsia="Calibri" w:hAnsi="Calibri"/>
                <w:sz w:val="13"/>
                <w:szCs w:val="13"/>
                <w:b w:val="1"/>
                <w:bCs w:val="1"/>
                <w:color w:val="FFFFFF"/>
              </w:rPr>
              <w:t>Change</w:t>
            </w:r>
          </w:p>
        </w:tc>
      </w:tr>
      <w:tr>
        <w:trPr>
          <w:trHeight w:val="188"/>
        </w:trPr>
        <w:tc>
          <w:tcPr>
            <w:tcW w:w="5100" w:type="dxa"/>
            <w:vAlign w:val="bottom"/>
            <w:tcBorders>
              <w:left w:val="single" w:sz="8" w:color="auto"/>
              <w:bottom w:val="single" w:sz="8" w:color="2AD2C9"/>
              <w:right w:val="single" w:sz="8" w:color="auto"/>
            </w:tcBorders>
            <w:shd w:val="clear" w:color="auto" w:fill="2AD2C9"/>
          </w:tcPr>
          <w:p>
            <w:pPr>
              <w:spacing w:after="0"/>
              <w:rPr>
                <w:sz w:val="15"/>
                <w:szCs w:val="15"/>
                <w:color w:val="auto"/>
              </w:rPr>
            </w:pPr>
          </w:p>
        </w:tc>
        <w:tc>
          <w:tcPr>
            <w:tcW w:w="96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3"/>
                <w:szCs w:val="13"/>
                <w:b w:val="1"/>
                <w:bCs w:val="1"/>
                <w:color w:val="FFFFFF"/>
              </w:rPr>
              <w:t>2Q24</w:t>
            </w:r>
          </w:p>
        </w:tc>
        <w:tc>
          <w:tcPr>
            <w:tcW w:w="100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3"/>
                <w:szCs w:val="13"/>
                <w:b w:val="1"/>
                <w:bCs w:val="1"/>
                <w:color w:val="FFFFFF"/>
                <w:w w:val="97"/>
              </w:rPr>
              <w:t>1Q25</w:t>
            </w:r>
          </w:p>
        </w:tc>
        <w:tc>
          <w:tcPr>
            <w:tcW w:w="104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3"/>
                <w:szCs w:val="13"/>
                <w:b w:val="1"/>
                <w:bCs w:val="1"/>
                <w:color w:val="FFFFFF"/>
              </w:rPr>
              <w:t>2Q25</w:t>
            </w:r>
          </w:p>
        </w:tc>
        <w:tc>
          <w:tcPr>
            <w:tcW w:w="720" w:type="dxa"/>
            <w:vAlign w:val="bottom"/>
            <w:tcBorders>
              <w:bottom w:val="single" w:sz="8" w:color="2AD2C9"/>
            </w:tcBorders>
            <w:shd w:val="clear" w:color="auto" w:fill="2AD2C9"/>
          </w:tcPr>
          <w:p>
            <w:pPr>
              <w:jc w:val="center"/>
              <w:ind w:left="175"/>
              <w:spacing w:after="0"/>
              <w:rPr>
                <w:sz w:val="20"/>
                <w:szCs w:val="20"/>
                <w:color w:val="auto"/>
              </w:rPr>
            </w:pPr>
            <w:r>
              <w:rPr>
                <w:rFonts w:ascii="Calibri" w:cs="Calibri" w:eastAsia="Calibri" w:hAnsi="Calibri"/>
                <w:sz w:val="13"/>
                <w:szCs w:val="13"/>
                <w:b w:val="1"/>
                <w:bCs w:val="1"/>
                <w:color w:val="FFFFFF"/>
                <w:w w:val="96"/>
              </w:rPr>
              <w:t>QoQ</w:t>
            </w:r>
          </w:p>
        </w:tc>
        <w:tc>
          <w:tcPr>
            <w:tcW w:w="1300" w:type="dxa"/>
            <w:vAlign w:val="bottom"/>
            <w:tcBorders>
              <w:bottom w:val="single" w:sz="8" w:color="2AD2C9"/>
              <w:right w:val="single" w:sz="8" w:color="auto"/>
            </w:tcBorders>
            <w:shd w:val="clear" w:color="auto" w:fill="2AD2C9"/>
          </w:tcPr>
          <w:p>
            <w:pPr>
              <w:jc w:val="center"/>
              <w:ind w:left="155"/>
              <w:spacing w:after="0"/>
              <w:rPr>
                <w:sz w:val="20"/>
                <w:szCs w:val="20"/>
                <w:color w:val="auto"/>
              </w:rPr>
            </w:pPr>
            <w:r>
              <w:rPr>
                <w:rFonts w:ascii="Calibri" w:cs="Calibri" w:eastAsia="Calibri" w:hAnsi="Calibri"/>
                <w:sz w:val="13"/>
                <w:szCs w:val="13"/>
                <w:b w:val="1"/>
                <w:bCs w:val="1"/>
                <w:color w:val="FFFFFF"/>
                <w:w w:val="97"/>
              </w:rPr>
              <w:t>YoY</w:t>
            </w:r>
          </w:p>
        </w:tc>
      </w:tr>
      <w:tr>
        <w:trPr>
          <w:trHeight w:val="149"/>
        </w:trPr>
        <w:tc>
          <w:tcPr>
            <w:tcW w:w="5100" w:type="dxa"/>
            <w:vAlign w:val="bottom"/>
            <w:tcBorders>
              <w:top w:val="single" w:sz="8" w:color="auto"/>
              <w:left w:val="single" w:sz="8" w:color="auto"/>
              <w:right w:val="single" w:sz="8" w:color="auto"/>
            </w:tcBorders>
          </w:tcPr>
          <w:p>
            <w:pPr>
              <w:spacing w:after="0" w:line="149" w:lineRule="exact"/>
              <w:rPr>
                <w:sz w:val="20"/>
                <w:szCs w:val="20"/>
                <w:color w:val="auto"/>
              </w:rPr>
            </w:pPr>
            <w:r>
              <w:rPr>
                <w:rFonts w:ascii="Calibri" w:cs="Calibri" w:eastAsia="Calibri" w:hAnsi="Calibri"/>
                <w:sz w:val="13"/>
                <w:szCs w:val="13"/>
                <w:b w:val="1"/>
                <w:bCs w:val="1"/>
                <w:color w:val="auto"/>
              </w:rPr>
              <w:t>Proftability</w:t>
            </w:r>
          </w:p>
        </w:tc>
        <w:tc>
          <w:tcPr>
            <w:tcW w:w="9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r>
      <w:tr>
        <w:trPr>
          <w:trHeight w:val="172"/>
        </w:trPr>
        <w:tc>
          <w:tcPr>
            <w:tcW w:w="5100" w:type="dxa"/>
            <w:vAlign w:val="bottom"/>
            <w:tcBorders>
              <w:left w:val="single" w:sz="8" w:color="auto"/>
              <w:right w:val="single" w:sz="8" w:color="auto"/>
            </w:tcBorders>
          </w:tcPr>
          <w:p>
            <w:pPr>
              <w:ind w:left="160"/>
              <w:spacing w:after="0" w:line="173" w:lineRule="exact"/>
              <w:rPr>
                <w:sz w:val="20"/>
                <w:szCs w:val="20"/>
                <w:color w:val="auto"/>
              </w:rPr>
            </w:pPr>
            <w:r>
              <w:rPr>
                <w:rFonts w:ascii="Calibri" w:cs="Calibri" w:eastAsia="Calibri" w:hAnsi="Calibri"/>
                <w:sz w:val="18"/>
                <w:szCs w:val="18"/>
                <w:color w:val="auto"/>
                <w:vertAlign w:val="subscript"/>
              </w:rPr>
              <w:t>ROAA</w:t>
            </w:r>
            <w:r>
              <w:rPr>
                <w:rFonts w:ascii="Calibri" w:cs="Calibri" w:eastAsia="Calibri" w:hAnsi="Calibri"/>
                <w:sz w:val="9"/>
                <w:szCs w:val="9"/>
                <w:color w:val="auto"/>
              </w:rPr>
              <w:t xml:space="preserve"> (1)(2)</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2.5%</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3.0%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3.4%</w:t>
            </w:r>
          </w:p>
        </w:tc>
        <w:tc>
          <w:tcPr>
            <w:tcW w:w="720" w:type="dxa"/>
            <w:vAlign w:val="bottom"/>
          </w:tcPr>
          <w:p>
            <w:pPr>
              <w:jc w:val="center"/>
              <w:ind w:left="175"/>
              <w:spacing w:after="0"/>
              <w:rPr>
                <w:sz w:val="20"/>
                <w:szCs w:val="20"/>
                <w:color w:val="auto"/>
              </w:rPr>
            </w:pPr>
            <w:r>
              <w:rPr>
                <w:rFonts w:ascii="Calibri" w:cs="Calibri" w:eastAsia="Calibri" w:hAnsi="Calibri"/>
                <w:sz w:val="13"/>
                <w:szCs w:val="13"/>
                <w:color w:val="auto"/>
              </w:rPr>
              <w:t>37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rPr>
              <w:t>88 bps</w:t>
            </w:r>
          </w:p>
        </w:tc>
      </w:tr>
      <w:tr>
        <w:trPr>
          <w:trHeight w:val="169"/>
        </w:trPr>
        <w:tc>
          <w:tcPr>
            <w:tcW w:w="5100" w:type="dxa"/>
            <w:vAlign w:val="bottom"/>
            <w:tcBorders>
              <w:left w:val="single" w:sz="8" w:color="auto"/>
              <w:right w:val="single" w:sz="8" w:color="auto"/>
            </w:tcBorders>
          </w:tcPr>
          <w:p>
            <w:pPr>
              <w:ind w:left="160"/>
              <w:spacing w:after="0" w:line="169" w:lineRule="exact"/>
              <w:rPr>
                <w:sz w:val="20"/>
                <w:szCs w:val="20"/>
                <w:color w:val="auto"/>
              </w:rPr>
            </w:pPr>
            <w:r>
              <w:rPr>
                <w:rFonts w:ascii="Calibri" w:cs="Calibri" w:eastAsia="Calibri" w:hAnsi="Calibri"/>
                <w:sz w:val="18"/>
                <w:szCs w:val="18"/>
                <w:color w:val="auto"/>
                <w:vertAlign w:val="subscript"/>
              </w:rPr>
              <w:t>ROAE</w:t>
            </w:r>
            <w:r>
              <w:rPr>
                <w:rFonts w:ascii="Calibri" w:cs="Calibri" w:eastAsia="Calibri" w:hAnsi="Calibri"/>
                <w:sz w:val="9"/>
                <w:szCs w:val="9"/>
                <w:color w:val="auto"/>
              </w:rPr>
              <w:t xml:space="preserve"> (1)(2)</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21.7%</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25.8%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29.3%</w:t>
            </w:r>
          </w:p>
        </w:tc>
        <w:tc>
          <w:tcPr>
            <w:tcW w:w="720" w:type="dxa"/>
            <w:vAlign w:val="bottom"/>
          </w:tcPr>
          <w:p>
            <w:pPr>
              <w:jc w:val="center"/>
              <w:ind w:left="155"/>
              <w:spacing w:after="0"/>
              <w:rPr>
                <w:sz w:val="20"/>
                <w:szCs w:val="20"/>
                <w:color w:val="auto"/>
              </w:rPr>
            </w:pPr>
            <w:r>
              <w:rPr>
                <w:rFonts w:ascii="Calibri" w:cs="Calibri" w:eastAsia="Calibri" w:hAnsi="Calibri"/>
                <w:sz w:val="13"/>
                <w:szCs w:val="13"/>
                <w:color w:val="auto"/>
              </w:rPr>
              <w:t>354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6"/>
              </w:rPr>
              <w:t>767 bps</w:t>
            </w:r>
          </w:p>
        </w:tc>
      </w:tr>
      <w:tr>
        <w:trPr>
          <w:trHeight w:val="169"/>
        </w:trPr>
        <w:tc>
          <w:tcPr>
            <w:tcW w:w="5100" w:type="dxa"/>
            <w:vAlign w:val="bottom"/>
            <w:tcBorders>
              <w:left w:val="single" w:sz="8" w:color="auto"/>
              <w:right w:val="single" w:sz="8" w:color="auto"/>
            </w:tcBorders>
          </w:tcPr>
          <w:p>
            <w:pPr>
              <w:ind w:left="160"/>
              <w:spacing w:after="0" w:line="169" w:lineRule="exact"/>
              <w:rPr>
                <w:sz w:val="20"/>
                <w:szCs w:val="20"/>
                <w:color w:val="auto"/>
              </w:rPr>
            </w:pPr>
            <w:r>
              <w:rPr>
                <w:rFonts w:ascii="Calibri" w:cs="Calibri" w:eastAsia="Calibri" w:hAnsi="Calibri"/>
                <w:sz w:val="12"/>
                <w:szCs w:val="12"/>
                <w:color w:val="auto"/>
              </w:rPr>
              <w:t xml:space="preserve">Net interest margin </w:t>
            </w:r>
            <w:r>
              <w:rPr>
                <w:rFonts w:ascii="Calibri" w:cs="Calibri" w:eastAsia="Calibri" w:hAnsi="Calibri"/>
                <w:sz w:val="18"/>
                <w:szCs w:val="18"/>
                <w:color w:val="auto"/>
                <w:vertAlign w:val="superscript"/>
              </w:rPr>
              <w:t>(1)(2)</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6.77%</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6.48%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6.73%</w:t>
            </w:r>
          </w:p>
        </w:tc>
        <w:tc>
          <w:tcPr>
            <w:tcW w:w="720" w:type="dxa"/>
            <w:vAlign w:val="bottom"/>
          </w:tcPr>
          <w:p>
            <w:pPr>
              <w:jc w:val="center"/>
              <w:ind w:left="175"/>
              <w:spacing w:after="0"/>
              <w:rPr>
                <w:sz w:val="20"/>
                <w:szCs w:val="20"/>
                <w:color w:val="auto"/>
              </w:rPr>
            </w:pPr>
            <w:r>
              <w:rPr>
                <w:rFonts w:ascii="Calibri" w:cs="Calibri" w:eastAsia="Calibri" w:hAnsi="Calibri"/>
                <w:sz w:val="13"/>
                <w:szCs w:val="13"/>
                <w:color w:val="auto"/>
              </w:rPr>
              <w:t>25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9"/>
              </w:rPr>
              <w:t>-3 bps</w:t>
            </w:r>
          </w:p>
        </w:tc>
      </w:tr>
      <w:tr>
        <w:trPr>
          <w:trHeight w:val="169"/>
        </w:trPr>
        <w:tc>
          <w:tcPr>
            <w:tcW w:w="5100" w:type="dxa"/>
            <w:vAlign w:val="bottom"/>
            <w:tcBorders>
              <w:left w:val="single" w:sz="8" w:color="auto"/>
              <w:right w:val="single" w:sz="8" w:color="auto"/>
            </w:tcBorders>
          </w:tcPr>
          <w:p>
            <w:pPr>
              <w:ind w:left="160"/>
              <w:spacing w:after="0" w:line="169" w:lineRule="exact"/>
              <w:rPr>
                <w:sz w:val="20"/>
                <w:szCs w:val="20"/>
                <w:color w:val="auto"/>
              </w:rPr>
            </w:pPr>
            <w:r>
              <w:rPr>
                <w:rFonts w:ascii="Calibri" w:cs="Calibri" w:eastAsia="Calibri" w:hAnsi="Calibri"/>
                <w:sz w:val="12"/>
                <w:szCs w:val="12"/>
                <w:color w:val="auto"/>
              </w:rPr>
              <w:t xml:space="preserve">Risk-adjusted Net interest margin </w:t>
            </w:r>
            <w:r>
              <w:rPr>
                <w:rFonts w:ascii="Calibri" w:cs="Calibri" w:eastAsia="Calibri" w:hAnsi="Calibri"/>
                <w:sz w:val="18"/>
                <w:szCs w:val="18"/>
                <w:color w:val="auto"/>
                <w:vertAlign w:val="superscript"/>
              </w:rPr>
              <w:t>(1)(2)</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4.62%</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5.42%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5.67%</w:t>
            </w:r>
          </w:p>
        </w:tc>
        <w:tc>
          <w:tcPr>
            <w:tcW w:w="720" w:type="dxa"/>
            <w:vAlign w:val="bottom"/>
          </w:tcPr>
          <w:p>
            <w:pPr>
              <w:jc w:val="center"/>
              <w:ind w:left="175"/>
              <w:spacing w:after="0"/>
              <w:rPr>
                <w:sz w:val="20"/>
                <w:szCs w:val="20"/>
                <w:color w:val="auto"/>
              </w:rPr>
            </w:pPr>
            <w:r>
              <w:rPr>
                <w:rFonts w:ascii="Calibri" w:cs="Calibri" w:eastAsia="Calibri" w:hAnsi="Calibri"/>
                <w:sz w:val="13"/>
                <w:szCs w:val="13"/>
                <w:color w:val="auto"/>
              </w:rPr>
              <w:t>25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6"/>
              </w:rPr>
              <w:t>105 bps</w:t>
            </w:r>
          </w:p>
        </w:tc>
      </w:tr>
      <w:tr>
        <w:trPr>
          <w:trHeight w:val="249"/>
        </w:trPr>
        <w:tc>
          <w:tcPr>
            <w:tcW w:w="5100" w:type="dxa"/>
            <w:vAlign w:val="bottom"/>
            <w:tcBorders>
              <w:left w:val="single" w:sz="8" w:color="auto"/>
              <w:right w:val="single" w:sz="8" w:color="auto"/>
            </w:tcBorders>
          </w:tcPr>
          <w:p>
            <w:pPr>
              <w:ind w:left="160"/>
              <w:spacing w:after="0" w:line="249" w:lineRule="exact"/>
              <w:rPr>
                <w:sz w:val="20"/>
                <w:szCs w:val="20"/>
                <w:color w:val="auto"/>
              </w:rPr>
            </w:pPr>
            <w:r>
              <w:rPr>
                <w:rFonts w:ascii="Calibri" w:cs="Calibri" w:eastAsia="Calibri" w:hAnsi="Calibri"/>
                <w:sz w:val="13"/>
                <w:szCs w:val="13"/>
                <w:color w:val="auto"/>
              </w:rPr>
              <w:t xml:space="preserve">Funding cost </w:t>
            </w:r>
            <w:r>
              <w:rPr>
                <w:rFonts w:ascii="Calibri" w:cs="Calibri" w:eastAsia="Calibri" w:hAnsi="Calibri"/>
                <w:sz w:val="21"/>
                <w:szCs w:val="21"/>
                <w:color w:val="auto"/>
                <w:vertAlign w:val="superscript"/>
              </w:rPr>
              <w:t>(1)(2)(3)</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2.63%</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2.20%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2.20%</w:t>
            </w:r>
          </w:p>
        </w:tc>
        <w:tc>
          <w:tcPr>
            <w:tcW w:w="720" w:type="dxa"/>
            <w:vAlign w:val="bottom"/>
          </w:tcPr>
          <w:p>
            <w:pPr>
              <w:jc w:val="center"/>
              <w:ind w:left="175"/>
              <w:spacing w:after="0"/>
              <w:rPr>
                <w:sz w:val="20"/>
                <w:szCs w:val="20"/>
                <w:color w:val="auto"/>
              </w:rPr>
            </w:pPr>
            <w:r>
              <w:rPr>
                <w:rFonts w:ascii="Calibri" w:cs="Calibri" w:eastAsia="Calibri" w:hAnsi="Calibri"/>
                <w:sz w:val="13"/>
                <w:szCs w:val="13"/>
                <w:color w:val="auto"/>
                <w:w w:val="98"/>
              </w:rPr>
              <w:t>0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rPr>
              <w:t>-43 bps</w:t>
            </w:r>
          </w:p>
        </w:tc>
      </w:tr>
      <w:tr>
        <w:trPr>
          <w:trHeight w:val="248"/>
        </w:trPr>
        <w:tc>
          <w:tcPr>
            <w:tcW w:w="510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Loan portolio quality</w:t>
            </w: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169"/>
        </w:trPr>
        <w:tc>
          <w:tcPr>
            <w:tcW w:w="51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Internal overdue rato</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4.4%</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3.7%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3.6%</w:t>
            </w:r>
          </w:p>
        </w:tc>
        <w:tc>
          <w:tcPr>
            <w:tcW w:w="720" w:type="dxa"/>
            <w:vAlign w:val="bottom"/>
          </w:tcPr>
          <w:p>
            <w:pPr>
              <w:jc w:val="center"/>
              <w:ind w:left="155"/>
              <w:spacing w:after="0"/>
              <w:rPr>
                <w:sz w:val="20"/>
                <w:szCs w:val="20"/>
                <w:color w:val="auto"/>
              </w:rPr>
            </w:pPr>
            <w:r>
              <w:rPr>
                <w:rFonts w:ascii="Calibri" w:cs="Calibri" w:eastAsia="Calibri" w:hAnsi="Calibri"/>
                <w:sz w:val="13"/>
                <w:szCs w:val="13"/>
                <w:color w:val="auto"/>
                <w:w w:val="97"/>
              </w:rPr>
              <w:t>-12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rPr>
              <w:t>-80 bps</w:t>
            </w:r>
          </w:p>
        </w:tc>
      </w:tr>
      <w:tr>
        <w:trPr>
          <w:trHeight w:val="169"/>
        </w:trPr>
        <w:tc>
          <w:tcPr>
            <w:tcW w:w="51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NPL rato</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6.3%</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5.2%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5.0%</w:t>
            </w:r>
          </w:p>
        </w:tc>
        <w:tc>
          <w:tcPr>
            <w:tcW w:w="720" w:type="dxa"/>
            <w:vAlign w:val="bottom"/>
          </w:tcPr>
          <w:p>
            <w:pPr>
              <w:jc w:val="center"/>
              <w:ind w:left="155"/>
              <w:spacing w:after="0"/>
              <w:rPr>
                <w:sz w:val="20"/>
                <w:szCs w:val="20"/>
                <w:color w:val="auto"/>
              </w:rPr>
            </w:pPr>
            <w:r>
              <w:rPr>
                <w:rFonts w:ascii="Calibri" w:cs="Calibri" w:eastAsia="Calibri" w:hAnsi="Calibri"/>
                <w:sz w:val="13"/>
                <w:szCs w:val="13"/>
                <w:color w:val="auto"/>
                <w:w w:val="97"/>
              </w:rPr>
              <w:t>-18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6"/>
              </w:rPr>
              <w:t>-126 bps</w:t>
            </w:r>
          </w:p>
        </w:tc>
      </w:tr>
      <w:tr>
        <w:trPr>
          <w:trHeight w:val="169"/>
        </w:trPr>
        <w:tc>
          <w:tcPr>
            <w:tcW w:w="51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Coverage rato of IOLs</w:t>
            </w:r>
          </w:p>
        </w:tc>
        <w:tc>
          <w:tcPr>
            <w:tcW w:w="960" w:type="dxa"/>
            <w:vAlign w:val="bottom"/>
          </w:tcPr>
          <w:p>
            <w:pPr>
              <w:jc w:val="center"/>
              <w:spacing w:after="0"/>
              <w:rPr>
                <w:sz w:val="20"/>
                <w:szCs w:val="20"/>
                <w:color w:val="auto"/>
              </w:rPr>
            </w:pPr>
            <w:r>
              <w:rPr>
                <w:rFonts w:ascii="Calibri" w:cs="Calibri" w:eastAsia="Calibri" w:hAnsi="Calibri"/>
                <w:sz w:val="13"/>
                <w:szCs w:val="13"/>
                <w:color w:val="auto"/>
                <w:w w:val="97"/>
              </w:rPr>
              <w:t>133.2%</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7"/>
              </w:rPr>
              <w:t>149.4%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7"/>
              </w:rPr>
              <w:t>152.5%</w:t>
            </w:r>
          </w:p>
        </w:tc>
        <w:tc>
          <w:tcPr>
            <w:tcW w:w="720" w:type="dxa"/>
            <w:vAlign w:val="bottom"/>
          </w:tcPr>
          <w:p>
            <w:pPr>
              <w:jc w:val="center"/>
              <w:ind w:left="155"/>
              <w:spacing w:after="0"/>
              <w:rPr>
                <w:sz w:val="20"/>
                <w:szCs w:val="20"/>
                <w:color w:val="auto"/>
              </w:rPr>
            </w:pPr>
            <w:r>
              <w:rPr>
                <w:rFonts w:ascii="Calibri" w:cs="Calibri" w:eastAsia="Calibri" w:hAnsi="Calibri"/>
                <w:sz w:val="13"/>
                <w:szCs w:val="13"/>
                <w:color w:val="auto"/>
              </w:rPr>
              <w:t>307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9"/>
              </w:rPr>
              <w:t>1931 bps</w:t>
            </w:r>
          </w:p>
        </w:tc>
      </w:tr>
      <w:tr>
        <w:trPr>
          <w:trHeight w:val="169"/>
        </w:trPr>
        <w:tc>
          <w:tcPr>
            <w:tcW w:w="51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Coverage rato of NPLs</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93.6%</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7"/>
              </w:rPr>
              <w:t>107.5%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7"/>
              </w:rPr>
              <w:t>109.8%</w:t>
            </w:r>
          </w:p>
        </w:tc>
        <w:tc>
          <w:tcPr>
            <w:tcW w:w="720" w:type="dxa"/>
            <w:vAlign w:val="bottom"/>
          </w:tcPr>
          <w:p>
            <w:pPr>
              <w:jc w:val="center"/>
              <w:ind w:left="155"/>
              <w:spacing w:after="0"/>
              <w:rPr>
                <w:sz w:val="20"/>
                <w:szCs w:val="20"/>
                <w:color w:val="auto"/>
              </w:rPr>
            </w:pPr>
            <w:r>
              <w:rPr>
                <w:rFonts w:ascii="Calibri" w:cs="Calibri" w:eastAsia="Calibri" w:hAnsi="Calibri"/>
                <w:sz w:val="13"/>
                <w:szCs w:val="13"/>
                <w:color w:val="auto"/>
              </w:rPr>
              <w:t>232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9"/>
              </w:rPr>
              <w:t>1625 bps</w:t>
            </w:r>
          </w:p>
        </w:tc>
      </w:tr>
      <w:tr>
        <w:trPr>
          <w:trHeight w:val="259"/>
        </w:trPr>
        <w:tc>
          <w:tcPr>
            <w:tcW w:w="51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 xml:space="preserve">Cost of risk </w:t>
            </w:r>
            <w:r>
              <w:rPr>
                <w:rFonts w:ascii="Calibri" w:cs="Calibri" w:eastAsia="Calibri" w:hAnsi="Calibri"/>
                <w:sz w:val="21"/>
                <w:szCs w:val="21"/>
                <w:color w:val="auto"/>
                <w:vertAlign w:val="superscript"/>
              </w:rPr>
              <w:t>(4)</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3.1%</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1.6%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1.6%</w:t>
            </w:r>
          </w:p>
        </w:tc>
        <w:tc>
          <w:tcPr>
            <w:tcW w:w="720" w:type="dxa"/>
            <w:vAlign w:val="bottom"/>
          </w:tcPr>
          <w:p>
            <w:pPr>
              <w:jc w:val="center"/>
              <w:ind w:left="175"/>
              <w:spacing w:after="0"/>
              <w:rPr>
                <w:sz w:val="20"/>
                <w:szCs w:val="20"/>
                <w:color w:val="auto"/>
              </w:rPr>
            </w:pPr>
            <w:r>
              <w:rPr>
                <w:rFonts w:ascii="Calibri" w:cs="Calibri" w:eastAsia="Calibri" w:hAnsi="Calibri"/>
                <w:sz w:val="13"/>
                <w:szCs w:val="13"/>
                <w:color w:val="auto"/>
                <w:w w:val="99"/>
              </w:rPr>
              <w:t>-4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6"/>
              </w:rPr>
              <w:t>-154 bps</w:t>
            </w:r>
          </w:p>
        </w:tc>
      </w:tr>
      <w:tr>
        <w:trPr>
          <w:trHeight w:val="248"/>
        </w:trPr>
        <w:tc>
          <w:tcPr>
            <w:tcW w:w="510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Operatng efciency</w:t>
            </w: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179"/>
        </w:trPr>
        <w:tc>
          <w:tcPr>
            <w:tcW w:w="5100" w:type="dxa"/>
            <w:vAlign w:val="bottom"/>
            <w:tcBorders>
              <w:left w:val="single" w:sz="8" w:color="auto"/>
              <w:right w:val="single" w:sz="8" w:color="auto"/>
            </w:tcBorders>
          </w:tcPr>
          <w:p>
            <w:pPr>
              <w:ind w:left="160"/>
              <w:spacing w:after="0" w:line="179" w:lineRule="exact"/>
              <w:rPr>
                <w:sz w:val="20"/>
                <w:szCs w:val="20"/>
                <w:color w:val="auto"/>
              </w:rPr>
            </w:pPr>
            <w:r>
              <w:rPr>
                <w:rFonts w:ascii="Calibri" w:cs="Calibri" w:eastAsia="Calibri" w:hAnsi="Calibri"/>
                <w:sz w:val="12"/>
                <w:szCs w:val="12"/>
                <w:color w:val="auto"/>
              </w:rPr>
              <w:t xml:space="preserve">Operatng expenses / Total income </w:t>
            </w:r>
            <w:r>
              <w:rPr>
                <w:rFonts w:ascii="Calibri" w:cs="Calibri" w:eastAsia="Calibri" w:hAnsi="Calibri"/>
                <w:sz w:val="19"/>
                <w:szCs w:val="19"/>
                <w:color w:val="auto"/>
                <w:vertAlign w:val="superscript"/>
              </w:rPr>
              <w:t>(5)</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39.0%</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39.8%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40.2%</w:t>
            </w:r>
          </w:p>
        </w:tc>
        <w:tc>
          <w:tcPr>
            <w:tcW w:w="720" w:type="dxa"/>
            <w:vAlign w:val="bottom"/>
          </w:tcPr>
          <w:p>
            <w:pPr>
              <w:jc w:val="center"/>
              <w:ind w:left="175"/>
              <w:spacing w:after="0"/>
              <w:rPr>
                <w:sz w:val="20"/>
                <w:szCs w:val="20"/>
                <w:color w:val="auto"/>
              </w:rPr>
            </w:pPr>
            <w:r>
              <w:rPr>
                <w:rFonts w:ascii="Calibri" w:cs="Calibri" w:eastAsia="Calibri" w:hAnsi="Calibri"/>
                <w:sz w:val="13"/>
                <w:szCs w:val="13"/>
                <w:color w:val="auto"/>
              </w:rPr>
              <w:t>45 bps</w:t>
            </w:r>
          </w:p>
        </w:tc>
        <w:tc>
          <w:tcPr>
            <w:tcW w:w="1300" w:type="dxa"/>
            <w:vAlign w:val="bottom"/>
            <w:tcBorders>
              <w:right w:val="single" w:sz="8" w:color="auto"/>
            </w:tcBorders>
          </w:tcPr>
          <w:p>
            <w:pPr>
              <w:jc w:val="center"/>
              <w:ind w:left="155"/>
              <w:spacing w:after="0"/>
              <w:rPr>
                <w:sz w:val="20"/>
                <w:szCs w:val="20"/>
                <w:color w:val="auto"/>
              </w:rPr>
            </w:pPr>
            <w:r>
              <w:rPr>
                <w:rFonts w:ascii="Calibri" w:cs="Calibri" w:eastAsia="Calibri" w:hAnsi="Calibri"/>
                <w:sz w:val="13"/>
                <w:szCs w:val="13"/>
                <w:color w:val="auto"/>
                <w:w w:val="96"/>
              </w:rPr>
              <w:t>127 bps</w:t>
            </w:r>
          </w:p>
        </w:tc>
      </w:tr>
      <w:tr>
        <w:trPr>
          <w:trHeight w:val="179"/>
        </w:trPr>
        <w:tc>
          <w:tcPr>
            <w:tcW w:w="5100" w:type="dxa"/>
            <w:vAlign w:val="bottom"/>
            <w:tcBorders>
              <w:left w:val="single" w:sz="8" w:color="auto"/>
              <w:bottom w:val="single" w:sz="8" w:color="auto"/>
              <w:right w:val="single" w:sz="8" w:color="auto"/>
            </w:tcBorders>
          </w:tcPr>
          <w:p>
            <w:pPr>
              <w:ind w:left="160"/>
              <w:spacing w:after="0" w:line="179" w:lineRule="exact"/>
              <w:rPr>
                <w:sz w:val="20"/>
                <w:szCs w:val="20"/>
                <w:color w:val="auto"/>
              </w:rPr>
            </w:pPr>
            <w:r>
              <w:rPr>
                <w:rFonts w:ascii="Calibri" w:cs="Calibri" w:eastAsia="Calibri" w:hAnsi="Calibri"/>
                <w:sz w:val="12"/>
                <w:szCs w:val="12"/>
                <w:color w:val="auto"/>
              </w:rPr>
              <w:t xml:space="preserve">Operatng expenses / Total average assets </w:t>
            </w:r>
            <w:r>
              <w:rPr>
                <w:rFonts w:ascii="Calibri" w:cs="Calibri" w:eastAsia="Calibri" w:hAnsi="Calibri"/>
                <w:sz w:val="19"/>
                <w:szCs w:val="19"/>
                <w:color w:val="auto"/>
                <w:vertAlign w:val="superscript"/>
              </w:rPr>
              <w:t>(1)(2)(5)</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rPr>
              <w:t>3.4%</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rPr>
              <w:t>3.4%</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3.6%</w:t>
            </w:r>
          </w:p>
        </w:tc>
        <w:tc>
          <w:tcPr>
            <w:tcW w:w="720" w:type="dxa"/>
            <w:vAlign w:val="bottom"/>
            <w:tcBorders>
              <w:bottom w:val="single" w:sz="8" w:color="auto"/>
            </w:tcBorders>
          </w:tcPr>
          <w:p>
            <w:pPr>
              <w:jc w:val="center"/>
              <w:ind w:left="175"/>
              <w:spacing w:after="0"/>
              <w:rPr>
                <w:sz w:val="20"/>
                <w:szCs w:val="20"/>
                <w:color w:val="auto"/>
              </w:rPr>
            </w:pPr>
            <w:r>
              <w:rPr>
                <w:rFonts w:ascii="Calibri" w:cs="Calibri" w:eastAsia="Calibri" w:hAnsi="Calibri"/>
                <w:sz w:val="13"/>
                <w:szCs w:val="13"/>
                <w:color w:val="auto"/>
              </w:rPr>
              <w:t>21 bps</w:t>
            </w:r>
          </w:p>
        </w:tc>
        <w:tc>
          <w:tcPr>
            <w:tcW w:w="1300" w:type="dxa"/>
            <w:vAlign w:val="bottom"/>
            <w:tcBorders>
              <w:bottom w:val="single" w:sz="8" w:color="auto"/>
              <w:right w:val="single" w:sz="8" w:color="auto"/>
            </w:tcBorders>
          </w:tcPr>
          <w:p>
            <w:pPr>
              <w:jc w:val="center"/>
              <w:ind w:left="155"/>
              <w:spacing w:after="0"/>
              <w:rPr>
                <w:sz w:val="20"/>
                <w:szCs w:val="20"/>
                <w:color w:val="auto"/>
              </w:rPr>
            </w:pPr>
            <w:r>
              <w:rPr>
                <w:rFonts w:ascii="Calibri" w:cs="Calibri" w:eastAsia="Calibri" w:hAnsi="Calibri"/>
                <w:sz w:val="13"/>
                <w:szCs w:val="13"/>
                <w:color w:val="auto"/>
              </w:rPr>
              <w:t>23 bps</w:t>
            </w:r>
          </w:p>
        </w:tc>
      </w:tr>
    </w:tbl>
    <w:p>
      <w:pPr>
        <w:spacing w:after="0" w:line="180" w:lineRule="exact"/>
        <w:rPr>
          <w:sz w:val="20"/>
          <w:szCs w:val="20"/>
          <w:color w:val="auto"/>
        </w:rPr>
      </w:pPr>
    </w:p>
    <w:p>
      <w:pPr>
        <w:ind w:left="940" w:hanging="155"/>
        <w:spacing w:after="0"/>
        <w:tabs>
          <w:tab w:leader="none" w:pos="940" w:val="left"/>
        </w:tabs>
        <w:numPr>
          <w:ilvl w:val="0"/>
          <w:numId w:val="61"/>
        </w:numPr>
        <w:rPr>
          <w:rFonts w:ascii="Calibri" w:cs="Calibri" w:eastAsia="Calibri" w:hAnsi="Calibri"/>
          <w:sz w:val="11"/>
          <w:szCs w:val="11"/>
          <w:color w:val="auto"/>
        </w:rPr>
      </w:pPr>
      <w:r>
        <w:rPr>
          <w:rFonts w:ascii="Calibri" w:cs="Calibri" w:eastAsia="Calibri" w:hAnsi="Calibri"/>
          <w:sz w:val="11"/>
          <w:szCs w:val="11"/>
          <w:color w:val="auto"/>
        </w:rPr>
        <w:t>Ratos are annualized.</w:t>
      </w:r>
    </w:p>
    <w:p>
      <w:pPr>
        <w:ind w:left="940" w:hanging="155"/>
        <w:spacing w:after="0" w:line="232" w:lineRule="auto"/>
        <w:tabs>
          <w:tab w:leader="none" w:pos="940" w:val="left"/>
        </w:tabs>
        <w:numPr>
          <w:ilvl w:val="0"/>
          <w:numId w:val="61"/>
        </w:numPr>
        <w:rPr>
          <w:rFonts w:ascii="Calibri" w:cs="Calibri" w:eastAsia="Calibri" w:hAnsi="Calibri"/>
          <w:sz w:val="11"/>
          <w:szCs w:val="11"/>
          <w:color w:val="auto"/>
        </w:rPr>
      </w:pPr>
      <w:r>
        <w:rPr>
          <w:rFonts w:ascii="Calibri" w:cs="Calibri" w:eastAsia="Calibri" w:hAnsi="Calibri"/>
          <w:sz w:val="11"/>
          <w:szCs w:val="11"/>
          <w:color w:val="auto"/>
        </w:rPr>
        <w:t>Averages are determined as the average of period-beginning and period-ending balances.</w:t>
      </w:r>
    </w:p>
    <w:p>
      <w:pPr>
        <w:ind w:left="780" w:right="340" w:firstLine="5"/>
        <w:spacing w:after="0" w:line="232" w:lineRule="auto"/>
        <w:tabs>
          <w:tab w:leader="none" w:pos="931" w:val="left"/>
        </w:tabs>
        <w:numPr>
          <w:ilvl w:val="0"/>
          <w:numId w:val="61"/>
        </w:numPr>
        <w:rPr>
          <w:rFonts w:ascii="Calibri" w:cs="Calibri" w:eastAsia="Calibri" w:hAnsi="Calibri"/>
          <w:sz w:val="11"/>
          <w:szCs w:val="11"/>
          <w:color w:val="auto"/>
        </w:rPr>
      </w:pPr>
      <w:r>
        <w:rPr>
          <w:rFonts w:ascii="Calibri" w:cs="Calibri" w:eastAsia="Calibri" w:hAnsi="Calibri"/>
          <w:sz w:val="11"/>
          <w:szCs w:val="11"/>
          <w:color w:val="auto"/>
        </w:rPr>
        <w:t>The funding costs difers from previously reported due to a methodology change in the denominator, which no longer includes the following accounts: acceptances outstanding, reserves for property and casualty claims, reserve for unearned premiums, reinsurance payable and other liabilites.</w:t>
      </w:r>
    </w:p>
    <w:p>
      <w:pPr>
        <w:ind w:left="940" w:hanging="155"/>
        <w:spacing w:after="0" w:line="232" w:lineRule="auto"/>
        <w:tabs>
          <w:tab w:leader="none" w:pos="940" w:val="left"/>
        </w:tabs>
        <w:numPr>
          <w:ilvl w:val="0"/>
          <w:numId w:val="61"/>
        </w:numPr>
        <w:rPr>
          <w:rFonts w:ascii="Calibri" w:cs="Calibri" w:eastAsia="Calibri" w:hAnsi="Calibri"/>
          <w:sz w:val="11"/>
          <w:szCs w:val="11"/>
          <w:color w:val="auto"/>
        </w:rPr>
      </w:pPr>
      <w:r>
        <w:rPr>
          <w:rFonts w:ascii="Calibri" w:cs="Calibri" w:eastAsia="Calibri" w:hAnsi="Calibri"/>
          <w:sz w:val="11"/>
          <w:szCs w:val="11"/>
          <w:color w:val="auto"/>
        </w:rPr>
        <w:t>Cost of risk: Annualized provision for loan losses / total loans.</w:t>
      </w:r>
    </w:p>
    <w:p>
      <w:pPr>
        <w:ind w:left="780" w:right="600" w:firstLine="5"/>
        <w:spacing w:after="0" w:line="232" w:lineRule="auto"/>
        <w:tabs>
          <w:tab w:leader="none" w:pos="931" w:val="left"/>
        </w:tabs>
        <w:numPr>
          <w:ilvl w:val="0"/>
          <w:numId w:val="61"/>
        </w:numPr>
        <w:rPr>
          <w:rFonts w:ascii="Calibri" w:cs="Calibri" w:eastAsia="Calibri" w:hAnsi="Calibri"/>
          <w:sz w:val="11"/>
          <w:szCs w:val="11"/>
          <w:color w:val="auto"/>
        </w:rPr>
      </w:pPr>
      <w:r>
        <w:rPr>
          <w:rFonts w:ascii="Calibri" w:cs="Calibri" w:eastAsia="Calibri" w:hAnsi="Calibri"/>
          <w:sz w:val="11"/>
          <w:szCs w:val="11"/>
          <w:color w:val="auto"/>
        </w:rPr>
        <w:t>Total income includes net interest income, fee income, net gain on foreign exchange transactons, result on exchange diference and net gain on derivatves. Operatng expenses includes Salaries and social benefts, administratve, general and tax expenses and depreciaton and amortzaton.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808355</wp:posOffset>
            </wp:positionV>
            <wp:extent cx="7137400" cy="165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131445</wp:posOffset>
            </wp:positionV>
            <wp:extent cx="6501130" cy="537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501130" cy="53721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12.7.4. BCP Stand-alone</w:t>
      </w: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Financial Positon</w:t>
      </w:r>
    </w:p>
    <w:p>
      <w:pPr>
        <w:spacing w:after="0" w:line="1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6200" w:type="dxa"/>
            <w:vAlign w:val="bottom"/>
            <w:tcBorders>
              <w:top w:val="single" w:sz="8" w:color="auto"/>
              <w:left w:val="single" w:sz="8" w:color="auto"/>
              <w:right w:val="single" w:sz="8" w:color="auto"/>
            </w:tcBorders>
            <w:shd w:val="clear" w:color="auto" w:fill="2AD2C9"/>
          </w:tcPr>
          <w:p>
            <w:pPr>
              <w:spacing w:after="0"/>
              <w:rPr>
                <w:sz w:val="13"/>
                <w:szCs w:val="13"/>
                <w:color w:val="auto"/>
              </w:rPr>
            </w:pPr>
          </w:p>
        </w:tc>
        <w:tc>
          <w:tcPr>
            <w:tcW w:w="1000" w:type="dxa"/>
            <w:vAlign w:val="bottom"/>
            <w:tcBorders>
              <w:top w:val="single" w:sz="8" w:color="auto"/>
            </w:tcBorders>
            <w:shd w:val="clear" w:color="auto" w:fill="2AD2C9"/>
          </w:tcPr>
          <w:p>
            <w:pPr>
              <w:spacing w:after="0"/>
              <w:rPr>
                <w:sz w:val="13"/>
                <w:szCs w:val="13"/>
                <w:color w:val="auto"/>
              </w:rPr>
            </w:pPr>
          </w:p>
        </w:tc>
        <w:tc>
          <w:tcPr>
            <w:tcW w:w="1020" w:type="dxa"/>
            <w:vAlign w:val="bottom"/>
            <w:tcBorders>
              <w:top w:val="single" w:sz="8" w:color="auto"/>
            </w:tcBorders>
            <w:shd w:val="clear" w:color="auto" w:fill="2AD2C9"/>
          </w:tcPr>
          <w:p>
            <w:pPr>
              <w:jc w:val="center"/>
              <w:spacing w:after="0"/>
              <w:rPr>
                <w:sz w:val="20"/>
                <w:szCs w:val="20"/>
                <w:color w:val="auto"/>
              </w:rPr>
            </w:pPr>
            <w:r>
              <w:rPr>
                <w:rFonts w:ascii="Calibri" w:cs="Calibri" w:eastAsia="Calibri" w:hAnsi="Calibri"/>
                <w:sz w:val="12"/>
                <w:szCs w:val="12"/>
                <w:b w:val="1"/>
                <w:bCs w:val="1"/>
                <w:color w:val="FFFFFF"/>
              </w:rPr>
              <w:t>As of</w:t>
            </w:r>
          </w:p>
        </w:tc>
        <w:tc>
          <w:tcPr>
            <w:tcW w:w="1020" w:type="dxa"/>
            <w:vAlign w:val="bottom"/>
            <w:tcBorders>
              <w:top w:val="single" w:sz="8" w:color="auto"/>
              <w:right w:val="single" w:sz="8" w:color="auto"/>
            </w:tcBorders>
            <w:shd w:val="clear" w:color="auto" w:fill="2AD2C9"/>
          </w:tcPr>
          <w:p>
            <w:pPr>
              <w:spacing w:after="0"/>
              <w:rPr>
                <w:sz w:val="13"/>
                <w:szCs w:val="13"/>
                <w:color w:val="auto"/>
              </w:rPr>
            </w:pPr>
          </w:p>
        </w:tc>
        <w:tc>
          <w:tcPr>
            <w:tcW w:w="720" w:type="dxa"/>
            <w:vAlign w:val="bottom"/>
            <w:tcBorders>
              <w:top w:val="single" w:sz="8" w:color="auto"/>
            </w:tcBorders>
            <w:shd w:val="clear" w:color="auto" w:fill="2AD2C9"/>
          </w:tcPr>
          <w:p>
            <w:pPr>
              <w:spacing w:after="0"/>
              <w:rPr>
                <w:sz w:val="13"/>
                <w:szCs w:val="13"/>
                <w:color w:val="auto"/>
              </w:rPr>
            </w:pPr>
          </w:p>
        </w:tc>
        <w:tc>
          <w:tcPr>
            <w:tcW w:w="1300" w:type="dxa"/>
            <w:vAlign w:val="bottom"/>
            <w:tcBorders>
              <w:top w:val="single" w:sz="8" w:color="auto"/>
              <w:right w:val="single" w:sz="8" w:color="auto"/>
            </w:tcBorders>
            <w:shd w:val="clear" w:color="auto" w:fill="2AD2C9"/>
          </w:tcPr>
          <w:p>
            <w:pPr>
              <w:ind w:left="40"/>
              <w:spacing w:after="0"/>
              <w:rPr>
                <w:sz w:val="20"/>
                <w:szCs w:val="20"/>
                <w:color w:val="auto"/>
              </w:rPr>
            </w:pPr>
            <w:r>
              <w:rPr>
                <w:rFonts w:ascii="Calibri" w:cs="Calibri" w:eastAsia="Calibri" w:hAnsi="Calibri"/>
                <w:sz w:val="12"/>
                <w:szCs w:val="12"/>
                <w:b w:val="1"/>
                <w:bCs w:val="1"/>
                <w:color w:val="FFFFFF"/>
              </w:rPr>
              <w:t>% change</w:t>
            </w:r>
          </w:p>
        </w:tc>
      </w:tr>
      <w:tr>
        <w:trPr>
          <w:trHeight w:val="143"/>
        </w:trPr>
        <w:tc>
          <w:tcPr>
            <w:tcW w:w="62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000" w:type="dxa"/>
            <w:vAlign w:val="bottom"/>
            <w:tcBorders>
              <w:bottom w:val="single" w:sz="8" w:color="auto"/>
            </w:tcBorders>
            <w:shd w:val="clear" w:color="auto" w:fill="2AD2C9"/>
          </w:tcPr>
          <w:p>
            <w:pPr>
              <w:ind w:left="340"/>
              <w:spacing w:after="0" w:line="143" w:lineRule="exact"/>
              <w:rPr>
                <w:sz w:val="20"/>
                <w:szCs w:val="20"/>
                <w:color w:val="auto"/>
              </w:rPr>
            </w:pPr>
            <w:r>
              <w:rPr>
                <w:rFonts w:ascii="Calibri" w:cs="Calibri" w:eastAsia="Calibri" w:hAnsi="Calibri"/>
                <w:sz w:val="12"/>
                <w:szCs w:val="12"/>
                <w:b w:val="1"/>
                <w:bCs w:val="1"/>
                <w:color w:val="FFFFFF"/>
              </w:rPr>
              <w:t>Jun 24</w:t>
            </w:r>
          </w:p>
        </w:tc>
        <w:tc>
          <w:tcPr>
            <w:tcW w:w="1020" w:type="dxa"/>
            <w:vAlign w:val="bottom"/>
            <w:tcBorders>
              <w:bottom w:val="single" w:sz="8" w:color="auto"/>
            </w:tcBorders>
            <w:shd w:val="clear" w:color="auto" w:fill="2AD2C9"/>
          </w:tcPr>
          <w:p>
            <w:pPr>
              <w:jc w:val="center"/>
              <w:spacing w:after="0" w:line="143" w:lineRule="exact"/>
              <w:rPr>
                <w:sz w:val="20"/>
                <w:szCs w:val="20"/>
                <w:color w:val="auto"/>
              </w:rPr>
            </w:pPr>
            <w:r>
              <w:rPr>
                <w:rFonts w:ascii="Calibri" w:cs="Calibri" w:eastAsia="Calibri" w:hAnsi="Calibri"/>
                <w:sz w:val="12"/>
                <w:szCs w:val="12"/>
                <w:b w:val="1"/>
                <w:bCs w:val="1"/>
                <w:color w:val="FFFFFF"/>
              </w:rPr>
              <w:t>Mar 25</w:t>
            </w:r>
          </w:p>
        </w:tc>
        <w:tc>
          <w:tcPr>
            <w:tcW w:w="1020" w:type="dxa"/>
            <w:vAlign w:val="bottom"/>
            <w:tcBorders>
              <w:bottom w:val="single" w:sz="8" w:color="auto"/>
              <w:right w:val="single" w:sz="8" w:color="auto"/>
            </w:tcBorders>
            <w:shd w:val="clear" w:color="auto" w:fill="2AD2C9"/>
          </w:tcPr>
          <w:p>
            <w:pPr>
              <w:ind w:left="340"/>
              <w:spacing w:after="0" w:line="143" w:lineRule="exact"/>
              <w:rPr>
                <w:sz w:val="20"/>
                <w:szCs w:val="20"/>
                <w:color w:val="auto"/>
              </w:rPr>
            </w:pPr>
            <w:r>
              <w:rPr>
                <w:rFonts w:ascii="Calibri" w:cs="Calibri" w:eastAsia="Calibri" w:hAnsi="Calibri"/>
                <w:sz w:val="12"/>
                <w:szCs w:val="12"/>
                <w:b w:val="1"/>
                <w:bCs w:val="1"/>
                <w:color w:val="FFFFFF"/>
              </w:rPr>
              <w:t>Jun 25</w:t>
            </w:r>
          </w:p>
        </w:tc>
        <w:tc>
          <w:tcPr>
            <w:tcW w:w="720" w:type="dxa"/>
            <w:vAlign w:val="bottom"/>
            <w:tcBorders>
              <w:bottom w:val="single" w:sz="8" w:color="auto"/>
            </w:tcBorders>
            <w:shd w:val="clear" w:color="auto" w:fill="2AD2C9"/>
          </w:tcPr>
          <w:p>
            <w:pPr>
              <w:jc w:val="center"/>
              <w:ind w:left="219"/>
              <w:spacing w:after="0" w:line="143" w:lineRule="exact"/>
              <w:rPr>
                <w:sz w:val="20"/>
                <w:szCs w:val="20"/>
                <w:color w:val="auto"/>
              </w:rPr>
            </w:pPr>
            <w:r>
              <w:rPr>
                <w:rFonts w:ascii="Calibri" w:cs="Calibri" w:eastAsia="Calibri" w:hAnsi="Calibri"/>
                <w:sz w:val="12"/>
                <w:szCs w:val="12"/>
                <w:b w:val="1"/>
                <w:bCs w:val="1"/>
                <w:color w:val="FFFFFF"/>
              </w:rPr>
              <w:t>QoQ</w:t>
            </w:r>
          </w:p>
        </w:tc>
        <w:tc>
          <w:tcPr>
            <w:tcW w:w="1300" w:type="dxa"/>
            <w:vAlign w:val="bottom"/>
            <w:tcBorders>
              <w:bottom w:val="single" w:sz="8" w:color="auto"/>
              <w:right w:val="single" w:sz="8" w:color="auto"/>
            </w:tcBorders>
            <w:shd w:val="clear" w:color="auto" w:fill="2AD2C9"/>
          </w:tcPr>
          <w:p>
            <w:pPr>
              <w:ind w:left="680"/>
              <w:spacing w:after="0" w:line="143" w:lineRule="exact"/>
              <w:rPr>
                <w:sz w:val="20"/>
                <w:szCs w:val="20"/>
                <w:color w:val="auto"/>
              </w:rPr>
            </w:pPr>
            <w:r>
              <w:rPr>
                <w:rFonts w:ascii="Calibri" w:cs="Calibri" w:eastAsia="Calibri" w:hAnsi="Calibri"/>
                <w:sz w:val="12"/>
                <w:szCs w:val="12"/>
                <w:b w:val="1"/>
                <w:bCs w:val="1"/>
                <w:color w:val="FFFFFF"/>
              </w:rPr>
              <w:t>YoY</w:t>
            </w:r>
          </w:p>
        </w:tc>
      </w:tr>
      <w:tr>
        <w:trPr>
          <w:trHeight w:val="125"/>
        </w:trPr>
        <w:tc>
          <w:tcPr>
            <w:tcW w:w="6200" w:type="dxa"/>
            <w:vAlign w:val="bottom"/>
            <w:tcBorders>
              <w:left w:val="single" w:sz="8" w:color="auto"/>
              <w:right w:val="single" w:sz="8" w:color="auto"/>
            </w:tcBorders>
          </w:tcPr>
          <w:p>
            <w:pPr>
              <w:ind w:left="20"/>
              <w:spacing w:after="0" w:line="126" w:lineRule="exact"/>
              <w:rPr>
                <w:sz w:val="20"/>
                <w:szCs w:val="20"/>
                <w:color w:val="auto"/>
              </w:rPr>
            </w:pPr>
            <w:r>
              <w:rPr>
                <w:rFonts w:ascii="Calibri" w:cs="Calibri" w:eastAsia="Calibri" w:hAnsi="Calibri"/>
                <w:sz w:val="12"/>
                <w:szCs w:val="12"/>
                <w:b w:val="1"/>
                <w:bCs w:val="1"/>
                <w:color w:val="auto"/>
              </w:rPr>
              <w:t>ASSETS</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Cash and due from banks</w:t>
            </w: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Non-interest bearing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4,832,098</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4,776,238</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5,338,286</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color w:val="auto"/>
              </w:rPr>
              <w:t>11.8%</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10.5%</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Interest bearing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25,834,580</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34,709,343</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31,838,979</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-8.3%</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23.2%</w:t>
            </w:r>
          </w:p>
        </w:tc>
      </w:tr>
      <w:tr>
        <w:trPr>
          <w:trHeight w:val="145"/>
        </w:trPr>
        <w:tc>
          <w:tcPr>
            <w:tcW w:w="6200" w:type="dxa"/>
            <w:vAlign w:val="bottom"/>
            <w:tcBorders>
              <w:left w:val="single" w:sz="8" w:color="auto"/>
              <w:right w:val="single" w:sz="8" w:color="auto"/>
            </w:tcBorders>
          </w:tcPr>
          <w:p>
            <w:pPr>
              <w:ind w:left="180"/>
              <w:spacing w:after="0" w:line="145" w:lineRule="exact"/>
              <w:rPr>
                <w:sz w:val="20"/>
                <w:szCs w:val="20"/>
                <w:color w:val="auto"/>
              </w:rPr>
            </w:pPr>
            <w:r>
              <w:rPr>
                <w:rFonts w:ascii="Calibri" w:cs="Calibri" w:eastAsia="Calibri" w:hAnsi="Calibri"/>
                <w:sz w:val="12"/>
                <w:szCs w:val="12"/>
                <w:b w:val="1"/>
                <w:bCs w:val="1"/>
                <w:color w:val="auto"/>
              </w:rPr>
              <w:t>Total cash and due from banks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30,666,678</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39,485,581</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37,177,265</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rPr>
              <w:t>-5.8%</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w w:val="99"/>
              </w:rPr>
              <w:t>21.2%</w:t>
            </w:r>
          </w:p>
        </w:tc>
      </w:tr>
      <w:tr>
        <w:trPr>
          <w:trHeight w:val="286"/>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Cash collateral, reverse repurchase agreements and securites borrowing</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839,649</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776,081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574,653</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-26.0%</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-31.6%</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Fair value through proft or loss investments</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439,004</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537,503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617,368</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w w:val="99"/>
              </w:rPr>
              <w:t>14.9%</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w w:val="99"/>
              </w:rPr>
              <w:t>40.6%</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Fair value through other comprehensive income investments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19,504,805</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21,877,682</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19,097,277</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b w:val="1"/>
                <w:bCs w:val="1"/>
                <w:color w:val="auto"/>
              </w:rPr>
              <w:t>-12.7%</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b w:val="1"/>
                <w:bCs w:val="1"/>
                <w:color w:val="auto"/>
              </w:rPr>
              <w:t>-2.1%</w:t>
            </w:r>
          </w:p>
        </w:tc>
      </w:tr>
      <w:tr>
        <w:trPr>
          <w:trHeight w:val="145"/>
        </w:trPr>
        <w:tc>
          <w:tcPr>
            <w:tcW w:w="6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Amortzed cost investments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w w:val="98"/>
              </w:rPr>
              <w:t>8,258,140</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8,072,234</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8"/>
              </w:rPr>
              <w:t>8,169,062</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w w:val="99"/>
              </w:rPr>
              <w:t>1.2%</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-1.1%</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Loans</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121,055,851</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119,378,598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120,998,975</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1.4%</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0.0%</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Current</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116,139,749</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115,180,766</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116,868,257</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1.5%</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0.6%</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Internal overdue loans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4,916,102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4,197,832</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4,130,718</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-1.6%</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-16.0%</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Less - allowance for loan losses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(6,809,141)</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(6,453,864)</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(6,418,672)</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-0.5%</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w w:val="94"/>
              </w:rPr>
              <w:t>-5.7%</w:t>
            </w:r>
          </w:p>
        </w:tc>
      </w:tr>
      <w:tr>
        <w:trPr>
          <w:trHeight w:val="145"/>
        </w:trPr>
        <w:tc>
          <w:tcPr>
            <w:tcW w:w="6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Loans, net</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114,246,710</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112,924,734</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8"/>
              </w:rPr>
              <w:t>114,580,303</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w w:val="99"/>
              </w:rPr>
              <w:t>1.5%</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0.3%</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 xml:space="preserve">Property, furniture and equipment, net </w:t>
            </w:r>
            <w:r>
              <w:rPr>
                <w:rFonts w:ascii="Calibri" w:cs="Calibri" w:eastAsia="Calibri" w:hAnsi="Calibri"/>
                <w:sz w:val="20"/>
                <w:szCs w:val="20"/>
                <w:b w:val="1"/>
                <w:bCs w:val="1"/>
                <w:color w:val="auto"/>
                <w:vertAlign w:val="superscript"/>
              </w:rPr>
              <w:t>(1)</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w w:val="98"/>
              </w:rPr>
              <w:t>1,250,424</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1,428,475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1,395,819</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rPr>
              <w:t>-2.3%</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w w:val="99"/>
              </w:rPr>
              <w:t>11.6%</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Due from customers on acceptances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473,382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639,749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559,370</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b w:val="1"/>
                <w:bCs w:val="1"/>
                <w:color w:val="auto"/>
              </w:rPr>
              <w:t>-12.6%</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b w:val="1"/>
                <w:bCs w:val="1"/>
                <w:color w:val="auto"/>
                <w:w w:val="99"/>
              </w:rPr>
              <w:t>18.2%</w:t>
            </w:r>
          </w:p>
        </w:tc>
      </w:tr>
      <w:tr>
        <w:trPr>
          <w:trHeight w:val="136"/>
        </w:trPr>
        <w:tc>
          <w:tcPr>
            <w:tcW w:w="620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b w:val="1"/>
                <w:bCs w:val="1"/>
                <w:color w:val="auto"/>
              </w:rPr>
              <w:t>Investments in associates</w:t>
            </w:r>
          </w:p>
        </w:tc>
        <w:tc>
          <w:tcPr>
            <w:tcW w:w="100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auto"/>
                <w:w w:val="98"/>
              </w:rPr>
              <w:t>2,613,220</w:t>
            </w:r>
          </w:p>
        </w:tc>
        <w:tc>
          <w:tcPr>
            <w:tcW w:w="102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auto"/>
              </w:rPr>
              <w:t>2,431,259</w:t>
            </w:r>
          </w:p>
        </w:tc>
        <w:tc>
          <w:tcPr>
            <w:tcW w:w="102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b w:val="1"/>
                <w:bCs w:val="1"/>
                <w:color w:val="auto"/>
                <w:w w:val="98"/>
              </w:rPr>
              <w:t>2,478,728</w:t>
            </w:r>
          </w:p>
        </w:tc>
        <w:tc>
          <w:tcPr>
            <w:tcW w:w="720" w:type="dxa"/>
            <w:vAlign w:val="bottom"/>
          </w:tcPr>
          <w:p>
            <w:pPr>
              <w:jc w:val="center"/>
              <w:ind w:left="219"/>
              <w:spacing w:after="0" w:line="137" w:lineRule="exact"/>
              <w:rPr>
                <w:sz w:val="20"/>
                <w:szCs w:val="20"/>
                <w:color w:val="auto"/>
              </w:rPr>
            </w:pPr>
            <w:r>
              <w:rPr>
                <w:rFonts w:ascii="Calibri" w:cs="Calibri" w:eastAsia="Calibri" w:hAnsi="Calibri"/>
                <w:sz w:val="12"/>
                <w:szCs w:val="12"/>
                <w:b w:val="1"/>
                <w:bCs w:val="1"/>
                <w:color w:val="auto"/>
                <w:w w:val="99"/>
              </w:rPr>
              <w:t>2.0%</w:t>
            </w:r>
          </w:p>
        </w:tc>
        <w:tc>
          <w:tcPr>
            <w:tcW w:w="1300" w:type="dxa"/>
            <w:vAlign w:val="bottom"/>
            <w:tcBorders>
              <w:right w:val="single" w:sz="8" w:color="auto"/>
            </w:tcBorders>
          </w:tcPr>
          <w:p>
            <w:pPr>
              <w:jc w:val="center"/>
              <w:ind w:left="179"/>
              <w:spacing w:after="0" w:line="137" w:lineRule="exact"/>
              <w:rPr>
                <w:sz w:val="20"/>
                <w:szCs w:val="20"/>
                <w:color w:val="auto"/>
              </w:rPr>
            </w:pPr>
            <w:r>
              <w:rPr>
                <w:rFonts w:ascii="Calibri" w:cs="Calibri" w:eastAsia="Calibri" w:hAnsi="Calibri"/>
                <w:sz w:val="12"/>
                <w:szCs w:val="12"/>
                <w:b w:val="1"/>
                <w:bCs w:val="1"/>
                <w:color w:val="auto"/>
              </w:rPr>
              <w:t>-5.1%</w:t>
            </w:r>
          </w:p>
        </w:tc>
      </w:tr>
      <w:tr>
        <w:trPr>
          <w:trHeight w:val="234"/>
        </w:trPr>
        <w:tc>
          <w:tcPr>
            <w:tcW w:w="6200" w:type="dxa"/>
            <w:vAlign w:val="bottom"/>
            <w:tcBorders>
              <w:left w:val="single" w:sz="8" w:color="auto"/>
              <w:right w:val="single" w:sz="8" w:color="auto"/>
            </w:tcBorders>
          </w:tcPr>
          <w:p>
            <w:pPr>
              <w:ind w:left="20"/>
              <w:spacing w:after="0" w:line="233" w:lineRule="exact"/>
              <w:rPr>
                <w:sz w:val="20"/>
                <w:szCs w:val="20"/>
                <w:color w:val="auto"/>
              </w:rPr>
            </w:pPr>
            <w:r>
              <w:rPr>
                <w:rFonts w:ascii="Calibri" w:cs="Calibri" w:eastAsia="Calibri" w:hAnsi="Calibri"/>
                <w:sz w:val="12"/>
                <w:szCs w:val="12"/>
                <w:b w:val="1"/>
                <w:bCs w:val="1"/>
                <w:color w:val="auto"/>
              </w:rPr>
              <w:t xml:space="preserve">Other assets </w:t>
            </w:r>
            <w:r>
              <w:rPr>
                <w:rFonts w:ascii="Calibri" w:cs="Calibri" w:eastAsia="Calibri" w:hAnsi="Calibri"/>
                <w:sz w:val="20"/>
                <w:szCs w:val="20"/>
                <w:b w:val="1"/>
                <w:bCs w:val="1"/>
                <w:color w:val="auto"/>
                <w:vertAlign w:val="superscript"/>
              </w:rPr>
              <w:t>(2)</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10,988,530</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7,642,354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6,772,832</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-11.4%</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-38.4%</w:t>
            </w:r>
          </w:p>
        </w:tc>
      </w:tr>
      <w:tr>
        <w:trPr>
          <w:trHeight w:val="205"/>
        </w:trPr>
        <w:tc>
          <w:tcPr>
            <w:tcW w:w="6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9"/>
              </w:rPr>
              <w:t>Total Assets</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189,280,542</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195,815,652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191,422,677</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rPr>
              <w:t>-2.2%</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1.1%</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Liabilites and Equity</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Deposits and obligatons</w:t>
            </w: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Non-interest bearing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41,171,770</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46,158,361</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44,639,208</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-3.3%</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8.4%</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Interest bearing</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85,955,135</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89,206,307</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91,339,219</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2.4%</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6.3%</w:t>
            </w:r>
          </w:p>
        </w:tc>
      </w:tr>
      <w:tr>
        <w:trPr>
          <w:trHeight w:val="145"/>
        </w:trPr>
        <w:tc>
          <w:tcPr>
            <w:tcW w:w="6200" w:type="dxa"/>
            <w:vAlign w:val="bottom"/>
            <w:tcBorders>
              <w:left w:val="single" w:sz="8" w:color="auto"/>
              <w:right w:val="single" w:sz="8" w:color="auto"/>
            </w:tcBorders>
          </w:tcPr>
          <w:p>
            <w:pPr>
              <w:ind w:left="180"/>
              <w:spacing w:after="0" w:line="145" w:lineRule="exact"/>
              <w:rPr>
                <w:sz w:val="20"/>
                <w:szCs w:val="20"/>
                <w:color w:val="auto"/>
              </w:rPr>
            </w:pPr>
            <w:r>
              <w:rPr>
                <w:rFonts w:ascii="Calibri" w:cs="Calibri" w:eastAsia="Calibri" w:hAnsi="Calibri"/>
                <w:sz w:val="12"/>
                <w:szCs w:val="12"/>
                <w:b w:val="1"/>
                <w:bCs w:val="1"/>
                <w:color w:val="auto"/>
              </w:rPr>
              <w:t>Total deposits and obligatons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127,126,905</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135,364,668</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8"/>
              </w:rPr>
              <w:t>135,978,427</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w w:val="99"/>
              </w:rPr>
              <w:t>0.5%</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7.0%</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Payables from repurchase agreements and securites lending</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w w:val="98"/>
              </w:rPr>
              <w:t>5,526,878</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7,070,379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5,227,145</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-26.1%</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-5.4%</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BCRP instruments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4,973,913</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6,241,943</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4,355,414</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color w:val="auto"/>
              </w:rPr>
              <w:t>-30.2%</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-12.4%</w:t>
            </w:r>
          </w:p>
        </w:tc>
      </w:tr>
      <w:tr>
        <w:trPr>
          <w:trHeight w:val="145"/>
        </w:trPr>
        <w:tc>
          <w:tcPr>
            <w:tcW w:w="6200" w:type="dxa"/>
            <w:vAlign w:val="bottom"/>
            <w:tcBorders>
              <w:left w:val="single" w:sz="8" w:color="auto"/>
              <w:righ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Repurchase agreements with third partes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552,965</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color w:val="auto"/>
              </w:rPr>
              <w:t>828,436</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871,731</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5.2%</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57.6%</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Due to banks and correspondents</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10,892,721</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9,007,034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8,935,346</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rPr>
              <w:t>-0.8%</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-18.0%</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Bonds and notes issued</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13,711,522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10,350,044</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w w:val="98"/>
              </w:rPr>
              <w:t>9,772,249</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b w:val="1"/>
                <w:bCs w:val="1"/>
                <w:color w:val="auto"/>
              </w:rPr>
              <w:t>-5.6%</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b w:val="1"/>
                <w:bCs w:val="1"/>
                <w:color w:val="auto"/>
              </w:rPr>
              <w:t>-28.7%</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b w:val="1"/>
                <w:bCs w:val="1"/>
                <w:color w:val="auto"/>
              </w:rPr>
              <w:t>Due from customers on acceptances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473,382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639,749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559,370</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b w:val="1"/>
                <w:bCs w:val="1"/>
                <w:color w:val="auto"/>
              </w:rPr>
              <w:t>-12.6%</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b w:val="1"/>
                <w:bCs w:val="1"/>
                <w:color w:val="auto"/>
                <w:w w:val="99"/>
              </w:rPr>
              <w:t>18.2%</w:t>
            </w:r>
          </w:p>
        </w:tc>
      </w:tr>
      <w:tr>
        <w:trPr>
          <w:trHeight w:val="136"/>
        </w:trPr>
        <w:tc>
          <w:tcPr>
            <w:tcW w:w="620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2"/>
                <w:szCs w:val="12"/>
                <w:b w:val="1"/>
                <w:bCs w:val="1"/>
                <w:color w:val="auto"/>
              </w:rPr>
              <w:t>Financial liabilites at fair value through proft or loss</w:t>
            </w:r>
          </w:p>
        </w:tc>
        <w:tc>
          <w:tcPr>
            <w:tcW w:w="100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auto"/>
              </w:rPr>
              <w:t>468,746</w:t>
            </w:r>
          </w:p>
        </w:tc>
        <w:tc>
          <w:tcPr>
            <w:tcW w:w="1020" w:type="dxa"/>
            <w:vAlign w:val="bottom"/>
          </w:tcPr>
          <w:p>
            <w:pPr>
              <w:jc w:val="center"/>
              <w:spacing w:after="0" w:line="137" w:lineRule="exact"/>
              <w:rPr>
                <w:sz w:val="20"/>
                <w:szCs w:val="20"/>
                <w:color w:val="auto"/>
              </w:rPr>
            </w:pPr>
            <w:r>
              <w:rPr>
                <w:rFonts w:ascii="Calibri" w:cs="Calibri" w:eastAsia="Calibri" w:hAnsi="Calibri"/>
                <w:sz w:val="12"/>
                <w:szCs w:val="12"/>
                <w:b w:val="1"/>
                <w:bCs w:val="1"/>
                <w:color w:val="auto"/>
              </w:rPr>
              <w:t>367,988</w:t>
            </w:r>
          </w:p>
        </w:tc>
        <w:tc>
          <w:tcPr>
            <w:tcW w:w="102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b w:val="1"/>
                <w:bCs w:val="1"/>
                <w:color w:val="auto"/>
              </w:rPr>
              <w:t>387,867</w:t>
            </w:r>
          </w:p>
        </w:tc>
        <w:tc>
          <w:tcPr>
            <w:tcW w:w="720" w:type="dxa"/>
            <w:vAlign w:val="bottom"/>
          </w:tcPr>
          <w:p>
            <w:pPr>
              <w:jc w:val="center"/>
              <w:ind w:left="219"/>
              <w:spacing w:after="0" w:line="137" w:lineRule="exact"/>
              <w:rPr>
                <w:sz w:val="20"/>
                <w:szCs w:val="20"/>
                <w:color w:val="auto"/>
              </w:rPr>
            </w:pPr>
            <w:r>
              <w:rPr>
                <w:rFonts w:ascii="Calibri" w:cs="Calibri" w:eastAsia="Calibri" w:hAnsi="Calibri"/>
                <w:sz w:val="12"/>
                <w:szCs w:val="12"/>
                <w:b w:val="1"/>
                <w:bCs w:val="1"/>
                <w:color w:val="auto"/>
                <w:w w:val="99"/>
              </w:rPr>
              <w:t>5.4%</w:t>
            </w:r>
          </w:p>
        </w:tc>
        <w:tc>
          <w:tcPr>
            <w:tcW w:w="1300" w:type="dxa"/>
            <w:vAlign w:val="bottom"/>
            <w:tcBorders>
              <w:right w:val="single" w:sz="8" w:color="auto"/>
            </w:tcBorders>
          </w:tcPr>
          <w:p>
            <w:pPr>
              <w:jc w:val="center"/>
              <w:ind w:left="179"/>
              <w:spacing w:after="0" w:line="137" w:lineRule="exact"/>
              <w:rPr>
                <w:sz w:val="20"/>
                <w:szCs w:val="20"/>
                <w:color w:val="auto"/>
              </w:rPr>
            </w:pPr>
            <w:r>
              <w:rPr>
                <w:rFonts w:ascii="Calibri" w:cs="Calibri" w:eastAsia="Calibri" w:hAnsi="Calibri"/>
                <w:sz w:val="12"/>
                <w:szCs w:val="12"/>
                <w:b w:val="1"/>
                <w:bCs w:val="1"/>
                <w:color w:val="auto"/>
              </w:rPr>
              <w:t>-17.3%</w:t>
            </w:r>
          </w:p>
        </w:tc>
      </w:tr>
      <w:tr>
        <w:trPr>
          <w:trHeight w:val="150"/>
        </w:trPr>
        <w:tc>
          <w:tcPr>
            <w:tcW w:w="6200" w:type="dxa"/>
            <w:vAlign w:val="bottom"/>
            <w:tcBorders>
              <w:left w:val="single" w:sz="8" w:color="auto"/>
              <w:right w:val="single" w:sz="8" w:color="auto"/>
            </w:tcBorders>
          </w:tcPr>
          <w:p>
            <w:pPr>
              <w:ind w:left="20"/>
              <w:spacing w:after="0" w:line="150" w:lineRule="exact"/>
              <w:rPr>
                <w:sz w:val="20"/>
                <w:szCs w:val="20"/>
                <w:color w:val="auto"/>
              </w:rPr>
            </w:pPr>
            <w:r>
              <w:rPr>
                <w:rFonts w:ascii="Calibri" w:cs="Calibri" w:eastAsia="Calibri" w:hAnsi="Calibri"/>
                <w:sz w:val="10"/>
                <w:szCs w:val="10"/>
                <w:b w:val="1"/>
                <w:bCs w:val="1"/>
                <w:color w:val="auto"/>
              </w:rPr>
              <w:t xml:space="preserve">Other liabilites </w:t>
            </w:r>
            <w:r>
              <w:rPr>
                <w:rFonts w:ascii="Calibri" w:cs="Calibri" w:eastAsia="Calibri" w:hAnsi="Calibri"/>
                <w:sz w:val="16"/>
                <w:szCs w:val="16"/>
                <w:b w:val="1"/>
                <w:bCs w:val="1"/>
                <w:color w:val="auto"/>
                <w:vertAlign w:val="superscript"/>
              </w:rPr>
              <w:t>(3)</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w w:val="98"/>
              </w:rPr>
              <w:t>7,451,061</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10,113,925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5,766,446</w:t>
            </w:r>
          </w:p>
        </w:tc>
        <w:tc>
          <w:tcPr>
            <w:tcW w:w="72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-43.0%</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-22.6%</w:t>
            </w:r>
          </w:p>
        </w:tc>
      </w:tr>
      <w:tr>
        <w:trPr>
          <w:trHeight w:val="145"/>
        </w:trPr>
        <w:tc>
          <w:tcPr>
            <w:tcW w:w="6200" w:type="dxa"/>
            <w:vAlign w:val="bottom"/>
            <w:tcBorders>
              <w:left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Total Liabilites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165,651,215</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172,913,787</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w w:val="98"/>
              </w:rPr>
              <w:t>166,626,850</w:t>
            </w:r>
          </w:p>
        </w:tc>
        <w:tc>
          <w:tcPr>
            <w:tcW w:w="720" w:type="dxa"/>
            <w:vAlign w:val="bottom"/>
          </w:tcPr>
          <w:p>
            <w:pPr>
              <w:jc w:val="center"/>
              <w:ind w:left="219"/>
              <w:spacing w:after="0" w:line="145" w:lineRule="exact"/>
              <w:rPr>
                <w:sz w:val="20"/>
                <w:szCs w:val="20"/>
                <w:color w:val="auto"/>
              </w:rPr>
            </w:pPr>
            <w:r>
              <w:rPr>
                <w:rFonts w:ascii="Calibri" w:cs="Calibri" w:eastAsia="Calibri" w:hAnsi="Calibri"/>
                <w:sz w:val="12"/>
                <w:szCs w:val="12"/>
                <w:b w:val="1"/>
                <w:bCs w:val="1"/>
                <w:color w:val="auto"/>
              </w:rPr>
              <w:t>-3.6%</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b w:val="1"/>
                <w:bCs w:val="1"/>
                <w:color w:val="auto"/>
              </w:rPr>
              <w:t>0.6%</w:t>
            </w:r>
          </w:p>
        </w:tc>
      </w:tr>
      <w:tr>
        <w:trPr>
          <w:trHeight w:val="427"/>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Net equity</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23,629,323</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22,901,866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24,795,827</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8.3%</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4.9%</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Capital stock</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12,679,794</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12,679,794</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12,679,794</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0.0%</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0.0%</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Reserves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6,372,468</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5,905,440</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5,906,590</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0.0%</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w w:val="94"/>
              </w:rPr>
              <w:t>-7.3%</w:t>
            </w:r>
          </w:p>
        </w:tc>
      </w:tr>
      <w:tr>
        <w:trPr>
          <w:trHeight w:val="143"/>
        </w:trPr>
        <w:tc>
          <w:tcPr>
            <w:tcW w:w="6200" w:type="dxa"/>
            <w:vAlign w:val="bottom"/>
            <w:tcBorders>
              <w:left w:val="single" w:sz="8" w:color="auto"/>
              <w:right w:val="single" w:sz="8" w:color="auto"/>
            </w:tcBorders>
          </w:tcPr>
          <w:p>
            <w:pPr>
              <w:ind w:left="180"/>
              <w:spacing w:after="0" w:line="143" w:lineRule="exact"/>
              <w:rPr>
                <w:sz w:val="20"/>
                <w:szCs w:val="20"/>
                <w:color w:val="auto"/>
              </w:rPr>
            </w:pPr>
            <w:r>
              <w:rPr>
                <w:rFonts w:ascii="Calibri" w:cs="Calibri" w:eastAsia="Calibri" w:hAnsi="Calibri"/>
                <w:sz w:val="12"/>
                <w:szCs w:val="12"/>
                <w:color w:val="auto"/>
              </w:rPr>
              <w:t>Unrealized gains and losses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(97,152)</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140,002</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282,927</w:t>
            </w:r>
          </w:p>
        </w:tc>
        <w:tc>
          <w:tcPr>
            <w:tcW w:w="720" w:type="dxa"/>
            <w:vAlign w:val="bottom"/>
          </w:tcPr>
          <w:p>
            <w:pPr>
              <w:jc w:val="center"/>
              <w:ind w:left="199"/>
              <w:spacing w:after="0" w:line="143" w:lineRule="exact"/>
              <w:rPr>
                <w:sz w:val="20"/>
                <w:szCs w:val="20"/>
                <w:color w:val="auto"/>
              </w:rPr>
            </w:pPr>
            <w:r>
              <w:rPr>
                <w:rFonts w:ascii="Calibri" w:cs="Calibri" w:eastAsia="Calibri" w:hAnsi="Calibri"/>
                <w:sz w:val="12"/>
                <w:szCs w:val="12"/>
                <w:color w:val="auto"/>
                <w:w w:val="99"/>
              </w:rPr>
              <w:t>n.a.</w:t>
            </w:r>
          </w:p>
        </w:tc>
        <w:tc>
          <w:tcPr>
            <w:tcW w:w="1300" w:type="dxa"/>
            <w:vAlign w:val="bottom"/>
            <w:tcBorders>
              <w:right w:val="single" w:sz="8" w:color="auto"/>
            </w:tcBorders>
          </w:tcPr>
          <w:p>
            <w:pPr>
              <w:ind w:left="680"/>
              <w:spacing w:after="0" w:line="143" w:lineRule="exact"/>
              <w:rPr>
                <w:sz w:val="20"/>
                <w:szCs w:val="20"/>
                <w:color w:val="auto"/>
              </w:rPr>
            </w:pPr>
            <w:r>
              <w:rPr>
                <w:rFonts w:ascii="Calibri" w:cs="Calibri" w:eastAsia="Calibri" w:hAnsi="Calibri"/>
                <w:sz w:val="12"/>
                <w:szCs w:val="12"/>
                <w:color w:val="auto"/>
              </w:rPr>
              <w:t>n.a.</w:t>
            </w:r>
          </w:p>
        </w:tc>
      </w:tr>
      <w:tr>
        <w:trPr>
          <w:trHeight w:val="145"/>
        </w:trPr>
        <w:tc>
          <w:tcPr>
            <w:tcW w:w="6200" w:type="dxa"/>
            <w:vAlign w:val="bottom"/>
            <w:tcBorders>
              <w:left w:val="single" w:sz="8" w:color="auto"/>
              <w:righ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Retained earnings</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4,674,213</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color w:val="auto"/>
              </w:rPr>
              <w:t>4,176,630</w:t>
            </w:r>
          </w:p>
        </w:tc>
        <w:tc>
          <w:tcPr>
            <w:tcW w:w="10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5,926,516</w:t>
            </w:r>
          </w:p>
        </w:tc>
        <w:tc>
          <w:tcPr>
            <w:tcW w:w="72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41.9%</w:t>
            </w:r>
          </w:p>
        </w:tc>
        <w:tc>
          <w:tcPr>
            <w:tcW w:w="130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26.8%</w:t>
            </w:r>
          </w:p>
        </w:tc>
      </w:tr>
      <w:tr>
        <w:trPr>
          <w:trHeight w:val="429"/>
        </w:trPr>
        <w:tc>
          <w:tcPr>
            <w:tcW w:w="6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9"/>
              </w:rPr>
              <w:t>Total Net Equity</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23,629,323</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22,901,866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24,795,827</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8.3%</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4.9%</w:t>
            </w:r>
          </w:p>
        </w:tc>
      </w:tr>
      <w:tr>
        <w:trPr>
          <w:trHeight w:val="286"/>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Total liabilites and equity</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189,280,538</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195,815,653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191,422,677</w:t>
            </w:r>
          </w:p>
        </w:tc>
        <w:tc>
          <w:tcPr>
            <w:tcW w:w="720" w:type="dxa"/>
            <w:vAlign w:val="bottom"/>
          </w:tcPr>
          <w:p>
            <w:pPr>
              <w:jc w:val="center"/>
              <w:ind w:left="219"/>
              <w:spacing w:after="0"/>
              <w:rPr>
                <w:sz w:val="20"/>
                <w:szCs w:val="20"/>
                <w:color w:val="auto"/>
              </w:rPr>
            </w:pPr>
            <w:r>
              <w:rPr>
                <w:rFonts w:ascii="Calibri" w:cs="Calibri" w:eastAsia="Calibri" w:hAnsi="Calibri"/>
                <w:sz w:val="12"/>
                <w:szCs w:val="12"/>
                <w:color w:val="auto"/>
              </w:rPr>
              <w:t>-2.2%</w:t>
            </w:r>
          </w:p>
        </w:tc>
        <w:tc>
          <w:tcPr>
            <w:tcW w:w="1300" w:type="dxa"/>
            <w:vAlign w:val="bottom"/>
            <w:tcBorders>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1.1%</w:t>
            </w:r>
          </w:p>
        </w:tc>
      </w:tr>
      <w:tr>
        <w:trPr>
          <w:trHeight w:val="28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Of-balance sheet</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147,994,313</w:t>
            </w:r>
          </w:p>
        </w:tc>
        <w:tc>
          <w:tcPr>
            <w:tcW w:w="1020" w:type="dxa"/>
            <w:vAlign w:val="bottom"/>
          </w:tcPr>
          <w:p>
            <w:pPr>
              <w:jc w:val="center"/>
              <w:spacing w:after="0"/>
              <w:rPr>
                <w:sz w:val="20"/>
                <w:szCs w:val="20"/>
                <w:color w:val="auto"/>
              </w:rPr>
            </w:pPr>
            <w:r>
              <w:rPr>
                <w:rFonts w:ascii="Calibri" w:cs="Calibri" w:eastAsia="Calibri" w:hAnsi="Calibri"/>
                <w:sz w:val="12"/>
                <w:szCs w:val="12"/>
                <w:b w:val="1"/>
                <w:bCs w:val="1"/>
                <w:color w:val="auto"/>
              </w:rPr>
              <w:t>133,060,043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135,664,961</w:t>
            </w:r>
          </w:p>
        </w:tc>
        <w:tc>
          <w:tcPr>
            <w:tcW w:w="720" w:type="dxa"/>
            <w:vAlign w:val="bottom"/>
          </w:tcPr>
          <w:p>
            <w:pPr>
              <w:jc w:val="center"/>
              <w:ind w:left="219"/>
              <w:spacing w:after="0"/>
              <w:rPr>
                <w:sz w:val="20"/>
                <w:szCs w:val="20"/>
                <w:color w:val="auto"/>
              </w:rPr>
            </w:pPr>
            <w:r>
              <w:rPr>
                <w:rFonts w:ascii="Calibri" w:cs="Calibri" w:eastAsia="Calibri" w:hAnsi="Calibri"/>
                <w:sz w:val="12"/>
                <w:szCs w:val="12"/>
                <w:b w:val="1"/>
                <w:bCs w:val="1"/>
                <w:color w:val="auto"/>
                <w:w w:val="99"/>
              </w:rPr>
              <w:t>2.0%</w:t>
            </w:r>
          </w:p>
        </w:tc>
        <w:tc>
          <w:tcPr>
            <w:tcW w:w="130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-8.3%</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Total performance bonds, stand-by and L/Cs.</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20,008,285</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20,571,287</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20,908,399</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1.6%</w:t>
            </w:r>
          </w:p>
        </w:tc>
        <w:tc>
          <w:tcPr>
            <w:tcW w:w="1300" w:type="dxa"/>
            <w:vAlign w:val="bottom"/>
            <w:tcBorders>
              <w:right w:val="single" w:sz="8" w:color="auto"/>
            </w:tcBorders>
          </w:tcPr>
          <w:p>
            <w:pPr>
              <w:jc w:val="center"/>
              <w:ind w:left="199"/>
              <w:spacing w:after="0" w:line="143" w:lineRule="exact"/>
              <w:rPr>
                <w:sz w:val="20"/>
                <w:szCs w:val="20"/>
                <w:color w:val="auto"/>
              </w:rPr>
            </w:pPr>
            <w:r>
              <w:rPr>
                <w:rFonts w:ascii="Calibri" w:cs="Calibri" w:eastAsia="Calibri" w:hAnsi="Calibri"/>
                <w:sz w:val="12"/>
                <w:szCs w:val="12"/>
                <w:color w:val="auto"/>
              </w:rPr>
              <w:t>4.5%</w:t>
            </w:r>
          </w:p>
        </w:tc>
      </w:tr>
      <w:tr>
        <w:trPr>
          <w:trHeight w:val="143"/>
        </w:trPr>
        <w:tc>
          <w:tcPr>
            <w:tcW w:w="620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Undrawn credit lines, advised but not commited</w:t>
            </w:r>
          </w:p>
        </w:tc>
        <w:tc>
          <w:tcPr>
            <w:tcW w:w="1000" w:type="dxa"/>
            <w:vAlign w:val="bottom"/>
          </w:tcPr>
          <w:p>
            <w:pPr>
              <w:jc w:val="center"/>
              <w:spacing w:after="0" w:line="143" w:lineRule="exact"/>
              <w:rPr>
                <w:sz w:val="20"/>
                <w:szCs w:val="20"/>
                <w:color w:val="auto"/>
              </w:rPr>
            </w:pPr>
            <w:r>
              <w:rPr>
                <w:rFonts w:ascii="Calibri" w:cs="Calibri" w:eastAsia="Calibri" w:hAnsi="Calibri"/>
                <w:sz w:val="12"/>
                <w:szCs w:val="12"/>
                <w:color w:val="auto"/>
              </w:rPr>
              <w:t>77,032,694</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69,917,928</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68,251,113</w:t>
            </w:r>
          </w:p>
        </w:tc>
        <w:tc>
          <w:tcPr>
            <w:tcW w:w="720" w:type="dxa"/>
            <w:vAlign w:val="bottom"/>
          </w:tcPr>
          <w:p>
            <w:pPr>
              <w:jc w:val="center"/>
              <w:ind w:left="219"/>
              <w:spacing w:after="0" w:line="143" w:lineRule="exact"/>
              <w:rPr>
                <w:sz w:val="20"/>
                <w:szCs w:val="20"/>
                <w:color w:val="auto"/>
              </w:rPr>
            </w:pPr>
            <w:r>
              <w:rPr>
                <w:rFonts w:ascii="Calibri" w:cs="Calibri" w:eastAsia="Calibri" w:hAnsi="Calibri"/>
                <w:sz w:val="12"/>
                <w:szCs w:val="12"/>
                <w:color w:val="auto"/>
              </w:rPr>
              <w:t>-2.4%</w:t>
            </w:r>
          </w:p>
        </w:tc>
        <w:tc>
          <w:tcPr>
            <w:tcW w:w="1300" w:type="dxa"/>
            <w:vAlign w:val="bottom"/>
            <w:tcBorders>
              <w:right w:val="single" w:sz="8" w:color="auto"/>
            </w:tcBorders>
          </w:tcPr>
          <w:p>
            <w:pPr>
              <w:jc w:val="center"/>
              <w:ind w:left="179"/>
              <w:spacing w:after="0" w:line="143" w:lineRule="exact"/>
              <w:rPr>
                <w:sz w:val="20"/>
                <w:szCs w:val="20"/>
                <w:color w:val="auto"/>
              </w:rPr>
            </w:pPr>
            <w:r>
              <w:rPr>
                <w:rFonts w:ascii="Calibri" w:cs="Calibri" w:eastAsia="Calibri" w:hAnsi="Calibri"/>
                <w:sz w:val="12"/>
                <w:szCs w:val="12"/>
                <w:color w:val="auto"/>
              </w:rPr>
              <w:t>-11.4%</w:t>
            </w:r>
          </w:p>
        </w:tc>
      </w:tr>
      <w:tr>
        <w:trPr>
          <w:trHeight w:val="150"/>
        </w:trPr>
        <w:tc>
          <w:tcPr>
            <w:tcW w:w="6200" w:type="dxa"/>
            <w:vAlign w:val="bottom"/>
            <w:tcBorders>
              <w:left w:val="single" w:sz="8" w:color="auto"/>
              <w:bottom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Total derivatves (notonal) and others</w:t>
            </w:r>
          </w:p>
        </w:tc>
        <w:tc>
          <w:tcPr>
            <w:tcW w:w="100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50,953,334</w:t>
            </w:r>
          </w:p>
        </w:tc>
        <w:tc>
          <w:tcPr>
            <w:tcW w:w="102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42,570,828</w:t>
            </w:r>
          </w:p>
        </w:tc>
        <w:tc>
          <w:tcPr>
            <w:tcW w:w="102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46,505,449</w:t>
            </w:r>
          </w:p>
        </w:tc>
        <w:tc>
          <w:tcPr>
            <w:tcW w:w="720" w:type="dxa"/>
            <w:vAlign w:val="bottom"/>
            <w:tcBorders>
              <w:bottom w:val="single" w:sz="8" w:color="auto"/>
            </w:tcBorders>
          </w:tcPr>
          <w:p>
            <w:pPr>
              <w:jc w:val="center"/>
              <w:ind w:left="219"/>
              <w:spacing w:after="0" w:line="145" w:lineRule="exact"/>
              <w:rPr>
                <w:sz w:val="20"/>
                <w:szCs w:val="20"/>
                <w:color w:val="auto"/>
              </w:rPr>
            </w:pPr>
            <w:r>
              <w:rPr>
                <w:rFonts w:ascii="Calibri" w:cs="Calibri" w:eastAsia="Calibri" w:hAnsi="Calibri"/>
                <w:sz w:val="12"/>
                <w:szCs w:val="12"/>
                <w:color w:val="auto"/>
              </w:rPr>
              <w:t>9.2%</w:t>
            </w:r>
          </w:p>
        </w:tc>
        <w:tc>
          <w:tcPr>
            <w:tcW w:w="1300" w:type="dxa"/>
            <w:vAlign w:val="bottom"/>
            <w:tcBorders>
              <w:bottom w:val="single" w:sz="8" w:color="auto"/>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w w:val="94"/>
              </w:rPr>
              <w:t>-8.7%</w:t>
            </w:r>
          </w:p>
        </w:tc>
      </w:tr>
    </w:tbl>
    <w:p>
      <w:pPr>
        <w:spacing w:after="0" w:line="180" w:lineRule="exact"/>
        <w:rPr>
          <w:sz w:val="20"/>
          <w:szCs w:val="20"/>
          <w:color w:val="auto"/>
        </w:rPr>
      </w:pPr>
    </w:p>
    <w:p>
      <w:pPr>
        <w:ind w:left="1240" w:hanging="143"/>
        <w:spacing w:after="0"/>
        <w:tabs>
          <w:tab w:leader="none" w:pos="1240" w:val="left"/>
        </w:tabs>
        <w:numPr>
          <w:ilvl w:val="0"/>
          <w:numId w:val="62"/>
        </w:numPr>
        <w:rPr>
          <w:rFonts w:ascii="Calibri" w:cs="Calibri" w:eastAsia="Calibri" w:hAnsi="Calibri"/>
          <w:sz w:val="11"/>
          <w:szCs w:val="11"/>
          <w:color w:val="auto"/>
        </w:rPr>
      </w:pPr>
      <w:r>
        <w:rPr>
          <w:rFonts w:ascii="Calibri" w:cs="Calibri" w:eastAsia="Calibri" w:hAnsi="Calibri"/>
          <w:sz w:val="11"/>
          <w:szCs w:val="11"/>
          <w:color w:val="auto"/>
        </w:rPr>
        <w:t>Right of use asset of lease contracts is included by applicaton of IFRS 16.</w:t>
      </w:r>
    </w:p>
    <w:p>
      <w:pPr>
        <w:ind w:left="1240" w:hanging="143"/>
        <w:spacing w:after="0" w:line="232" w:lineRule="auto"/>
        <w:tabs>
          <w:tab w:leader="none" w:pos="1240" w:val="left"/>
        </w:tabs>
        <w:numPr>
          <w:ilvl w:val="0"/>
          <w:numId w:val="62"/>
        </w:numPr>
        <w:rPr>
          <w:rFonts w:ascii="Calibri" w:cs="Calibri" w:eastAsia="Calibri" w:hAnsi="Calibri"/>
          <w:sz w:val="11"/>
          <w:szCs w:val="11"/>
          <w:color w:val="auto"/>
        </w:rPr>
      </w:pPr>
      <w:r>
        <w:rPr>
          <w:rFonts w:ascii="Calibri" w:cs="Calibri" w:eastAsia="Calibri" w:hAnsi="Calibri"/>
          <w:sz w:val="11"/>
          <w:szCs w:val="11"/>
          <w:color w:val="auto"/>
        </w:rPr>
        <w:t>Mainly includes intangible assets, other receivable accounts, trading derivatves receivable accounts and tax credit</w:t>
      </w:r>
    </w:p>
    <w:p>
      <w:pPr>
        <w:ind w:left="1240" w:hanging="143"/>
        <w:spacing w:after="0" w:line="232" w:lineRule="auto"/>
        <w:tabs>
          <w:tab w:leader="none" w:pos="1240" w:val="left"/>
        </w:tabs>
        <w:numPr>
          <w:ilvl w:val="0"/>
          <w:numId w:val="62"/>
        </w:numPr>
        <w:rPr>
          <w:rFonts w:ascii="Calibri" w:cs="Calibri" w:eastAsia="Calibri" w:hAnsi="Calibri"/>
          <w:sz w:val="11"/>
          <w:szCs w:val="11"/>
          <w:color w:val="auto"/>
        </w:rPr>
      </w:pPr>
      <w:r>
        <w:rPr>
          <w:rFonts w:ascii="Calibri" w:cs="Calibri" w:eastAsia="Calibri" w:hAnsi="Calibri"/>
          <w:sz w:val="11"/>
          <w:szCs w:val="11"/>
          <w:color w:val="auto"/>
        </w:rPr>
        <w:t>Mainly includes other payable accounts, trading derivatves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899160</wp:posOffset>
            </wp:positionV>
            <wp:extent cx="7137400"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213995</wp:posOffset>
            </wp:positionV>
            <wp:extent cx="6517640" cy="545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17640" cy="54546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80"/>
        <w:spacing w:after="0"/>
        <w:rPr>
          <w:sz w:val="20"/>
          <w:szCs w:val="20"/>
          <w:color w:val="auto"/>
        </w:rPr>
      </w:pPr>
      <w:r>
        <w:rPr>
          <w:rFonts w:ascii="Calibri" w:cs="Calibri" w:eastAsia="Calibri" w:hAnsi="Calibri"/>
          <w:sz w:val="16"/>
          <w:szCs w:val="16"/>
          <w:b w:val="1"/>
          <w:bCs w:val="1"/>
          <w:color w:val="auto"/>
        </w:rPr>
        <w:t>Statement of Income</w:t>
      </w:r>
    </w:p>
    <w:p>
      <w:pPr>
        <w:ind w:left="4900"/>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364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920" w:type="dxa"/>
            <w:vAlign w:val="bottom"/>
            <w:tcBorders>
              <w:top w:val="single" w:sz="8" w:color="auto"/>
            </w:tcBorders>
            <w:shd w:val="clear" w:color="auto" w:fill="2AD2C9"/>
          </w:tcPr>
          <w:p>
            <w:pPr>
              <w:spacing w:after="0"/>
              <w:rPr>
                <w:sz w:val="10"/>
                <w:szCs w:val="10"/>
                <w:color w:val="auto"/>
              </w:rPr>
            </w:pPr>
          </w:p>
        </w:tc>
        <w:tc>
          <w:tcPr>
            <w:tcW w:w="940" w:type="dxa"/>
            <w:vAlign w:val="bottom"/>
            <w:tcBorders>
              <w:top w:val="single" w:sz="8" w:color="auto"/>
            </w:tcBorders>
            <w:shd w:val="clear" w:color="auto" w:fill="2AD2C9"/>
          </w:tcPr>
          <w:p>
            <w:pPr>
              <w:ind w:left="320"/>
              <w:spacing w:after="0"/>
              <w:rPr>
                <w:sz w:val="20"/>
                <w:szCs w:val="20"/>
                <w:color w:val="auto"/>
              </w:rPr>
            </w:pPr>
            <w:r>
              <w:rPr>
                <w:rFonts w:ascii="Calibri" w:cs="Calibri" w:eastAsia="Calibri" w:hAnsi="Calibri"/>
                <w:sz w:val="10"/>
                <w:szCs w:val="10"/>
                <w:b w:val="1"/>
                <w:bCs w:val="1"/>
                <w:color w:val="FFFFFF"/>
              </w:rPr>
              <w:t>Quarter</w:t>
            </w:r>
          </w:p>
        </w:tc>
        <w:tc>
          <w:tcPr>
            <w:tcW w:w="980" w:type="dxa"/>
            <w:vAlign w:val="bottom"/>
            <w:tcBorders>
              <w:top w:val="single" w:sz="8" w:color="auto"/>
              <w:right w:val="single" w:sz="8" w:color="auto"/>
            </w:tcBorders>
            <w:shd w:val="clear" w:color="auto" w:fill="2AD2C9"/>
          </w:tcPr>
          <w:p>
            <w:pPr>
              <w:spacing w:after="0"/>
              <w:rPr>
                <w:sz w:val="10"/>
                <w:szCs w:val="10"/>
                <w:color w:val="auto"/>
              </w:rPr>
            </w:pPr>
          </w:p>
        </w:tc>
        <w:tc>
          <w:tcPr>
            <w:tcW w:w="1180" w:type="dxa"/>
            <w:vAlign w:val="bottom"/>
            <w:tcBorders>
              <w:top w:val="single" w:sz="8" w:color="auto"/>
            </w:tcBorders>
            <w:shd w:val="clear" w:color="auto" w:fill="2AD2C9"/>
          </w:tcPr>
          <w:p>
            <w:pPr>
              <w:ind w:left="720"/>
              <w:spacing w:after="0"/>
              <w:rPr>
                <w:sz w:val="20"/>
                <w:szCs w:val="20"/>
                <w:color w:val="auto"/>
              </w:rPr>
            </w:pPr>
            <w:r>
              <w:rPr>
                <w:rFonts w:ascii="Calibri" w:cs="Calibri" w:eastAsia="Calibri" w:hAnsi="Calibri"/>
                <w:sz w:val="10"/>
                <w:szCs w:val="10"/>
                <w:b w:val="1"/>
                <w:bCs w:val="1"/>
                <w:color w:val="FFFFFF"/>
              </w:rPr>
              <w:t>% Change</w:t>
            </w:r>
          </w:p>
        </w:tc>
        <w:tc>
          <w:tcPr>
            <w:tcW w:w="680" w:type="dxa"/>
            <w:vAlign w:val="bottom"/>
            <w:tcBorders>
              <w:top w:val="single" w:sz="8" w:color="auto"/>
              <w:right w:val="single" w:sz="8" w:color="auto"/>
            </w:tcBorders>
            <w:shd w:val="clear" w:color="auto" w:fill="2AD2C9"/>
          </w:tcPr>
          <w:p>
            <w:pPr>
              <w:spacing w:after="0"/>
              <w:rPr>
                <w:sz w:val="10"/>
                <w:szCs w:val="10"/>
                <w:color w:val="auto"/>
              </w:rPr>
            </w:pPr>
          </w:p>
        </w:tc>
        <w:tc>
          <w:tcPr>
            <w:tcW w:w="780" w:type="dxa"/>
            <w:vAlign w:val="bottom"/>
            <w:tcBorders>
              <w:top w:val="single" w:sz="8" w:color="auto"/>
            </w:tcBorders>
            <w:shd w:val="clear" w:color="auto" w:fill="2AD2C9"/>
          </w:tcPr>
          <w:p>
            <w:pPr>
              <w:spacing w:after="0"/>
              <w:rPr>
                <w:sz w:val="10"/>
                <w:szCs w:val="10"/>
                <w:color w:val="auto"/>
              </w:rPr>
            </w:pPr>
          </w:p>
        </w:tc>
        <w:tc>
          <w:tcPr>
            <w:tcW w:w="1160" w:type="dxa"/>
            <w:vAlign w:val="bottom"/>
            <w:tcBorders>
              <w:top w:val="single" w:sz="8" w:color="auto"/>
              <w:right w:val="single" w:sz="8" w:color="auto"/>
            </w:tcBorders>
            <w:shd w:val="clear" w:color="auto" w:fill="2AD2C9"/>
          </w:tcPr>
          <w:p>
            <w:pPr>
              <w:ind w:left="80"/>
              <w:spacing w:after="0"/>
              <w:rPr>
                <w:sz w:val="20"/>
                <w:szCs w:val="20"/>
                <w:color w:val="auto"/>
              </w:rPr>
            </w:pPr>
            <w:r>
              <w:rPr>
                <w:rFonts w:ascii="Calibri" w:cs="Calibri" w:eastAsia="Calibri" w:hAnsi="Calibri"/>
                <w:sz w:val="10"/>
                <w:szCs w:val="10"/>
                <w:b w:val="1"/>
                <w:bCs w:val="1"/>
                <w:color w:val="FFFFFF"/>
              </w:rPr>
              <w:t>Up to</w:t>
            </w:r>
          </w:p>
        </w:tc>
        <w:tc>
          <w:tcPr>
            <w:tcW w:w="9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4"/>
              </w:rPr>
              <w:t>% Change</w:t>
            </w:r>
          </w:p>
        </w:tc>
      </w:tr>
      <w:tr>
        <w:trPr>
          <w:trHeight w:val="117"/>
        </w:trPr>
        <w:tc>
          <w:tcPr>
            <w:tcW w:w="364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920" w:type="dxa"/>
            <w:vAlign w:val="bottom"/>
            <w:tcBorders>
              <w:bottom w:val="single" w:sz="8" w:color="auto"/>
            </w:tcBorders>
            <w:shd w:val="clear" w:color="auto" w:fill="2AD2C9"/>
          </w:tcPr>
          <w:p>
            <w:pPr>
              <w:jc w:val="center"/>
              <w:spacing w:after="0" w:line="112" w:lineRule="exact"/>
              <w:rPr>
                <w:sz w:val="20"/>
                <w:szCs w:val="20"/>
                <w:color w:val="auto"/>
              </w:rPr>
            </w:pPr>
            <w:r>
              <w:rPr>
                <w:rFonts w:ascii="Calibri" w:cs="Calibri" w:eastAsia="Calibri" w:hAnsi="Calibri"/>
                <w:sz w:val="10"/>
                <w:szCs w:val="10"/>
                <w:b w:val="1"/>
                <w:bCs w:val="1"/>
                <w:color w:val="FFFFFF"/>
                <w:w w:val="90"/>
              </w:rPr>
              <w:t>2Q24</w:t>
            </w:r>
          </w:p>
        </w:tc>
        <w:tc>
          <w:tcPr>
            <w:tcW w:w="940" w:type="dxa"/>
            <w:vAlign w:val="bottom"/>
            <w:tcBorders>
              <w:bottom w:val="single" w:sz="8" w:color="auto"/>
            </w:tcBorders>
            <w:shd w:val="clear" w:color="auto" w:fill="2AD2C9"/>
          </w:tcPr>
          <w:p>
            <w:pPr>
              <w:jc w:val="center"/>
              <w:spacing w:after="0" w:line="112" w:lineRule="exact"/>
              <w:rPr>
                <w:sz w:val="20"/>
                <w:szCs w:val="20"/>
                <w:color w:val="auto"/>
              </w:rPr>
            </w:pPr>
            <w:r>
              <w:rPr>
                <w:rFonts w:ascii="Calibri" w:cs="Calibri" w:eastAsia="Calibri" w:hAnsi="Calibri"/>
                <w:sz w:val="10"/>
                <w:szCs w:val="10"/>
                <w:b w:val="1"/>
                <w:bCs w:val="1"/>
                <w:color w:val="FFFFFF"/>
                <w:w w:val="99"/>
              </w:rPr>
              <w:t>1Q25</w:t>
            </w:r>
          </w:p>
        </w:tc>
        <w:tc>
          <w:tcPr>
            <w:tcW w:w="980" w:type="dxa"/>
            <w:vAlign w:val="bottom"/>
            <w:tcBorders>
              <w:bottom w:val="single" w:sz="8" w:color="auto"/>
              <w:right w:val="single" w:sz="8" w:color="auto"/>
            </w:tcBorders>
            <w:shd w:val="clear" w:color="auto" w:fill="2AD2C9"/>
          </w:tcPr>
          <w:p>
            <w:pPr>
              <w:jc w:val="center"/>
              <w:spacing w:after="0" w:line="112" w:lineRule="exact"/>
              <w:rPr>
                <w:sz w:val="20"/>
                <w:szCs w:val="20"/>
                <w:color w:val="auto"/>
              </w:rPr>
            </w:pPr>
            <w:r>
              <w:rPr>
                <w:rFonts w:ascii="Calibri" w:cs="Calibri" w:eastAsia="Calibri" w:hAnsi="Calibri"/>
                <w:sz w:val="10"/>
                <w:szCs w:val="10"/>
                <w:b w:val="1"/>
                <w:bCs w:val="1"/>
                <w:color w:val="FFFFFF"/>
                <w:w w:val="90"/>
              </w:rPr>
              <w:t>2Q25</w:t>
            </w:r>
          </w:p>
        </w:tc>
        <w:tc>
          <w:tcPr>
            <w:tcW w:w="1180" w:type="dxa"/>
            <w:vAlign w:val="bottom"/>
            <w:tcBorders>
              <w:bottom w:val="single" w:sz="8" w:color="auto"/>
            </w:tcBorders>
            <w:shd w:val="clear" w:color="auto" w:fill="2AD2C9"/>
          </w:tcPr>
          <w:p>
            <w:pPr>
              <w:ind w:left="360"/>
              <w:spacing w:after="0" w:line="112" w:lineRule="exact"/>
              <w:rPr>
                <w:sz w:val="20"/>
                <w:szCs w:val="20"/>
                <w:color w:val="auto"/>
              </w:rPr>
            </w:pPr>
            <w:r>
              <w:rPr>
                <w:rFonts w:ascii="Calibri" w:cs="Calibri" w:eastAsia="Calibri" w:hAnsi="Calibri"/>
                <w:sz w:val="10"/>
                <w:szCs w:val="10"/>
                <w:b w:val="1"/>
                <w:bCs w:val="1"/>
                <w:color w:val="FFFFFF"/>
              </w:rPr>
              <w:t>QoQ</w:t>
            </w:r>
          </w:p>
        </w:tc>
        <w:tc>
          <w:tcPr>
            <w:tcW w:w="680" w:type="dxa"/>
            <w:vAlign w:val="bottom"/>
            <w:tcBorders>
              <w:bottom w:val="single" w:sz="8" w:color="auto"/>
              <w:right w:val="single" w:sz="8" w:color="auto"/>
            </w:tcBorders>
            <w:shd w:val="clear" w:color="auto" w:fill="2AD2C9"/>
          </w:tcPr>
          <w:p>
            <w:pPr>
              <w:ind w:left="140"/>
              <w:spacing w:after="0" w:line="112" w:lineRule="exact"/>
              <w:rPr>
                <w:sz w:val="20"/>
                <w:szCs w:val="20"/>
                <w:color w:val="auto"/>
              </w:rPr>
            </w:pPr>
            <w:r>
              <w:rPr>
                <w:rFonts w:ascii="Calibri" w:cs="Calibri" w:eastAsia="Calibri" w:hAnsi="Calibri"/>
                <w:sz w:val="10"/>
                <w:szCs w:val="10"/>
                <w:b w:val="1"/>
                <w:bCs w:val="1"/>
                <w:color w:val="FFFFFF"/>
              </w:rPr>
              <w:t>YoY</w:t>
            </w:r>
          </w:p>
        </w:tc>
        <w:tc>
          <w:tcPr>
            <w:tcW w:w="780" w:type="dxa"/>
            <w:vAlign w:val="bottom"/>
            <w:tcBorders>
              <w:bottom w:val="single" w:sz="8" w:color="auto"/>
            </w:tcBorders>
            <w:shd w:val="clear" w:color="auto" w:fill="2AD2C9"/>
          </w:tcPr>
          <w:p>
            <w:pPr>
              <w:ind w:left="360"/>
              <w:spacing w:after="0" w:line="112" w:lineRule="exact"/>
              <w:rPr>
                <w:sz w:val="20"/>
                <w:szCs w:val="20"/>
                <w:color w:val="auto"/>
              </w:rPr>
            </w:pPr>
            <w:r>
              <w:rPr>
                <w:rFonts w:ascii="Calibri" w:cs="Calibri" w:eastAsia="Calibri" w:hAnsi="Calibri"/>
                <w:sz w:val="10"/>
                <w:szCs w:val="10"/>
                <w:b w:val="1"/>
                <w:bCs w:val="1"/>
                <w:color w:val="FFFFFF"/>
              </w:rPr>
              <w:t>Jun 24</w:t>
            </w:r>
          </w:p>
        </w:tc>
        <w:tc>
          <w:tcPr>
            <w:tcW w:w="1160" w:type="dxa"/>
            <w:vAlign w:val="bottom"/>
            <w:tcBorders>
              <w:bottom w:val="single" w:sz="8" w:color="auto"/>
              <w:right w:val="single" w:sz="8" w:color="auto"/>
            </w:tcBorders>
            <w:shd w:val="clear" w:color="auto" w:fill="2AD2C9"/>
          </w:tcPr>
          <w:p>
            <w:pPr>
              <w:ind w:left="520"/>
              <w:spacing w:after="0" w:line="112" w:lineRule="exact"/>
              <w:rPr>
                <w:sz w:val="20"/>
                <w:szCs w:val="20"/>
                <w:color w:val="auto"/>
              </w:rPr>
            </w:pPr>
            <w:r>
              <w:rPr>
                <w:rFonts w:ascii="Calibri" w:cs="Calibri" w:eastAsia="Calibri" w:hAnsi="Calibri"/>
                <w:sz w:val="10"/>
                <w:szCs w:val="10"/>
                <w:b w:val="1"/>
                <w:bCs w:val="1"/>
                <w:color w:val="FFFFFF"/>
              </w:rPr>
              <w:t>Jun 25</w:t>
            </w:r>
          </w:p>
        </w:tc>
        <w:tc>
          <w:tcPr>
            <w:tcW w:w="980" w:type="dxa"/>
            <w:vAlign w:val="bottom"/>
            <w:tcBorders>
              <w:bottom w:val="single" w:sz="8" w:color="auto"/>
              <w:right w:val="single" w:sz="8" w:color="auto"/>
            </w:tcBorders>
            <w:shd w:val="clear" w:color="auto" w:fill="2AD2C9"/>
          </w:tcPr>
          <w:p>
            <w:pPr>
              <w:jc w:val="center"/>
              <w:spacing w:after="0" w:line="112" w:lineRule="exact"/>
              <w:rPr>
                <w:sz w:val="20"/>
                <w:szCs w:val="20"/>
                <w:color w:val="auto"/>
              </w:rPr>
            </w:pPr>
            <w:r>
              <w:rPr>
                <w:rFonts w:ascii="Calibri" w:cs="Calibri" w:eastAsia="Calibri" w:hAnsi="Calibri"/>
                <w:sz w:val="10"/>
                <w:szCs w:val="10"/>
                <w:b w:val="1"/>
                <w:bCs w:val="1"/>
                <w:color w:val="FFFFFF"/>
                <w:w w:val="93"/>
              </w:rPr>
              <w:t>Jun 25 / Jun 24</w:t>
            </w:r>
          </w:p>
        </w:tc>
      </w:tr>
      <w:tr>
        <w:trPr>
          <w:trHeight w:val="104"/>
        </w:trPr>
        <w:tc>
          <w:tcPr>
            <w:tcW w:w="3640" w:type="dxa"/>
            <w:vAlign w:val="bottom"/>
            <w:tcBorders>
              <w:left w:val="single" w:sz="8" w:color="auto"/>
              <w:right w:val="single" w:sz="8" w:color="auto"/>
            </w:tcBorders>
          </w:tcPr>
          <w:p>
            <w:pPr>
              <w:ind w:left="20"/>
              <w:spacing w:after="0" w:line="104" w:lineRule="exact"/>
              <w:rPr>
                <w:sz w:val="20"/>
                <w:szCs w:val="20"/>
                <w:color w:val="auto"/>
              </w:rPr>
            </w:pPr>
            <w:r>
              <w:rPr>
                <w:rFonts w:ascii="Calibri" w:cs="Calibri" w:eastAsia="Calibri" w:hAnsi="Calibri"/>
                <w:sz w:val="10"/>
                <w:szCs w:val="10"/>
                <w:b w:val="1"/>
                <w:bCs w:val="1"/>
                <w:color w:val="auto"/>
              </w:rPr>
              <w:t>Interest income and expense</w:t>
            </w: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r>
      <w:tr>
        <w:trPr>
          <w:trHeight w:val="112"/>
        </w:trPr>
        <w:tc>
          <w:tcPr>
            <w:tcW w:w="3640" w:type="dxa"/>
            <w:vAlign w:val="bottom"/>
            <w:tcBorders>
              <w:left w:val="single" w:sz="8" w:color="auto"/>
              <w:right w:val="single" w:sz="8" w:color="auto"/>
            </w:tcBorders>
          </w:tcPr>
          <w:p>
            <w:pPr>
              <w:ind w:left="180"/>
              <w:spacing w:after="0" w:line="112" w:lineRule="exact"/>
              <w:rPr>
                <w:sz w:val="20"/>
                <w:szCs w:val="20"/>
                <w:color w:val="auto"/>
              </w:rPr>
            </w:pPr>
            <w:r>
              <w:rPr>
                <w:rFonts w:ascii="Calibri" w:cs="Calibri" w:eastAsia="Calibri" w:hAnsi="Calibri"/>
                <w:sz w:val="10"/>
                <w:szCs w:val="10"/>
                <w:color w:val="auto"/>
              </w:rPr>
              <w:t>Interest and similar income</w:t>
            </w:r>
          </w:p>
        </w:tc>
        <w:tc>
          <w:tcPr>
            <w:tcW w:w="920" w:type="dxa"/>
            <w:vAlign w:val="bottom"/>
          </w:tcPr>
          <w:p>
            <w:pPr>
              <w:jc w:val="center"/>
              <w:spacing w:after="0" w:line="112" w:lineRule="exact"/>
              <w:rPr>
                <w:sz w:val="20"/>
                <w:szCs w:val="20"/>
                <w:color w:val="auto"/>
              </w:rPr>
            </w:pPr>
            <w:r>
              <w:rPr>
                <w:rFonts w:ascii="Calibri" w:cs="Calibri" w:eastAsia="Calibri" w:hAnsi="Calibri"/>
                <w:sz w:val="10"/>
                <w:szCs w:val="10"/>
                <w:color w:val="auto"/>
                <w:w w:val="93"/>
              </w:rPr>
              <w:t>3,565,956</w:t>
            </w:r>
          </w:p>
        </w:tc>
        <w:tc>
          <w:tcPr>
            <w:tcW w:w="940" w:type="dxa"/>
            <w:vAlign w:val="bottom"/>
          </w:tcPr>
          <w:p>
            <w:pPr>
              <w:jc w:val="center"/>
              <w:spacing w:after="0" w:line="112" w:lineRule="exact"/>
              <w:rPr>
                <w:sz w:val="20"/>
                <w:szCs w:val="20"/>
                <w:color w:val="auto"/>
              </w:rPr>
            </w:pPr>
            <w:r>
              <w:rPr>
                <w:rFonts w:ascii="Calibri" w:cs="Calibri" w:eastAsia="Calibri" w:hAnsi="Calibri"/>
                <w:sz w:val="10"/>
                <w:szCs w:val="10"/>
                <w:color w:val="auto"/>
                <w:w w:val="93"/>
              </w:rPr>
              <w:t>3,519,001</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color w:val="auto"/>
                <w:w w:val="98"/>
              </w:rPr>
              <w:t>3,535,213</w:t>
            </w:r>
          </w:p>
        </w:tc>
        <w:tc>
          <w:tcPr>
            <w:tcW w:w="1180" w:type="dxa"/>
            <w:vAlign w:val="bottom"/>
          </w:tcPr>
          <w:p>
            <w:pPr>
              <w:jc w:val="center"/>
              <w:ind w:right="232"/>
              <w:spacing w:after="0" w:line="112" w:lineRule="exact"/>
              <w:rPr>
                <w:sz w:val="20"/>
                <w:szCs w:val="20"/>
                <w:color w:val="auto"/>
              </w:rPr>
            </w:pPr>
            <w:r>
              <w:rPr>
                <w:rFonts w:ascii="Calibri" w:cs="Calibri" w:eastAsia="Calibri" w:hAnsi="Calibri"/>
                <w:sz w:val="10"/>
                <w:szCs w:val="10"/>
                <w:color w:val="auto"/>
                <w:w w:val="90"/>
              </w:rPr>
              <w:t>0.5%</w:t>
            </w:r>
          </w:p>
        </w:tc>
        <w:tc>
          <w:tcPr>
            <w:tcW w:w="680" w:type="dxa"/>
            <w:vAlign w:val="bottom"/>
            <w:tcBorders>
              <w:right w:val="single" w:sz="8" w:color="auto"/>
            </w:tcBorders>
          </w:tcPr>
          <w:p>
            <w:pPr>
              <w:jc w:val="center"/>
              <w:ind w:right="212"/>
              <w:spacing w:after="0" w:line="112" w:lineRule="exact"/>
              <w:rPr>
                <w:sz w:val="20"/>
                <w:szCs w:val="20"/>
                <w:color w:val="auto"/>
              </w:rPr>
            </w:pPr>
            <w:r>
              <w:rPr>
                <w:rFonts w:ascii="Calibri" w:cs="Calibri" w:eastAsia="Calibri" w:hAnsi="Calibri"/>
                <w:sz w:val="10"/>
                <w:szCs w:val="10"/>
                <w:color w:val="auto"/>
                <w:w w:val="95"/>
              </w:rPr>
              <w:t>-0.9%</w:t>
            </w:r>
          </w:p>
        </w:tc>
        <w:tc>
          <w:tcPr>
            <w:tcW w:w="780" w:type="dxa"/>
            <w:vAlign w:val="bottom"/>
          </w:tcPr>
          <w:p>
            <w:pPr>
              <w:jc w:val="center"/>
              <w:ind w:left="132"/>
              <w:spacing w:after="0" w:line="112" w:lineRule="exact"/>
              <w:rPr>
                <w:sz w:val="20"/>
                <w:szCs w:val="20"/>
                <w:color w:val="auto"/>
              </w:rPr>
            </w:pPr>
            <w:r>
              <w:rPr>
                <w:rFonts w:ascii="Calibri" w:cs="Calibri" w:eastAsia="Calibri" w:hAnsi="Calibri"/>
                <w:sz w:val="10"/>
                <w:szCs w:val="10"/>
                <w:color w:val="auto"/>
                <w:w w:val="98"/>
              </w:rPr>
              <w:t>7,088,663</w:t>
            </w:r>
          </w:p>
        </w:tc>
        <w:tc>
          <w:tcPr>
            <w:tcW w:w="1160" w:type="dxa"/>
            <w:vAlign w:val="bottom"/>
            <w:tcBorders>
              <w:right w:val="single" w:sz="8" w:color="auto"/>
            </w:tcBorders>
          </w:tcPr>
          <w:p>
            <w:pPr>
              <w:jc w:val="center"/>
              <w:ind w:left="92"/>
              <w:spacing w:after="0" w:line="112" w:lineRule="exact"/>
              <w:rPr>
                <w:sz w:val="20"/>
                <w:szCs w:val="20"/>
                <w:color w:val="auto"/>
              </w:rPr>
            </w:pPr>
            <w:r>
              <w:rPr>
                <w:rFonts w:ascii="Calibri" w:cs="Calibri" w:eastAsia="Calibri" w:hAnsi="Calibri"/>
                <w:sz w:val="10"/>
                <w:szCs w:val="10"/>
                <w:color w:val="auto"/>
                <w:w w:val="93"/>
              </w:rPr>
              <w:t>7,054,214</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color w:val="auto"/>
                <w:w w:val="95"/>
              </w:rPr>
              <w:t>-0.5%</w:t>
            </w:r>
          </w:p>
        </w:tc>
      </w:tr>
      <w:tr>
        <w:trPr>
          <w:trHeight w:val="123"/>
        </w:trPr>
        <w:tc>
          <w:tcPr>
            <w:tcW w:w="3640" w:type="dxa"/>
            <w:vAlign w:val="bottom"/>
            <w:tcBorders>
              <w:left w:val="single" w:sz="8" w:color="auto"/>
              <w:right w:val="single" w:sz="8" w:color="auto"/>
            </w:tcBorders>
          </w:tcPr>
          <w:p>
            <w:pPr>
              <w:ind w:left="180"/>
              <w:spacing w:after="0" w:line="123" w:lineRule="exact"/>
              <w:rPr>
                <w:sz w:val="20"/>
                <w:szCs w:val="20"/>
                <w:color w:val="auto"/>
              </w:rPr>
            </w:pPr>
            <w:r>
              <w:rPr>
                <w:rFonts w:ascii="Calibri" w:cs="Calibri" w:eastAsia="Calibri" w:hAnsi="Calibri"/>
                <w:sz w:val="8"/>
                <w:szCs w:val="8"/>
                <w:color w:val="auto"/>
              </w:rPr>
              <w:t xml:space="preserve">Interest and similar expenses </w:t>
            </w:r>
            <w:r>
              <w:rPr>
                <w:rFonts w:ascii="Calibri" w:cs="Calibri" w:eastAsia="Calibri" w:hAnsi="Calibri"/>
                <w:sz w:val="13"/>
                <w:szCs w:val="13"/>
                <w:color w:val="auto"/>
                <w:vertAlign w:val="superscript"/>
              </w:rPr>
              <w:t>(1)</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(904,173)</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(814,465)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(783,739)</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5"/>
              </w:rPr>
              <w:t>-3.8%</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rPr>
              <w:t>-13.3%</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4"/>
              </w:rPr>
              <w:t>(1,815,872)</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4"/>
              </w:rPr>
              <w:t>(1,598,204)</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-12.0%</w:t>
            </w:r>
          </w:p>
        </w:tc>
      </w:tr>
      <w:tr>
        <w:trPr>
          <w:trHeight w:val="112"/>
        </w:trPr>
        <w:tc>
          <w:tcPr>
            <w:tcW w:w="3640" w:type="dxa"/>
            <w:vAlign w:val="bottom"/>
            <w:tcBorders>
              <w:left w:val="single" w:sz="8" w:color="auto"/>
              <w:right w:val="single" w:sz="8" w:color="auto"/>
            </w:tcBorders>
          </w:tcPr>
          <w:p>
            <w:pPr>
              <w:ind w:left="180"/>
              <w:spacing w:after="0" w:line="112" w:lineRule="exact"/>
              <w:rPr>
                <w:sz w:val="20"/>
                <w:szCs w:val="20"/>
                <w:color w:val="auto"/>
              </w:rPr>
            </w:pPr>
            <w:r>
              <w:rPr>
                <w:rFonts w:ascii="Calibri" w:cs="Calibri" w:eastAsia="Calibri" w:hAnsi="Calibri"/>
                <w:sz w:val="10"/>
                <w:szCs w:val="10"/>
                <w:b w:val="1"/>
                <w:bCs w:val="1"/>
                <w:color w:val="auto"/>
              </w:rPr>
              <w:t>Interest income and expense</w:t>
            </w:r>
          </w:p>
        </w:tc>
        <w:tc>
          <w:tcPr>
            <w:tcW w:w="920" w:type="dxa"/>
            <w:vAlign w:val="bottom"/>
          </w:tcPr>
          <w:p>
            <w:pPr>
              <w:jc w:val="center"/>
              <w:spacing w:after="0" w:line="112" w:lineRule="exact"/>
              <w:rPr>
                <w:sz w:val="20"/>
                <w:szCs w:val="20"/>
                <w:color w:val="auto"/>
              </w:rPr>
            </w:pPr>
            <w:r>
              <w:rPr>
                <w:rFonts w:ascii="Calibri" w:cs="Calibri" w:eastAsia="Calibri" w:hAnsi="Calibri"/>
                <w:sz w:val="10"/>
                <w:szCs w:val="10"/>
                <w:b w:val="1"/>
                <w:bCs w:val="1"/>
                <w:color w:val="auto"/>
                <w:w w:val="93"/>
              </w:rPr>
              <w:t>2,661,783</w:t>
            </w:r>
          </w:p>
        </w:tc>
        <w:tc>
          <w:tcPr>
            <w:tcW w:w="940" w:type="dxa"/>
            <w:vAlign w:val="bottom"/>
          </w:tcPr>
          <w:p>
            <w:pPr>
              <w:jc w:val="center"/>
              <w:spacing w:after="0" w:line="112" w:lineRule="exact"/>
              <w:rPr>
                <w:sz w:val="20"/>
                <w:szCs w:val="20"/>
                <w:color w:val="auto"/>
              </w:rPr>
            </w:pPr>
            <w:r>
              <w:rPr>
                <w:rFonts w:ascii="Calibri" w:cs="Calibri" w:eastAsia="Calibri" w:hAnsi="Calibri"/>
                <w:sz w:val="10"/>
                <w:szCs w:val="10"/>
                <w:b w:val="1"/>
                <w:bCs w:val="1"/>
                <w:color w:val="auto"/>
                <w:w w:val="93"/>
              </w:rPr>
              <w:t>2,704,536</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b w:val="1"/>
                <w:bCs w:val="1"/>
                <w:color w:val="auto"/>
                <w:w w:val="98"/>
              </w:rPr>
              <w:t>2,751,474</w:t>
            </w:r>
          </w:p>
        </w:tc>
        <w:tc>
          <w:tcPr>
            <w:tcW w:w="1180" w:type="dxa"/>
            <w:vAlign w:val="bottom"/>
          </w:tcPr>
          <w:p>
            <w:pPr>
              <w:jc w:val="center"/>
              <w:ind w:right="232"/>
              <w:spacing w:after="0" w:line="112" w:lineRule="exact"/>
              <w:rPr>
                <w:sz w:val="20"/>
                <w:szCs w:val="20"/>
                <w:color w:val="auto"/>
              </w:rPr>
            </w:pPr>
            <w:r>
              <w:rPr>
                <w:rFonts w:ascii="Calibri" w:cs="Calibri" w:eastAsia="Calibri" w:hAnsi="Calibri"/>
                <w:sz w:val="10"/>
                <w:szCs w:val="10"/>
                <w:b w:val="1"/>
                <w:bCs w:val="1"/>
                <w:color w:val="auto"/>
                <w:w w:val="89"/>
              </w:rPr>
              <w:t>1.7%</w:t>
            </w:r>
          </w:p>
        </w:tc>
        <w:tc>
          <w:tcPr>
            <w:tcW w:w="680" w:type="dxa"/>
            <w:vAlign w:val="bottom"/>
            <w:tcBorders>
              <w:right w:val="single" w:sz="8" w:color="auto"/>
            </w:tcBorders>
          </w:tcPr>
          <w:p>
            <w:pPr>
              <w:jc w:val="center"/>
              <w:ind w:right="232"/>
              <w:spacing w:after="0" w:line="112" w:lineRule="exact"/>
              <w:rPr>
                <w:sz w:val="20"/>
                <w:szCs w:val="20"/>
                <w:color w:val="auto"/>
              </w:rPr>
            </w:pPr>
            <w:r>
              <w:rPr>
                <w:rFonts w:ascii="Calibri" w:cs="Calibri" w:eastAsia="Calibri" w:hAnsi="Calibri"/>
                <w:sz w:val="10"/>
                <w:szCs w:val="10"/>
                <w:b w:val="1"/>
                <w:bCs w:val="1"/>
                <w:color w:val="auto"/>
                <w:w w:val="99"/>
              </w:rPr>
              <w:t>3.4%</w:t>
            </w:r>
          </w:p>
        </w:tc>
        <w:tc>
          <w:tcPr>
            <w:tcW w:w="780" w:type="dxa"/>
            <w:vAlign w:val="bottom"/>
          </w:tcPr>
          <w:p>
            <w:pPr>
              <w:jc w:val="center"/>
              <w:ind w:left="132"/>
              <w:spacing w:after="0" w:line="112" w:lineRule="exact"/>
              <w:rPr>
                <w:sz w:val="20"/>
                <w:szCs w:val="20"/>
                <w:color w:val="auto"/>
              </w:rPr>
            </w:pPr>
            <w:r>
              <w:rPr>
                <w:rFonts w:ascii="Calibri" w:cs="Calibri" w:eastAsia="Calibri" w:hAnsi="Calibri"/>
                <w:sz w:val="10"/>
                <w:szCs w:val="10"/>
                <w:b w:val="1"/>
                <w:bCs w:val="1"/>
                <w:color w:val="auto"/>
                <w:w w:val="98"/>
              </w:rPr>
              <w:t>5,272,791</w:t>
            </w:r>
          </w:p>
        </w:tc>
        <w:tc>
          <w:tcPr>
            <w:tcW w:w="1160" w:type="dxa"/>
            <w:vAlign w:val="bottom"/>
            <w:tcBorders>
              <w:right w:val="single" w:sz="8" w:color="auto"/>
            </w:tcBorders>
          </w:tcPr>
          <w:p>
            <w:pPr>
              <w:jc w:val="center"/>
              <w:ind w:left="92"/>
              <w:spacing w:after="0" w:line="112" w:lineRule="exact"/>
              <w:rPr>
                <w:sz w:val="20"/>
                <w:szCs w:val="20"/>
                <w:color w:val="auto"/>
              </w:rPr>
            </w:pPr>
            <w:r>
              <w:rPr>
                <w:rFonts w:ascii="Calibri" w:cs="Calibri" w:eastAsia="Calibri" w:hAnsi="Calibri"/>
                <w:sz w:val="10"/>
                <w:szCs w:val="10"/>
                <w:b w:val="1"/>
                <w:bCs w:val="1"/>
                <w:color w:val="auto"/>
                <w:w w:val="93"/>
              </w:rPr>
              <w:t>5,456,010</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b w:val="1"/>
                <w:bCs w:val="1"/>
                <w:color w:val="auto"/>
                <w:w w:val="89"/>
              </w:rPr>
              <w:t>3.5%</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Provision for credit losses on loan portolio</w:t>
            </w:r>
          </w:p>
        </w:tc>
        <w:tc>
          <w:tcPr>
            <w:tcW w:w="920" w:type="dxa"/>
            <w:vAlign w:val="bottom"/>
          </w:tcPr>
          <w:p>
            <w:pPr>
              <w:jc w:val="center"/>
              <w:spacing w:after="0"/>
              <w:rPr>
                <w:sz w:val="20"/>
                <w:szCs w:val="20"/>
                <w:color w:val="auto"/>
              </w:rPr>
            </w:pPr>
            <w:r>
              <w:rPr>
                <w:rFonts w:ascii="Calibri" w:cs="Calibri" w:eastAsia="Calibri" w:hAnsi="Calibri"/>
                <w:sz w:val="10"/>
                <w:szCs w:val="10"/>
                <w:color w:val="auto"/>
                <w:w w:val="97"/>
              </w:rPr>
              <w:t>(844,236)</w:t>
            </w:r>
          </w:p>
        </w:tc>
        <w:tc>
          <w:tcPr>
            <w:tcW w:w="940" w:type="dxa"/>
            <w:vAlign w:val="bottom"/>
          </w:tcPr>
          <w:p>
            <w:pPr>
              <w:jc w:val="center"/>
              <w:spacing w:after="0"/>
              <w:rPr>
                <w:sz w:val="20"/>
                <w:szCs w:val="20"/>
                <w:color w:val="auto"/>
              </w:rPr>
            </w:pPr>
            <w:r>
              <w:rPr>
                <w:rFonts w:ascii="Calibri" w:cs="Calibri" w:eastAsia="Calibri" w:hAnsi="Calibri"/>
                <w:sz w:val="10"/>
                <w:szCs w:val="10"/>
                <w:color w:val="auto"/>
                <w:w w:val="97"/>
              </w:rPr>
              <w:t>(467,002)</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2"/>
              </w:rPr>
              <w:t>(441,020)</w:t>
            </w:r>
          </w:p>
        </w:tc>
        <w:tc>
          <w:tcPr>
            <w:tcW w:w="1180" w:type="dxa"/>
            <w:vAlign w:val="bottom"/>
          </w:tcPr>
          <w:p>
            <w:pPr>
              <w:jc w:val="center"/>
              <w:ind w:right="232"/>
              <w:spacing w:after="0"/>
              <w:rPr>
                <w:sz w:val="20"/>
                <w:szCs w:val="20"/>
                <w:color w:val="auto"/>
              </w:rPr>
            </w:pPr>
            <w:r>
              <w:rPr>
                <w:rFonts w:ascii="Calibri" w:cs="Calibri" w:eastAsia="Calibri" w:hAnsi="Calibri"/>
                <w:sz w:val="10"/>
                <w:szCs w:val="10"/>
                <w:color w:val="auto"/>
                <w:w w:val="95"/>
              </w:rPr>
              <w:t>-5.6%</w:t>
            </w:r>
          </w:p>
        </w:tc>
        <w:tc>
          <w:tcPr>
            <w:tcW w:w="68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0"/>
                <w:szCs w:val="10"/>
                <w:color w:val="auto"/>
              </w:rPr>
              <w:t>-47.8%</w:t>
            </w:r>
          </w:p>
        </w:tc>
        <w:tc>
          <w:tcPr>
            <w:tcW w:w="780" w:type="dxa"/>
            <w:vAlign w:val="bottom"/>
          </w:tcPr>
          <w:p>
            <w:pPr>
              <w:jc w:val="center"/>
              <w:ind w:left="132"/>
              <w:spacing w:after="0"/>
              <w:rPr>
                <w:sz w:val="20"/>
                <w:szCs w:val="20"/>
                <w:color w:val="auto"/>
              </w:rPr>
            </w:pPr>
            <w:r>
              <w:rPr>
                <w:rFonts w:ascii="Calibri" w:cs="Calibri" w:eastAsia="Calibri" w:hAnsi="Calibri"/>
                <w:sz w:val="10"/>
                <w:szCs w:val="10"/>
                <w:color w:val="auto"/>
                <w:w w:val="94"/>
              </w:rPr>
              <w:t>(1,501,620)</w:t>
            </w:r>
          </w:p>
        </w:tc>
        <w:tc>
          <w:tcPr>
            <w:tcW w:w="11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0"/>
                <w:szCs w:val="10"/>
                <w:color w:val="auto"/>
                <w:w w:val="97"/>
              </w:rPr>
              <w:t>(908,022)</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2"/>
              </w:rPr>
              <w:t>-39.5%</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Recoveries of writen-of loans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64,914</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84,839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rPr>
              <w:t>81,258</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5"/>
              </w:rPr>
              <w:t>-4.2%</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25.2%</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7"/>
              </w:rPr>
              <w:t>120,234</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7"/>
              </w:rPr>
              <w:t>166,097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38.1%</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b w:val="1"/>
                <w:bCs w:val="1"/>
                <w:color w:val="auto"/>
              </w:rPr>
              <w:t>Provision for credit losses on loan portolio, net of recoveries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6"/>
              </w:rPr>
              <w:t>(779,322)</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6"/>
              </w:rPr>
              <w:t>(382,163)</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1"/>
              </w:rPr>
              <w:t>(359,762)</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4"/>
              </w:rPr>
              <w:t>-5.9%</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9"/>
              </w:rPr>
              <w:t>-53.8%</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b w:val="1"/>
                <w:bCs w:val="1"/>
                <w:color w:val="auto"/>
                <w:w w:val="93"/>
              </w:rPr>
              <w:t>(1,381,386)</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b w:val="1"/>
                <w:bCs w:val="1"/>
                <w:color w:val="auto"/>
                <w:w w:val="96"/>
              </w:rPr>
              <w:t>(741,925)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1"/>
              </w:rPr>
              <w:t>-46.3%</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w w:val="95"/>
              </w:rPr>
              <w:t>Net interest, similar income and expenses, afer provision for credit losses on loan portolio</w:t>
            </w:r>
          </w:p>
        </w:tc>
        <w:tc>
          <w:tcPr>
            <w:tcW w:w="920" w:type="dxa"/>
            <w:vAlign w:val="bottom"/>
          </w:tcPr>
          <w:p>
            <w:pPr>
              <w:jc w:val="center"/>
              <w:spacing w:after="0"/>
              <w:rPr>
                <w:sz w:val="20"/>
                <w:szCs w:val="20"/>
                <w:color w:val="auto"/>
              </w:rPr>
            </w:pPr>
            <w:r>
              <w:rPr>
                <w:rFonts w:ascii="Calibri" w:cs="Calibri" w:eastAsia="Calibri" w:hAnsi="Calibri"/>
                <w:sz w:val="10"/>
                <w:szCs w:val="10"/>
                <w:b w:val="1"/>
                <w:bCs w:val="1"/>
                <w:color w:val="auto"/>
                <w:w w:val="93"/>
              </w:rPr>
              <w:t>1,882,461</w:t>
            </w:r>
          </w:p>
        </w:tc>
        <w:tc>
          <w:tcPr>
            <w:tcW w:w="940" w:type="dxa"/>
            <w:vAlign w:val="bottom"/>
          </w:tcPr>
          <w:p>
            <w:pPr>
              <w:jc w:val="center"/>
              <w:spacing w:after="0"/>
              <w:rPr>
                <w:sz w:val="20"/>
                <w:szCs w:val="20"/>
                <w:color w:val="auto"/>
              </w:rPr>
            </w:pPr>
            <w:r>
              <w:rPr>
                <w:rFonts w:ascii="Calibri" w:cs="Calibri" w:eastAsia="Calibri" w:hAnsi="Calibri"/>
                <w:sz w:val="10"/>
                <w:szCs w:val="10"/>
                <w:b w:val="1"/>
                <w:bCs w:val="1"/>
                <w:color w:val="auto"/>
                <w:w w:val="93"/>
              </w:rPr>
              <w:t>2,322,373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2,391,712</w:t>
            </w:r>
          </w:p>
        </w:tc>
        <w:tc>
          <w:tcPr>
            <w:tcW w:w="1180" w:type="dxa"/>
            <w:vAlign w:val="bottom"/>
          </w:tcPr>
          <w:p>
            <w:pPr>
              <w:jc w:val="center"/>
              <w:ind w:right="232"/>
              <w:spacing w:after="0"/>
              <w:rPr>
                <w:sz w:val="20"/>
                <w:szCs w:val="20"/>
                <w:color w:val="auto"/>
              </w:rPr>
            </w:pPr>
            <w:r>
              <w:rPr>
                <w:rFonts w:ascii="Calibri" w:cs="Calibri" w:eastAsia="Calibri" w:hAnsi="Calibri"/>
                <w:sz w:val="10"/>
                <w:szCs w:val="10"/>
                <w:b w:val="1"/>
                <w:bCs w:val="1"/>
                <w:color w:val="auto"/>
                <w:w w:val="89"/>
              </w:rPr>
              <w:t>3.0%</w:t>
            </w:r>
          </w:p>
        </w:tc>
        <w:tc>
          <w:tcPr>
            <w:tcW w:w="68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0"/>
                <w:szCs w:val="10"/>
                <w:b w:val="1"/>
                <w:bCs w:val="1"/>
                <w:color w:val="auto"/>
                <w:w w:val="95"/>
              </w:rPr>
              <w:t>27.1%</w:t>
            </w:r>
          </w:p>
        </w:tc>
        <w:tc>
          <w:tcPr>
            <w:tcW w:w="780" w:type="dxa"/>
            <w:vAlign w:val="bottom"/>
          </w:tcPr>
          <w:p>
            <w:pPr>
              <w:jc w:val="center"/>
              <w:ind w:left="132"/>
              <w:spacing w:after="0"/>
              <w:rPr>
                <w:sz w:val="20"/>
                <w:szCs w:val="20"/>
                <w:color w:val="auto"/>
              </w:rPr>
            </w:pPr>
            <w:r>
              <w:rPr>
                <w:rFonts w:ascii="Calibri" w:cs="Calibri" w:eastAsia="Calibri" w:hAnsi="Calibri"/>
                <w:sz w:val="10"/>
                <w:szCs w:val="10"/>
                <w:b w:val="1"/>
                <w:bCs w:val="1"/>
                <w:color w:val="auto"/>
                <w:w w:val="98"/>
              </w:rPr>
              <w:t>3,891,405</w:t>
            </w:r>
          </w:p>
        </w:tc>
        <w:tc>
          <w:tcPr>
            <w:tcW w:w="11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0"/>
                <w:szCs w:val="10"/>
                <w:b w:val="1"/>
                <w:bCs w:val="1"/>
                <w:color w:val="auto"/>
                <w:w w:val="93"/>
              </w:rPr>
              <w:t>4,714,085</w:t>
            </w:r>
          </w:p>
        </w:tc>
        <w:tc>
          <w:tcPr>
            <w:tcW w:w="980" w:type="dxa"/>
            <w:vAlign w:val="bottom"/>
            <w:tcBorders>
              <w:right w:val="single" w:sz="8" w:color="auto"/>
            </w:tcBorders>
          </w:tcPr>
          <w:p>
            <w:pPr>
              <w:jc w:val="center"/>
              <w:ind w:right="12"/>
              <w:spacing w:after="0"/>
              <w:rPr>
                <w:sz w:val="20"/>
                <w:szCs w:val="20"/>
                <w:color w:val="auto"/>
              </w:rPr>
            </w:pPr>
            <w:r>
              <w:rPr>
                <w:rFonts w:ascii="Calibri" w:cs="Calibri" w:eastAsia="Calibri" w:hAnsi="Calibri"/>
                <w:sz w:val="10"/>
                <w:szCs w:val="10"/>
                <w:b w:val="1"/>
                <w:bCs w:val="1"/>
                <w:color w:val="auto"/>
                <w:w w:val="95"/>
              </w:rPr>
              <w:t>21.1%</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Other income</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117"/>
        </w:trPr>
        <w:tc>
          <w:tcPr>
            <w:tcW w:w="3640" w:type="dxa"/>
            <w:vAlign w:val="bottom"/>
            <w:tcBorders>
              <w:left w:val="single" w:sz="8" w:color="auto"/>
              <w:right w:val="single" w:sz="8" w:color="auto"/>
            </w:tcBorders>
          </w:tcPr>
          <w:p>
            <w:pPr>
              <w:ind w:left="40"/>
              <w:spacing w:after="0" w:line="117" w:lineRule="exact"/>
              <w:rPr>
                <w:sz w:val="20"/>
                <w:szCs w:val="20"/>
                <w:color w:val="auto"/>
              </w:rPr>
            </w:pPr>
            <w:r>
              <w:rPr>
                <w:rFonts w:ascii="Calibri" w:cs="Calibri" w:eastAsia="Calibri" w:hAnsi="Calibri"/>
                <w:sz w:val="10"/>
                <w:szCs w:val="10"/>
                <w:color w:val="auto"/>
              </w:rPr>
              <w:t>Fee income</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742,354</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0"/>
              </w:rPr>
              <w:t>831,427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7"/>
              </w:rPr>
              <w:t>853,720</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0"/>
              </w:rPr>
              <w:t>2.7%</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15.0%</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8"/>
              </w:rPr>
              <w:t>1,446,982</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3"/>
              </w:rPr>
              <w:t>1,685,147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16.5%</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Net gain on foreign exchange transactons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289,381</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0"/>
              </w:rPr>
              <w:t>303,693</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7"/>
              </w:rPr>
              <w:t>347,077</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color w:val="auto"/>
                <w:w w:val="96"/>
              </w:rPr>
              <w:t>14.3%</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19.9%</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7"/>
              </w:rPr>
              <w:t>548,440</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7"/>
              </w:rPr>
              <w:t>650,770</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18.7%</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Net gain on securites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66,080</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0"/>
              </w:rPr>
              <w:t>100,397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7"/>
              </w:rPr>
              <w:t>215,491</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rPr>
              <w:t>114.6%</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3"/>
              </w:rPr>
              <w:t>226.1%</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7"/>
              </w:rPr>
              <w:t>144,061</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7"/>
              </w:rPr>
              <w:t>315,888</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rPr>
              <w:t>119.3%</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Net gain (loss) from associates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6"/>
              </w:rPr>
              <w:t>2,647</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6"/>
              </w:rPr>
              <w:t>1,509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6"/>
              </w:rPr>
              <w:t>1,352</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2"/>
              </w:rPr>
              <w:t>-10.4%</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rPr>
              <w:t>-48.9%</w:t>
            </w:r>
          </w:p>
        </w:tc>
        <w:tc>
          <w:tcPr>
            <w:tcW w:w="780" w:type="dxa"/>
            <w:vAlign w:val="bottom"/>
          </w:tcPr>
          <w:p>
            <w:pPr>
              <w:jc w:val="center"/>
              <w:ind w:left="112"/>
              <w:spacing w:after="0" w:line="117" w:lineRule="exact"/>
              <w:rPr>
                <w:sz w:val="20"/>
                <w:szCs w:val="20"/>
                <w:color w:val="auto"/>
              </w:rPr>
            </w:pPr>
            <w:r>
              <w:rPr>
                <w:rFonts w:ascii="Calibri" w:cs="Calibri" w:eastAsia="Calibri" w:hAnsi="Calibri"/>
                <w:sz w:val="10"/>
                <w:szCs w:val="10"/>
                <w:color w:val="auto"/>
                <w:w w:val="96"/>
              </w:rPr>
              <w:t>2,112</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6"/>
              </w:rPr>
              <w:t>2,861</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35.5%</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Net gain on derivatves held for trading</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17,151</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13,752</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rPr>
              <w:t>35,945</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rPr>
              <w:t>161.4%</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3"/>
              </w:rPr>
              <w:t>109.6%</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rPr>
              <w:t>35,877</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3"/>
              </w:rPr>
              <w:t>49,697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38.5%</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Net loss (gain) from exchange diferences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6"/>
              </w:rPr>
              <w:t>6,109</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6"/>
              </w:rPr>
              <w:t>1,549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6"/>
              </w:rPr>
              <w:t>1,622</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0"/>
              </w:rPr>
              <w:t>4.7%</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rPr>
              <w:t>-73.4%</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rPr>
              <w:t>15,096</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6"/>
              </w:rPr>
              <w:t>3,171</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-79.0%</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b w:val="1"/>
                <w:bCs w:val="1"/>
                <w:color w:val="auto"/>
              </w:rPr>
              <w:t>Others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72,302</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23,180</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rPr>
              <w:t>27,968</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color w:val="auto"/>
                <w:w w:val="96"/>
              </w:rPr>
              <w:t>20.7%</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rPr>
              <w:t>-61.3%</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b w:val="1"/>
                <w:bCs w:val="1"/>
                <w:color w:val="auto"/>
                <w:w w:val="96"/>
              </w:rPr>
              <w:t>117,289</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b w:val="1"/>
                <w:bCs w:val="1"/>
                <w:color w:val="auto"/>
                <w:w w:val="92"/>
              </w:rPr>
              <w:t>51,148</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1"/>
              </w:rPr>
              <w:t>-56.4%</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b w:val="1"/>
                <w:bCs w:val="1"/>
                <w:color w:val="auto"/>
              </w:rPr>
              <w:t>Total other income</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3"/>
              </w:rPr>
              <w:t>1,196,024</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3"/>
              </w:rPr>
              <w:t>1,275,507</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8"/>
              </w:rPr>
              <w:t>1,483,175</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b w:val="1"/>
                <w:bCs w:val="1"/>
                <w:color w:val="auto"/>
                <w:w w:val="95"/>
              </w:rPr>
              <w:t>16.3%</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5"/>
              </w:rPr>
              <w:t>24.0%</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8"/>
              </w:rPr>
              <w:t>2,309,857</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3"/>
              </w:rPr>
              <w:t>2,758,682</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19.4%</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expenses</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Salaries and employee benefts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(623,526)</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(745,935)</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(721,895)</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5"/>
              </w:rPr>
              <w:t>-3.2%</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15.8%</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4"/>
              </w:rPr>
              <w:t>(1,212,270)</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4"/>
              </w:rPr>
              <w:t>(1,467,830)</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21.1%</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Administratve expenses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(637,878)</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(562,439)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(655,997)</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color w:val="auto"/>
                <w:w w:val="96"/>
              </w:rPr>
              <w:t>16.6%</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rPr>
              <w:t>2.8%</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4"/>
              </w:rPr>
              <w:t>(1,193,067)</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4"/>
              </w:rPr>
              <w:t>(1,218,436)</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0"/>
              </w:rPr>
              <w:t>2.1%</w:t>
            </w:r>
          </w:p>
        </w:tc>
      </w:tr>
      <w:tr>
        <w:trPr>
          <w:trHeight w:val="123"/>
        </w:trPr>
        <w:tc>
          <w:tcPr>
            <w:tcW w:w="3640" w:type="dxa"/>
            <w:vAlign w:val="bottom"/>
            <w:tcBorders>
              <w:left w:val="single" w:sz="8" w:color="auto"/>
              <w:right w:val="single" w:sz="8" w:color="auto"/>
            </w:tcBorders>
          </w:tcPr>
          <w:p>
            <w:pPr>
              <w:ind w:left="20"/>
              <w:spacing w:after="0" w:line="123" w:lineRule="exact"/>
              <w:rPr>
                <w:sz w:val="20"/>
                <w:szCs w:val="20"/>
                <w:color w:val="auto"/>
              </w:rPr>
            </w:pPr>
            <w:r>
              <w:rPr>
                <w:rFonts w:ascii="Calibri" w:cs="Calibri" w:eastAsia="Calibri" w:hAnsi="Calibri"/>
                <w:sz w:val="8"/>
                <w:szCs w:val="8"/>
                <w:color w:val="auto"/>
              </w:rPr>
              <w:t xml:space="preserve">Depreciaton and amortzaton </w:t>
            </w:r>
            <w:r>
              <w:rPr>
                <w:rFonts w:ascii="Calibri" w:cs="Calibri" w:eastAsia="Calibri" w:hAnsi="Calibri"/>
                <w:sz w:val="13"/>
                <w:szCs w:val="13"/>
                <w:color w:val="auto"/>
                <w:vertAlign w:val="superscript"/>
              </w:rPr>
              <w:t>(2)</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(117,218)</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(145,142)</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(152,670)</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0"/>
              </w:rPr>
              <w:t>5.2%</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30.2%</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2"/>
              </w:rPr>
              <w:t>(236,243)</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7"/>
              </w:rPr>
              <w:t>(297,812)</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26.1%</w:t>
            </w:r>
          </w:p>
        </w:tc>
      </w:tr>
      <w:tr>
        <w:trPr>
          <w:trHeight w:val="112"/>
        </w:trPr>
        <w:tc>
          <w:tcPr>
            <w:tcW w:w="3640" w:type="dxa"/>
            <w:vAlign w:val="bottom"/>
            <w:tcBorders>
              <w:left w:val="single" w:sz="8" w:color="auto"/>
              <w:right w:val="single" w:sz="8" w:color="auto"/>
            </w:tcBorders>
          </w:tcPr>
          <w:p>
            <w:pPr>
              <w:ind w:left="20"/>
              <w:spacing w:after="0" w:line="112" w:lineRule="exact"/>
              <w:rPr>
                <w:sz w:val="20"/>
                <w:szCs w:val="20"/>
                <w:color w:val="auto"/>
              </w:rPr>
            </w:pPr>
            <w:r>
              <w:rPr>
                <w:rFonts w:ascii="Calibri" w:cs="Calibri" w:eastAsia="Calibri" w:hAnsi="Calibri"/>
                <w:sz w:val="10"/>
                <w:szCs w:val="10"/>
                <w:color w:val="auto"/>
              </w:rPr>
              <w:t>Other expenses</w:t>
            </w:r>
          </w:p>
        </w:tc>
        <w:tc>
          <w:tcPr>
            <w:tcW w:w="920" w:type="dxa"/>
            <w:vAlign w:val="bottom"/>
          </w:tcPr>
          <w:p>
            <w:pPr>
              <w:jc w:val="center"/>
              <w:spacing w:after="0" w:line="112" w:lineRule="exact"/>
              <w:rPr>
                <w:sz w:val="20"/>
                <w:szCs w:val="20"/>
                <w:color w:val="auto"/>
              </w:rPr>
            </w:pPr>
            <w:r>
              <w:rPr>
                <w:rFonts w:ascii="Calibri" w:cs="Calibri" w:eastAsia="Calibri" w:hAnsi="Calibri"/>
                <w:sz w:val="10"/>
                <w:szCs w:val="10"/>
                <w:color w:val="auto"/>
                <w:w w:val="94"/>
              </w:rPr>
              <w:t>(57,643)</w:t>
            </w:r>
          </w:p>
        </w:tc>
        <w:tc>
          <w:tcPr>
            <w:tcW w:w="940" w:type="dxa"/>
            <w:vAlign w:val="bottom"/>
          </w:tcPr>
          <w:p>
            <w:pPr>
              <w:jc w:val="center"/>
              <w:spacing w:after="0" w:line="112" w:lineRule="exact"/>
              <w:rPr>
                <w:sz w:val="20"/>
                <w:szCs w:val="20"/>
                <w:color w:val="auto"/>
              </w:rPr>
            </w:pPr>
            <w:r>
              <w:rPr>
                <w:rFonts w:ascii="Calibri" w:cs="Calibri" w:eastAsia="Calibri" w:hAnsi="Calibri"/>
                <w:sz w:val="10"/>
                <w:szCs w:val="10"/>
                <w:color w:val="auto"/>
                <w:w w:val="94"/>
              </w:rPr>
              <w:t>(48,353)</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color w:val="auto"/>
                <w:w w:val="94"/>
              </w:rPr>
              <w:t>(51,591)</w:t>
            </w:r>
          </w:p>
        </w:tc>
        <w:tc>
          <w:tcPr>
            <w:tcW w:w="1180" w:type="dxa"/>
            <w:vAlign w:val="bottom"/>
          </w:tcPr>
          <w:p>
            <w:pPr>
              <w:jc w:val="center"/>
              <w:ind w:right="232"/>
              <w:spacing w:after="0" w:line="112" w:lineRule="exact"/>
              <w:rPr>
                <w:sz w:val="20"/>
                <w:szCs w:val="20"/>
                <w:color w:val="auto"/>
              </w:rPr>
            </w:pPr>
            <w:r>
              <w:rPr>
                <w:rFonts w:ascii="Calibri" w:cs="Calibri" w:eastAsia="Calibri" w:hAnsi="Calibri"/>
                <w:sz w:val="10"/>
                <w:szCs w:val="10"/>
                <w:color w:val="auto"/>
                <w:w w:val="90"/>
              </w:rPr>
              <w:t>6.7%</w:t>
            </w:r>
          </w:p>
        </w:tc>
        <w:tc>
          <w:tcPr>
            <w:tcW w:w="680" w:type="dxa"/>
            <w:vAlign w:val="bottom"/>
            <w:tcBorders>
              <w:right w:val="single" w:sz="8" w:color="auto"/>
            </w:tcBorders>
          </w:tcPr>
          <w:p>
            <w:pPr>
              <w:jc w:val="center"/>
              <w:ind w:right="232"/>
              <w:spacing w:after="0" w:line="112" w:lineRule="exact"/>
              <w:rPr>
                <w:sz w:val="20"/>
                <w:szCs w:val="20"/>
                <w:color w:val="auto"/>
              </w:rPr>
            </w:pPr>
            <w:r>
              <w:rPr>
                <w:rFonts w:ascii="Calibri" w:cs="Calibri" w:eastAsia="Calibri" w:hAnsi="Calibri"/>
                <w:sz w:val="10"/>
                <w:szCs w:val="10"/>
                <w:color w:val="auto"/>
              </w:rPr>
              <w:t>-10.5%</w:t>
            </w:r>
          </w:p>
        </w:tc>
        <w:tc>
          <w:tcPr>
            <w:tcW w:w="780" w:type="dxa"/>
            <w:vAlign w:val="bottom"/>
          </w:tcPr>
          <w:p>
            <w:pPr>
              <w:jc w:val="center"/>
              <w:ind w:left="132"/>
              <w:spacing w:after="0" w:line="112" w:lineRule="exact"/>
              <w:rPr>
                <w:sz w:val="20"/>
                <w:szCs w:val="20"/>
                <w:color w:val="auto"/>
              </w:rPr>
            </w:pPr>
            <w:r>
              <w:rPr>
                <w:rFonts w:ascii="Calibri" w:cs="Calibri" w:eastAsia="Calibri" w:hAnsi="Calibri"/>
                <w:sz w:val="10"/>
                <w:szCs w:val="10"/>
                <w:b w:val="1"/>
                <w:bCs w:val="1"/>
                <w:color w:val="auto"/>
                <w:w w:val="91"/>
              </w:rPr>
              <w:t>(103,597)</w:t>
            </w:r>
          </w:p>
        </w:tc>
        <w:tc>
          <w:tcPr>
            <w:tcW w:w="1160" w:type="dxa"/>
            <w:vAlign w:val="bottom"/>
            <w:tcBorders>
              <w:right w:val="single" w:sz="8" w:color="auto"/>
            </w:tcBorders>
          </w:tcPr>
          <w:p>
            <w:pPr>
              <w:jc w:val="center"/>
              <w:ind w:left="112"/>
              <w:spacing w:after="0" w:line="112" w:lineRule="exact"/>
              <w:rPr>
                <w:sz w:val="20"/>
                <w:szCs w:val="20"/>
                <w:color w:val="auto"/>
              </w:rPr>
            </w:pPr>
            <w:r>
              <w:rPr>
                <w:rFonts w:ascii="Calibri" w:cs="Calibri" w:eastAsia="Calibri" w:hAnsi="Calibri"/>
                <w:sz w:val="10"/>
                <w:szCs w:val="10"/>
                <w:b w:val="1"/>
                <w:bCs w:val="1"/>
                <w:color w:val="auto"/>
                <w:w w:val="93"/>
              </w:rPr>
              <w:t>(99,944)</w:t>
            </w:r>
          </w:p>
        </w:tc>
        <w:tc>
          <w:tcPr>
            <w:tcW w:w="980" w:type="dxa"/>
            <w:vAlign w:val="bottom"/>
            <w:tcBorders>
              <w:right w:val="single" w:sz="8" w:color="auto"/>
            </w:tcBorders>
          </w:tcPr>
          <w:p>
            <w:pPr>
              <w:jc w:val="center"/>
              <w:spacing w:after="0" w:line="112" w:lineRule="exact"/>
              <w:rPr>
                <w:sz w:val="20"/>
                <w:szCs w:val="20"/>
                <w:color w:val="auto"/>
              </w:rPr>
            </w:pPr>
            <w:r>
              <w:rPr>
                <w:rFonts w:ascii="Calibri" w:cs="Calibri" w:eastAsia="Calibri" w:hAnsi="Calibri"/>
                <w:sz w:val="10"/>
                <w:szCs w:val="10"/>
                <w:b w:val="1"/>
                <w:bCs w:val="1"/>
                <w:color w:val="auto"/>
                <w:w w:val="94"/>
              </w:rPr>
              <w:t>-3.5%</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b w:val="1"/>
                <w:bCs w:val="1"/>
                <w:color w:val="auto"/>
              </w:rPr>
              <w:t>Total expenses</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3"/>
              </w:rPr>
              <w:t>(1,436,265)</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b w:val="1"/>
                <w:bCs w:val="1"/>
                <w:color w:val="auto"/>
                <w:w w:val="97"/>
              </w:rPr>
              <w:t>(1,501,869)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3"/>
              </w:rPr>
              <w:t>(1,582,153)</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89"/>
              </w:rPr>
              <w:t>5.3%</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5"/>
              </w:rPr>
              <w:t>10.2%</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b w:val="1"/>
                <w:bCs w:val="1"/>
                <w:color w:val="auto"/>
                <w:w w:val="93"/>
              </w:rPr>
              <w:t>(2,745,177)</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b w:val="1"/>
                <w:bCs w:val="1"/>
                <w:color w:val="auto"/>
                <w:w w:val="93"/>
              </w:rPr>
              <w:t>(3,084,022)</w:t>
            </w:r>
          </w:p>
        </w:tc>
        <w:tc>
          <w:tcPr>
            <w:tcW w:w="980" w:type="dxa"/>
            <w:vAlign w:val="bottom"/>
            <w:tcBorders>
              <w:right w:val="single" w:sz="8" w:color="auto"/>
            </w:tcBorders>
          </w:tcPr>
          <w:p>
            <w:pPr>
              <w:jc w:val="center"/>
              <w:ind w:right="12"/>
              <w:spacing w:after="0" w:line="117" w:lineRule="exact"/>
              <w:rPr>
                <w:sz w:val="20"/>
                <w:szCs w:val="20"/>
                <w:color w:val="auto"/>
              </w:rPr>
            </w:pPr>
            <w:r>
              <w:rPr>
                <w:rFonts w:ascii="Calibri" w:cs="Calibri" w:eastAsia="Calibri" w:hAnsi="Calibri"/>
                <w:sz w:val="10"/>
                <w:szCs w:val="10"/>
                <w:b w:val="1"/>
                <w:bCs w:val="1"/>
                <w:color w:val="auto"/>
                <w:w w:val="95"/>
              </w:rPr>
              <w:t>12.3%</w:t>
            </w:r>
          </w:p>
        </w:tc>
      </w:tr>
      <w:tr>
        <w:trPr>
          <w:trHeight w:val="234"/>
        </w:trPr>
        <w:tc>
          <w:tcPr>
            <w:tcW w:w="36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Proft before income tax</w:t>
            </w:r>
          </w:p>
        </w:tc>
        <w:tc>
          <w:tcPr>
            <w:tcW w:w="920" w:type="dxa"/>
            <w:vAlign w:val="bottom"/>
          </w:tcPr>
          <w:p>
            <w:pPr>
              <w:jc w:val="center"/>
              <w:spacing w:after="0"/>
              <w:rPr>
                <w:sz w:val="20"/>
                <w:szCs w:val="20"/>
                <w:color w:val="auto"/>
              </w:rPr>
            </w:pPr>
            <w:r>
              <w:rPr>
                <w:rFonts w:ascii="Calibri" w:cs="Calibri" w:eastAsia="Calibri" w:hAnsi="Calibri"/>
                <w:sz w:val="10"/>
                <w:szCs w:val="10"/>
                <w:b w:val="1"/>
                <w:bCs w:val="1"/>
                <w:color w:val="auto"/>
                <w:w w:val="93"/>
              </w:rPr>
              <w:t>1,642,220</w:t>
            </w:r>
          </w:p>
        </w:tc>
        <w:tc>
          <w:tcPr>
            <w:tcW w:w="940" w:type="dxa"/>
            <w:vAlign w:val="bottom"/>
          </w:tcPr>
          <w:p>
            <w:pPr>
              <w:jc w:val="center"/>
              <w:spacing w:after="0"/>
              <w:rPr>
                <w:sz w:val="20"/>
                <w:szCs w:val="20"/>
                <w:color w:val="auto"/>
              </w:rPr>
            </w:pPr>
            <w:r>
              <w:rPr>
                <w:rFonts w:ascii="Calibri" w:cs="Calibri" w:eastAsia="Calibri" w:hAnsi="Calibri"/>
                <w:sz w:val="10"/>
                <w:szCs w:val="10"/>
                <w:b w:val="1"/>
                <w:bCs w:val="1"/>
                <w:color w:val="auto"/>
                <w:w w:val="93"/>
              </w:rPr>
              <w:t>2,096,011</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2,292,734</w:t>
            </w:r>
          </w:p>
        </w:tc>
        <w:tc>
          <w:tcPr>
            <w:tcW w:w="1180" w:type="dxa"/>
            <w:vAlign w:val="bottom"/>
          </w:tcPr>
          <w:p>
            <w:pPr>
              <w:jc w:val="center"/>
              <w:ind w:right="232"/>
              <w:spacing w:after="0"/>
              <w:rPr>
                <w:sz w:val="20"/>
                <w:szCs w:val="20"/>
                <w:color w:val="auto"/>
              </w:rPr>
            </w:pPr>
            <w:r>
              <w:rPr>
                <w:rFonts w:ascii="Calibri" w:cs="Calibri" w:eastAsia="Calibri" w:hAnsi="Calibri"/>
                <w:sz w:val="10"/>
                <w:szCs w:val="10"/>
                <w:b w:val="1"/>
                <w:bCs w:val="1"/>
                <w:color w:val="auto"/>
                <w:w w:val="89"/>
              </w:rPr>
              <w:t>9.4%</w:t>
            </w:r>
          </w:p>
        </w:tc>
        <w:tc>
          <w:tcPr>
            <w:tcW w:w="68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0"/>
                <w:szCs w:val="10"/>
                <w:b w:val="1"/>
                <w:bCs w:val="1"/>
                <w:color w:val="auto"/>
                <w:w w:val="95"/>
              </w:rPr>
              <w:t>39.6%</w:t>
            </w:r>
          </w:p>
        </w:tc>
        <w:tc>
          <w:tcPr>
            <w:tcW w:w="780" w:type="dxa"/>
            <w:vAlign w:val="bottom"/>
          </w:tcPr>
          <w:p>
            <w:pPr>
              <w:jc w:val="center"/>
              <w:ind w:left="132"/>
              <w:spacing w:after="0"/>
              <w:rPr>
                <w:sz w:val="20"/>
                <w:szCs w:val="20"/>
                <w:color w:val="auto"/>
              </w:rPr>
            </w:pPr>
            <w:r>
              <w:rPr>
                <w:rFonts w:ascii="Calibri" w:cs="Calibri" w:eastAsia="Calibri" w:hAnsi="Calibri"/>
                <w:sz w:val="10"/>
                <w:szCs w:val="10"/>
                <w:color w:val="auto"/>
                <w:w w:val="98"/>
              </w:rPr>
              <w:t>3,456,085</w:t>
            </w:r>
          </w:p>
        </w:tc>
        <w:tc>
          <w:tcPr>
            <w:tcW w:w="11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0"/>
                <w:szCs w:val="10"/>
                <w:color w:val="auto"/>
                <w:w w:val="93"/>
              </w:rPr>
              <w:t>4,388,745</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88"/>
              </w:rPr>
              <w:t>27.0%</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color w:val="auto"/>
              </w:rPr>
              <w:t>Income tax</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(397,170)</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7"/>
              </w:rPr>
              <w:t>(517,741)</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2"/>
              </w:rPr>
              <w:t>(542,848)</w:t>
            </w:r>
          </w:p>
        </w:tc>
        <w:tc>
          <w:tcPr>
            <w:tcW w:w="1180" w:type="dxa"/>
            <w:vAlign w:val="bottom"/>
          </w:tcPr>
          <w:p>
            <w:pPr>
              <w:jc w:val="center"/>
              <w:ind w:right="232"/>
              <w:spacing w:after="0" w:line="117" w:lineRule="exact"/>
              <w:rPr>
                <w:sz w:val="20"/>
                <w:szCs w:val="20"/>
                <w:color w:val="auto"/>
              </w:rPr>
            </w:pPr>
            <w:r>
              <w:rPr>
                <w:rFonts w:ascii="Calibri" w:cs="Calibri" w:eastAsia="Calibri" w:hAnsi="Calibri"/>
                <w:sz w:val="10"/>
                <w:szCs w:val="10"/>
                <w:color w:val="auto"/>
                <w:w w:val="90"/>
              </w:rPr>
              <w:t>4.8%</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36.7%</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2"/>
              </w:rPr>
              <w:t>(828,840)</w:t>
            </w:r>
          </w:p>
        </w:tc>
        <w:tc>
          <w:tcPr>
            <w:tcW w:w="1160" w:type="dxa"/>
            <w:vAlign w:val="bottom"/>
            <w:tcBorders>
              <w:right w:val="single" w:sz="8" w:color="auto"/>
            </w:tcBorders>
          </w:tcPr>
          <w:p>
            <w:pPr>
              <w:jc w:val="center"/>
              <w:ind w:left="112"/>
              <w:spacing w:after="0" w:line="117" w:lineRule="exact"/>
              <w:rPr>
                <w:sz w:val="20"/>
                <w:szCs w:val="20"/>
                <w:color w:val="auto"/>
              </w:rPr>
            </w:pPr>
            <w:r>
              <w:rPr>
                <w:rFonts w:ascii="Calibri" w:cs="Calibri" w:eastAsia="Calibri" w:hAnsi="Calibri"/>
                <w:sz w:val="10"/>
                <w:szCs w:val="10"/>
                <w:color w:val="auto"/>
                <w:w w:val="94"/>
              </w:rPr>
              <w:t>(1,060,589)</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28.0%</w:t>
            </w:r>
          </w:p>
        </w:tc>
      </w:tr>
      <w:tr>
        <w:trPr>
          <w:trHeight w:val="117"/>
        </w:trPr>
        <w:tc>
          <w:tcPr>
            <w:tcW w:w="364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b w:val="1"/>
                <w:bCs w:val="1"/>
                <w:color w:val="auto"/>
              </w:rPr>
              <w:t>Net proft</w:t>
            </w:r>
          </w:p>
        </w:tc>
        <w:tc>
          <w:tcPr>
            <w:tcW w:w="92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1,245,050</w:t>
            </w:r>
          </w:p>
        </w:tc>
        <w:tc>
          <w:tcPr>
            <w:tcW w:w="940" w:type="dxa"/>
            <w:vAlign w:val="bottom"/>
          </w:tcPr>
          <w:p>
            <w:pPr>
              <w:jc w:val="center"/>
              <w:spacing w:after="0" w:line="117" w:lineRule="exact"/>
              <w:rPr>
                <w:sz w:val="20"/>
                <w:szCs w:val="20"/>
                <w:color w:val="auto"/>
              </w:rPr>
            </w:pPr>
            <w:r>
              <w:rPr>
                <w:rFonts w:ascii="Calibri" w:cs="Calibri" w:eastAsia="Calibri" w:hAnsi="Calibri"/>
                <w:sz w:val="10"/>
                <w:szCs w:val="10"/>
                <w:color w:val="auto"/>
                <w:w w:val="93"/>
              </w:rPr>
              <w:t>1,578,270</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98"/>
              </w:rPr>
              <w:t>1,749,886</w:t>
            </w:r>
          </w:p>
        </w:tc>
        <w:tc>
          <w:tcPr>
            <w:tcW w:w="1180" w:type="dxa"/>
            <w:vAlign w:val="bottom"/>
          </w:tcPr>
          <w:p>
            <w:pPr>
              <w:jc w:val="center"/>
              <w:ind w:right="212"/>
              <w:spacing w:after="0" w:line="117" w:lineRule="exact"/>
              <w:rPr>
                <w:sz w:val="20"/>
                <w:szCs w:val="20"/>
                <w:color w:val="auto"/>
              </w:rPr>
            </w:pPr>
            <w:r>
              <w:rPr>
                <w:rFonts w:ascii="Calibri" w:cs="Calibri" w:eastAsia="Calibri" w:hAnsi="Calibri"/>
                <w:sz w:val="10"/>
                <w:szCs w:val="10"/>
                <w:color w:val="auto"/>
                <w:w w:val="96"/>
              </w:rPr>
              <w:t>10.9%</w:t>
            </w:r>
          </w:p>
        </w:tc>
        <w:tc>
          <w:tcPr>
            <w:tcW w:w="680" w:type="dxa"/>
            <w:vAlign w:val="bottom"/>
            <w:tcBorders>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color w:val="auto"/>
                <w:w w:val="96"/>
              </w:rPr>
              <w:t>40.5%</w:t>
            </w:r>
          </w:p>
        </w:tc>
        <w:tc>
          <w:tcPr>
            <w:tcW w:w="780" w:type="dxa"/>
            <w:vAlign w:val="bottom"/>
          </w:tcPr>
          <w:p>
            <w:pPr>
              <w:jc w:val="center"/>
              <w:ind w:left="132"/>
              <w:spacing w:after="0" w:line="117" w:lineRule="exact"/>
              <w:rPr>
                <w:sz w:val="20"/>
                <w:szCs w:val="20"/>
                <w:color w:val="auto"/>
              </w:rPr>
            </w:pPr>
            <w:r>
              <w:rPr>
                <w:rFonts w:ascii="Calibri" w:cs="Calibri" w:eastAsia="Calibri" w:hAnsi="Calibri"/>
                <w:sz w:val="10"/>
                <w:szCs w:val="10"/>
                <w:color w:val="auto"/>
                <w:w w:val="98"/>
              </w:rPr>
              <w:t>2,627,245</w:t>
            </w:r>
          </w:p>
        </w:tc>
        <w:tc>
          <w:tcPr>
            <w:tcW w:w="1160" w:type="dxa"/>
            <w:vAlign w:val="bottom"/>
            <w:tcBorders>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color w:val="auto"/>
                <w:w w:val="93"/>
              </w:rPr>
              <w:t>3,328,156</w:t>
            </w:r>
          </w:p>
        </w:tc>
        <w:tc>
          <w:tcPr>
            <w:tcW w:w="9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0"/>
                <w:szCs w:val="10"/>
                <w:color w:val="auto"/>
                <w:w w:val="88"/>
              </w:rPr>
              <w:t>26.7%</w:t>
            </w:r>
          </w:p>
        </w:tc>
      </w:tr>
      <w:tr>
        <w:trPr>
          <w:trHeight w:val="117"/>
        </w:trPr>
        <w:tc>
          <w:tcPr>
            <w:tcW w:w="3640" w:type="dxa"/>
            <w:vAlign w:val="bottom"/>
            <w:tcBorders>
              <w:left w:val="single" w:sz="8" w:color="auto"/>
              <w:right w:val="single" w:sz="8" w:color="auto"/>
            </w:tcBorders>
          </w:tcPr>
          <w:p>
            <w:pPr>
              <w:ind w:left="180"/>
              <w:spacing w:after="0" w:line="117" w:lineRule="exact"/>
              <w:rPr>
                <w:sz w:val="20"/>
                <w:szCs w:val="20"/>
                <w:color w:val="auto"/>
              </w:rPr>
            </w:pPr>
            <w:r>
              <w:rPr>
                <w:rFonts w:ascii="Calibri" w:cs="Calibri" w:eastAsia="Calibri" w:hAnsi="Calibri"/>
                <w:sz w:val="10"/>
                <w:szCs w:val="10"/>
                <w:color w:val="auto"/>
              </w:rPr>
              <w:t>Non-controlling interest</w:t>
            </w: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r>
      <w:tr>
        <w:trPr>
          <w:trHeight w:val="127"/>
        </w:trPr>
        <w:tc>
          <w:tcPr>
            <w:tcW w:w="3640" w:type="dxa"/>
            <w:vAlign w:val="bottom"/>
            <w:tcBorders>
              <w:left w:val="single" w:sz="8" w:color="auto"/>
              <w:bottom w:val="single" w:sz="8" w:color="auto"/>
              <w:right w:val="single" w:sz="8" w:color="auto"/>
            </w:tcBorders>
          </w:tcPr>
          <w:p>
            <w:pPr>
              <w:ind w:left="20"/>
              <w:spacing w:after="0" w:line="117" w:lineRule="exact"/>
              <w:rPr>
                <w:sz w:val="20"/>
                <w:szCs w:val="20"/>
                <w:color w:val="auto"/>
              </w:rPr>
            </w:pPr>
            <w:r>
              <w:rPr>
                <w:rFonts w:ascii="Calibri" w:cs="Calibri" w:eastAsia="Calibri" w:hAnsi="Calibri"/>
                <w:sz w:val="10"/>
                <w:szCs w:val="10"/>
                <w:b w:val="1"/>
                <w:bCs w:val="1"/>
                <w:color w:val="auto"/>
              </w:rPr>
              <w:t>Net proft atributable to BCP</w:t>
            </w:r>
          </w:p>
        </w:tc>
        <w:tc>
          <w:tcPr>
            <w:tcW w:w="920" w:type="dxa"/>
            <w:vAlign w:val="bottom"/>
            <w:tcBorders>
              <w:bottom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3"/>
              </w:rPr>
              <w:t>1,245,050</w:t>
            </w:r>
          </w:p>
        </w:tc>
        <w:tc>
          <w:tcPr>
            <w:tcW w:w="940" w:type="dxa"/>
            <w:vAlign w:val="bottom"/>
            <w:tcBorders>
              <w:bottom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3"/>
              </w:rPr>
              <w:t>1,578,270</w:t>
            </w:r>
          </w:p>
        </w:tc>
        <w:tc>
          <w:tcPr>
            <w:tcW w:w="980" w:type="dxa"/>
            <w:vAlign w:val="bottom"/>
            <w:tcBorders>
              <w:bottom w:val="single" w:sz="8" w:color="auto"/>
              <w:right w:val="single" w:sz="8" w:color="auto"/>
            </w:tcBorders>
          </w:tcPr>
          <w:p>
            <w:pPr>
              <w:jc w:val="center"/>
              <w:spacing w:after="0" w:line="117" w:lineRule="exact"/>
              <w:rPr>
                <w:sz w:val="20"/>
                <w:szCs w:val="20"/>
                <w:color w:val="auto"/>
              </w:rPr>
            </w:pPr>
            <w:r>
              <w:rPr>
                <w:rFonts w:ascii="Calibri" w:cs="Calibri" w:eastAsia="Calibri" w:hAnsi="Calibri"/>
                <w:sz w:val="10"/>
                <w:szCs w:val="10"/>
                <w:b w:val="1"/>
                <w:bCs w:val="1"/>
                <w:color w:val="auto"/>
                <w:w w:val="98"/>
              </w:rPr>
              <w:t>1,749,886</w:t>
            </w:r>
          </w:p>
        </w:tc>
        <w:tc>
          <w:tcPr>
            <w:tcW w:w="1180" w:type="dxa"/>
            <w:vAlign w:val="bottom"/>
            <w:tcBorders>
              <w:bottom w:val="single" w:sz="8" w:color="auto"/>
            </w:tcBorders>
          </w:tcPr>
          <w:p>
            <w:pPr>
              <w:jc w:val="center"/>
              <w:ind w:right="212"/>
              <w:spacing w:after="0" w:line="117" w:lineRule="exact"/>
              <w:rPr>
                <w:sz w:val="20"/>
                <w:szCs w:val="20"/>
                <w:color w:val="auto"/>
              </w:rPr>
            </w:pPr>
            <w:r>
              <w:rPr>
                <w:rFonts w:ascii="Calibri" w:cs="Calibri" w:eastAsia="Calibri" w:hAnsi="Calibri"/>
                <w:sz w:val="10"/>
                <w:szCs w:val="10"/>
                <w:b w:val="1"/>
                <w:bCs w:val="1"/>
                <w:color w:val="auto"/>
                <w:w w:val="95"/>
              </w:rPr>
              <w:t>10.9%</w:t>
            </w:r>
          </w:p>
        </w:tc>
        <w:tc>
          <w:tcPr>
            <w:tcW w:w="680" w:type="dxa"/>
            <w:vAlign w:val="bottom"/>
            <w:tcBorders>
              <w:bottom w:val="single" w:sz="8" w:color="auto"/>
              <w:right w:val="single" w:sz="8" w:color="auto"/>
            </w:tcBorders>
          </w:tcPr>
          <w:p>
            <w:pPr>
              <w:jc w:val="center"/>
              <w:ind w:right="232"/>
              <w:spacing w:after="0" w:line="117" w:lineRule="exact"/>
              <w:rPr>
                <w:sz w:val="20"/>
                <w:szCs w:val="20"/>
                <w:color w:val="auto"/>
              </w:rPr>
            </w:pPr>
            <w:r>
              <w:rPr>
                <w:rFonts w:ascii="Calibri" w:cs="Calibri" w:eastAsia="Calibri" w:hAnsi="Calibri"/>
                <w:sz w:val="10"/>
                <w:szCs w:val="10"/>
                <w:b w:val="1"/>
                <w:bCs w:val="1"/>
                <w:color w:val="auto"/>
                <w:w w:val="95"/>
              </w:rPr>
              <w:t>40.5%</w:t>
            </w:r>
          </w:p>
        </w:tc>
        <w:tc>
          <w:tcPr>
            <w:tcW w:w="780" w:type="dxa"/>
            <w:vAlign w:val="bottom"/>
            <w:tcBorders>
              <w:bottom w:val="single" w:sz="8" w:color="auto"/>
            </w:tcBorders>
          </w:tcPr>
          <w:p>
            <w:pPr>
              <w:jc w:val="center"/>
              <w:ind w:left="132"/>
              <w:spacing w:after="0" w:line="117" w:lineRule="exact"/>
              <w:rPr>
                <w:sz w:val="20"/>
                <w:szCs w:val="20"/>
                <w:color w:val="auto"/>
              </w:rPr>
            </w:pPr>
            <w:r>
              <w:rPr>
                <w:rFonts w:ascii="Calibri" w:cs="Calibri" w:eastAsia="Calibri" w:hAnsi="Calibri"/>
                <w:sz w:val="10"/>
                <w:szCs w:val="10"/>
                <w:b w:val="1"/>
                <w:bCs w:val="1"/>
                <w:color w:val="auto"/>
                <w:w w:val="98"/>
              </w:rPr>
              <w:t>2,627,245</w:t>
            </w:r>
          </w:p>
        </w:tc>
        <w:tc>
          <w:tcPr>
            <w:tcW w:w="1160" w:type="dxa"/>
            <w:vAlign w:val="bottom"/>
            <w:tcBorders>
              <w:bottom w:val="single" w:sz="8" w:color="auto"/>
              <w:right w:val="single" w:sz="8" w:color="auto"/>
            </w:tcBorders>
          </w:tcPr>
          <w:p>
            <w:pPr>
              <w:jc w:val="center"/>
              <w:ind w:left="92"/>
              <w:spacing w:after="0" w:line="117" w:lineRule="exact"/>
              <w:rPr>
                <w:sz w:val="20"/>
                <w:szCs w:val="20"/>
                <w:color w:val="auto"/>
              </w:rPr>
            </w:pPr>
            <w:r>
              <w:rPr>
                <w:rFonts w:ascii="Calibri" w:cs="Calibri" w:eastAsia="Calibri" w:hAnsi="Calibri"/>
                <w:sz w:val="10"/>
                <w:szCs w:val="10"/>
                <w:b w:val="1"/>
                <w:bCs w:val="1"/>
                <w:color w:val="auto"/>
                <w:w w:val="93"/>
              </w:rPr>
              <w:t>3,328,156</w:t>
            </w:r>
          </w:p>
        </w:tc>
        <w:tc>
          <w:tcPr>
            <w:tcW w:w="980" w:type="dxa"/>
            <w:vAlign w:val="bottom"/>
            <w:tcBorders>
              <w:bottom w:val="single" w:sz="8" w:color="auto"/>
              <w:right w:val="single" w:sz="8" w:color="auto"/>
            </w:tcBorders>
          </w:tcPr>
          <w:p>
            <w:pPr>
              <w:jc w:val="center"/>
              <w:ind w:right="12"/>
              <w:spacing w:after="0" w:line="117" w:lineRule="exact"/>
              <w:rPr>
                <w:sz w:val="20"/>
                <w:szCs w:val="20"/>
                <w:color w:val="auto"/>
              </w:rPr>
            </w:pPr>
            <w:r>
              <w:rPr>
                <w:rFonts w:ascii="Calibri" w:cs="Calibri" w:eastAsia="Calibri" w:hAnsi="Calibri"/>
                <w:sz w:val="10"/>
                <w:szCs w:val="10"/>
                <w:b w:val="1"/>
                <w:bCs w:val="1"/>
                <w:color w:val="auto"/>
                <w:w w:val="95"/>
              </w:rPr>
              <w:t>26.7%</w:t>
            </w:r>
          </w:p>
        </w:tc>
      </w:tr>
    </w:tbl>
    <w:p>
      <w:pPr>
        <w:spacing w:after="0" w:line="180" w:lineRule="exact"/>
        <w:rPr>
          <w:sz w:val="20"/>
          <w:szCs w:val="20"/>
          <w:color w:val="auto"/>
        </w:rPr>
      </w:pPr>
    </w:p>
    <w:p>
      <w:pPr>
        <w:ind w:left="1100" w:hanging="159"/>
        <w:spacing w:after="0"/>
        <w:tabs>
          <w:tab w:leader="none" w:pos="1100" w:val="left"/>
        </w:tabs>
        <w:numPr>
          <w:ilvl w:val="0"/>
          <w:numId w:val="63"/>
        </w:numPr>
        <w:rPr>
          <w:rFonts w:ascii="Calibri" w:cs="Calibri" w:eastAsia="Calibri" w:hAnsi="Calibri"/>
          <w:sz w:val="11"/>
          <w:szCs w:val="11"/>
          <w:color w:val="auto"/>
        </w:rPr>
      </w:pPr>
      <w:r>
        <w:rPr>
          <w:rFonts w:ascii="Calibri" w:cs="Calibri" w:eastAsia="Calibri" w:hAnsi="Calibri"/>
          <w:sz w:val="11"/>
          <w:szCs w:val="11"/>
          <w:color w:val="auto"/>
        </w:rPr>
        <w:t>Financing expenses related to lease agreements are included according to the applicaton of IFRS 16.</w:t>
      </w:r>
    </w:p>
    <w:p>
      <w:pPr>
        <w:ind w:left="1100" w:hanging="159"/>
        <w:spacing w:after="0" w:line="232" w:lineRule="auto"/>
        <w:tabs>
          <w:tab w:leader="none" w:pos="1100" w:val="left"/>
        </w:tabs>
        <w:numPr>
          <w:ilvl w:val="0"/>
          <w:numId w:val="63"/>
        </w:numPr>
        <w:rPr>
          <w:rFonts w:ascii="Calibri" w:cs="Calibri" w:eastAsia="Calibri" w:hAnsi="Calibri"/>
          <w:sz w:val="11"/>
          <w:szCs w:val="11"/>
          <w:color w:val="auto"/>
        </w:rPr>
      </w:pPr>
      <w:r>
        <w:rPr>
          <w:rFonts w:ascii="Calibri" w:cs="Calibri" w:eastAsia="Calibri" w:hAnsi="Calibri"/>
          <w:sz w:val="11"/>
          <w:szCs w:val="11"/>
          <w:color w:val="auto"/>
        </w:rPr>
        <w:t>The efect of the applicaton of IFRS 16 is included, which corresponds to a greater depreciaton for the asset for right-of-use".</w:t>
      </w:r>
    </w:p>
    <w:p>
      <w:pPr>
        <w:spacing w:after="0" w:line="179" w:lineRule="exact"/>
        <w:rPr>
          <w:sz w:val="20"/>
          <w:szCs w:val="20"/>
          <w:color w:val="auto"/>
        </w:rPr>
      </w:pPr>
    </w:p>
    <w:p>
      <w:pPr>
        <w:jc w:val="center"/>
        <w:ind w:right="120"/>
        <w:spacing w:after="0"/>
        <w:rPr>
          <w:sz w:val="20"/>
          <w:szCs w:val="20"/>
          <w:color w:val="auto"/>
        </w:rPr>
      </w:pPr>
      <w:r>
        <w:rPr>
          <w:rFonts w:ascii="Calibri" w:cs="Calibri" w:eastAsia="Calibri" w:hAnsi="Calibri"/>
          <w:sz w:val="16"/>
          <w:szCs w:val="16"/>
          <w:b w:val="1"/>
          <w:bCs w:val="1"/>
          <w:color w:val="auto"/>
        </w:rPr>
        <w:t>Selected Financial Indicators</w:t>
      </w:r>
    </w:p>
    <w:p>
      <w:pPr>
        <w:spacing w:after="0" w:line="202" w:lineRule="exact"/>
        <w:rPr>
          <w:sz w:val="20"/>
          <w:szCs w:val="20"/>
          <w:color w:val="auto"/>
        </w:rPr>
      </w:pPr>
    </w:p>
    <w:tbl>
      <w:tblPr>
        <w:tblLayout w:type="fixed"/>
        <w:tblInd w:w="590" w:type="dxa"/>
        <w:tblCellMar>
          <w:top w:w="0" w:type="dxa"/>
          <w:left w:w="0" w:type="dxa"/>
          <w:bottom w:w="0" w:type="dxa"/>
          <w:right w:w="0" w:type="dxa"/>
        </w:tblCellMar>
      </w:tblPr>
      <w:tr>
        <w:trPr>
          <w:trHeight w:val="156"/>
        </w:trPr>
        <w:tc>
          <w:tcPr>
            <w:tcW w:w="5100" w:type="dxa"/>
            <w:vAlign w:val="bottom"/>
            <w:tcBorders>
              <w:top w:val="single" w:sz="8" w:color="auto"/>
              <w:left w:val="single" w:sz="8" w:color="auto"/>
              <w:right w:val="single" w:sz="8" w:color="auto"/>
            </w:tcBorders>
            <w:shd w:val="clear" w:color="auto" w:fill="2AD2C9"/>
          </w:tcPr>
          <w:p>
            <w:pPr>
              <w:spacing w:after="0"/>
              <w:rPr>
                <w:sz w:val="13"/>
                <w:szCs w:val="13"/>
                <w:color w:val="auto"/>
              </w:rPr>
            </w:pPr>
          </w:p>
        </w:tc>
        <w:tc>
          <w:tcPr>
            <w:tcW w:w="960" w:type="dxa"/>
            <w:vAlign w:val="bottom"/>
            <w:tcBorders>
              <w:top w:val="single" w:sz="8" w:color="auto"/>
            </w:tcBorders>
            <w:shd w:val="clear" w:color="auto" w:fill="2AD2C9"/>
          </w:tcPr>
          <w:p>
            <w:pPr>
              <w:spacing w:after="0"/>
              <w:rPr>
                <w:sz w:val="13"/>
                <w:szCs w:val="13"/>
                <w:color w:val="auto"/>
              </w:rPr>
            </w:pPr>
          </w:p>
        </w:tc>
        <w:tc>
          <w:tcPr>
            <w:tcW w:w="1020" w:type="dxa"/>
            <w:vAlign w:val="bottom"/>
            <w:tcBorders>
              <w:top w:val="single" w:sz="8" w:color="auto"/>
            </w:tcBorders>
            <w:shd w:val="clear" w:color="auto" w:fill="2AD2C9"/>
          </w:tcPr>
          <w:p>
            <w:pPr>
              <w:ind w:left="320"/>
              <w:spacing w:after="0"/>
              <w:rPr>
                <w:sz w:val="20"/>
                <w:szCs w:val="20"/>
                <w:color w:val="auto"/>
              </w:rPr>
            </w:pPr>
            <w:r>
              <w:rPr>
                <w:rFonts w:ascii="Calibri" w:cs="Calibri" w:eastAsia="Calibri" w:hAnsi="Calibri"/>
                <w:sz w:val="12"/>
                <w:szCs w:val="12"/>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3"/>
                <w:szCs w:val="13"/>
                <w:color w:val="auto"/>
              </w:rPr>
            </w:pPr>
          </w:p>
        </w:tc>
        <w:tc>
          <w:tcPr>
            <w:tcW w:w="740" w:type="dxa"/>
            <w:vAlign w:val="bottom"/>
            <w:tcBorders>
              <w:top w:val="single" w:sz="8" w:color="auto"/>
            </w:tcBorders>
            <w:shd w:val="clear" w:color="auto" w:fill="2AD2C9"/>
          </w:tcPr>
          <w:p>
            <w:pPr>
              <w:spacing w:after="0"/>
              <w:rPr>
                <w:sz w:val="13"/>
                <w:szCs w:val="13"/>
                <w:color w:val="auto"/>
              </w:rPr>
            </w:pPr>
          </w:p>
        </w:tc>
        <w:tc>
          <w:tcPr>
            <w:tcW w:w="1280" w:type="dxa"/>
            <w:vAlign w:val="bottom"/>
            <w:tcBorders>
              <w:top w:val="single" w:sz="8" w:color="auto"/>
              <w:right w:val="single" w:sz="8" w:color="auto"/>
            </w:tcBorders>
            <w:shd w:val="clear" w:color="auto" w:fill="2AD2C9"/>
          </w:tcPr>
          <w:p>
            <w:pPr>
              <w:ind w:left="60"/>
              <w:spacing w:after="0"/>
              <w:rPr>
                <w:sz w:val="20"/>
                <w:szCs w:val="20"/>
                <w:color w:val="auto"/>
              </w:rPr>
            </w:pPr>
            <w:r>
              <w:rPr>
                <w:rFonts w:ascii="Calibri" w:cs="Calibri" w:eastAsia="Calibri" w:hAnsi="Calibri"/>
                <w:sz w:val="12"/>
                <w:szCs w:val="12"/>
                <w:b w:val="1"/>
                <w:bCs w:val="1"/>
                <w:color w:val="FFFFFF"/>
              </w:rPr>
              <w:t>Change</w:t>
            </w:r>
          </w:p>
        </w:tc>
      </w:tr>
      <w:tr>
        <w:trPr>
          <w:trHeight w:val="143"/>
        </w:trPr>
        <w:tc>
          <w:tcPr>
            <w:tcW w:w="51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960" w:type="dxa"/>
            <w:vAlign w:val="bottom"/>
            <w:tcBorders>
              <w:bottom w:val="single" w:sz="8" w:color="auto"/>
            </w:tcBorders>
            <w:shd w:val="clear" w:color="auto" w:fill="2AD2C9"/>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2Q24</w:t>
            </w:r>
          </w:p>
        </w:tc>
        <w:tc>
          <w:tcPr>
            <w:tcW w:w="1020" w:type="dxa"/>
            <w:vAlign w:val="bottom"/>
            <w:tcBorders>
              <w:bottom w:val="single" w:sz="8" w:color="auto"/>
            </w:tcBorders>
            <w:shd w:val="clear" w:color="auto" w:fill="2AD2C9"/>
          </w:tcPr>
          <w:p>
            <w:pPr>
              <w:jc w:val="center"/>
              <w:spacing w:after="0" w:line="143" w:lineRule="exact"/>
              <w:rPr>
                <w:sz w:val="20"/>
                <w:szCs w:val="20"/>
                <w:color w:val="auto"/>
              </w:rPr>
            </w:pPr>
            <w:r>
              <w:rPr>
                <w:rFonts w:ascii="Calibri" w:cs="Calibri" w:eastAsia="Calibri" w:hAnsi="Calibri"/>
                <w:sz w:val="12"/>
                <w:szCs w:val="12"/>
                <w:b w:val="1"/>
                <w:bCs w:val="1"/>
                <w:color w:val="FFFFFF"/>
                <w:w w:val="97"/>
              </w:rPr>
              <w:t>1Q25</w:t>
            </w:r>
          </w:p>
        </w:tc>
        <w:tc>
          <w:tcPr>
            <w:tcW w:w="1020" w:type="dxa"/>
            <w:vAlign w:val="bottom"/>
            <w:tcBorders>
              <w:bottom w:val="single" w:sz="8" w:color="auto"/>
              <w:right w:val="single" w:sz="8" w:color="auto"/>
            </w:tcBorders>
            <w:shd w:val="clear" w:color="auto" w:fill="2AD2C9"/>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2Q25</w:t>
            </w:r>
          </w:p>
        </w:tc>
        <w:tc>
          <w:tcPr>
            <w:tcW w:w="740" w:type="dxa"/>
            <w:vAlign w:val="bottom"/>
            <w:tcBorders>
              <w:bottom w:val="single" w:sz="8" w:color="auto"/>
            </w:tcBorders>
            <w:shd w:val="clear" w:color="auto" w:fill="2AD2C9"/>
          </w:tcPr>
          <w:p>
            <w:pPr>
              <w:jc w:val="center"/>
              <w:ind w:left="159"/>
              <w:spacing w:after="0" w:line="143" w:lineRule="exact"/>
              <w:rPr>
                <w:sz w:val="20"/>
                <w:szCs w:val="20"/>
                <w:color w:val="auto"/>
              </w:rPr>
            </w:pPr>
            <w:r>
              <w:rPr>
                <w:rFonts w:ascii="Calibri" w:cs="Calibri" w:eastAsia="Calibri" w:hAnsi="Calibri"/>
                <w:sz w:val="12"/>
                <w:szCs w:val="12"/>
                <w:b w:val="1"/>
                <w:bCs w:val="1"/>
                <w:color w:val="FFFFFF"/>
              </w:rPr>
              <w:t>QoQ</w:t>
            </w:r>
          </w:p>
        </w:tc>
        <w:tc>
          <w:tcPr>
            <w:tcW w:w="1280" w:type="dxa"/>
            <w:vAlign w:val="bottom"/>
            <w:tcBorders>
              <w:bottom w:val="single" w:sz="8" w:color="auto"/>
              <w:right w:val="single" w:sz="8" w:color="auto"/>
            </w:tcBorders>
            <w:shd w:val="clear" w:color="auto" w:fill="2AD2C9"/>
          </w:tcPr>
          <w:p>
            <w:pPr>
              <w:jc w:val="center"/>
              <w:ind w:left="119"/>
              <w:spacing w:after="0" w:line="143" w:lineRule="exact"/>
              <w:rPr>
                <w:sz w:val="20"/>
                <w:szCs w:val="20"/>
                <w:color w:val="auto"/>
              </w:rPr>
            </w:pPr>
            <w:r>
              <w:rPr>
                <w:rFonts w:ascii="Calibri" w:cs="Calibri" w:eastAsia="Calibri" w:hAnsi="Calibri"/>
                <w:sz w:val="12"/>
                <w:szCs w:val="12"/>
                <w:b w:val="1"/>
                <w:bCs w:val="1"/>
                <w:color w:val="FFFFFF"/>
                <w:w w:val="94"/>
              </w:rPr>
              <w:t>YoY</w:t>
            </w:r>
          </w:p>
        </w:tc>
      </w:tr>
      <w:tr>
        <w:trPr>
          <w:trHeight w:val="118"/>
        </w:trPr>
        <w:tc>
          <w:tcPr>
            <w:tcW w:w="5100" w:type="dxa"/>
            <w:vAlign w:val="bottom"/>
            <w:tcBorders>
              <w:left w:val="single" w:sz="8" w:color="auto"/>
              <w:right w:val="single" w:sz="8" w:color="auto"/>
            </w:tcBorders>
          </w:tcPr>
          <w:p>
            <w:pPr>
              <w:ind w:left="40"/>
              <w:spacing w:after="0" w:line="118" w:lineRule="exact"/>
              <w:rPr>
                <w:sz w:val="20"/>
                <w:szCs w:val="20"/>
                <w:color w:val="auto"/>
              </w:rPr>
            </w:pPr>
            <w:r>
              <w:rPr>
                <w:rFonts w:ascii="Calibri" w:cs="Calibri" w:eastAsia="Calibri" w:hAnsi="Calibri"/>
                <w:sz w:val="12"/>
                <w:szCs w:val="12"/>
                <w:b w:val="1"/>
                <w:bCs w:val="1"/>
                <w:color w:val="auto"/>
              </w:rPr>
              <w:t>Proftability</w:t>
            </w: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r>
      <w:tr>
        <w:trPr>
          <w:trHeight w:val="143"/>
        </w:trPr>
        <w:tc>
          <w:tcPr>
            <w:tcW w:w="510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5"/>
                <w:szCs w:val="15"/>
                <w:color w:val="auto"/>
                <w:vertAlign w:val="subscript"/>
              </w:rPr>
              <w:t>ROAA</w:t>
            </w:r>
            <w:r>
              <w:rPr>
                <w:rFonts w:ascii="Calibri" w:cs="Calibri" w:eastAsia="Calibri" w:hAnsi="Calibri"/>
                <w:sz w:val="8"/>
                <w:szCs w:val="8"/>
                <w:color w:val="auto"/>
              </w:rPr>
              <w:t xml:space="preserve"> (1)(2)</w:t>
            </w:r>
          </w:p>
        </w:tc>
        <w:tc>
          <w:tcPr>
            <w:tcW w:w="960" w:type="dxa"/>
            <w:vAlign w:val="bottom"/>
          </w:tcPr>
          <w:p>
            <w:pPr>
              <w:jc w:val="center"/>
              <w:spacing w:after="0" w:line="143" w:lineRule="exact"/>
              <w:rPr>
                <w:sz w:val="20"/>
                <w:szCs w:val="20"/>
                <w:color w:val="auto"/>
              </w:rPr>
            </w:pPr>
            <w:r>
              <w:rPr>
                <w:rFonts w:ascii="Calibri" w:cs="Calibri" w:eastAsia="Calibri" w:hAnsi="Calibri"/>
                <w:sz w:val="12"/>
                <w:szCs w:val="12"/>
                <w:color w:val="auto"/>
              </w:rPr>
              <w:t>2.7%</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3.2%</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3.6%</w:t>
            </w:r>
          </w:p>
        </w:tc>
        <w:tc>
          <w:tcPr>
            <w:tcW w:w="7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w w:val="99"/>
              </w:rPr>
              <w:t>40 bps</w:t>
            </w:r>
          </w:p>
        </w:tc>
        <w:tc>
          <w:tcPr>
            <w:tcW w:w="128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w w:val="99"/>
              </w:rPr>
              <w:t>94 bps</w:t>
            </w:r>
          </w:p>
        </w:tc>
      </w:tr>
      <w:tr>
        <w:trPr>
          <w:trHeight w:val="143"/>
        </w:trPr>
        <w:tc>
          <w:tcPr>
            <w:tcW w:w="510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5"/>
                <w:szCs w:val="15"/>
                <w:color w:val="auto"/>
                <w:vertAlign w:val="subscript"/>
              </w:rPr>
              <w:t>ROAE</w:t>
            </w:r>
            <w:r>
              <w:rPr>
                <w:rFonts w:ascii="Calibri" w:cs="Calibri" w:eastAsia="Calibri" w:hAnsi="Calibri"/>
                <w:sz w:val="8"/>
                <w:szCs w:val="8"/>
                <w:color w:val="auto"/>
              </w:rPr>
              <w:t xml:space="preserve"> (1)(2)</w:t>
            </w:r>
          </w:p>
        </w:tc>
        <w:tc>
          <w:tcPr>
            <w:tcW w:w="960" w:type="dxa"/>
            <w:vAlign w:val="bottom"/>
          </w:tcPr>
          <w:p>
            <w:pPr>
              <w:jc w:val="center"/>
              <w:spacing w:after="0" w:line="143" w:lineRule="exact"/>
              <w:rPr>
                <w:sz w:val="20"/>
                <w:szCs w:val="20"/>
                <w:color w:val="auto"/>
              </w:rPr>
            </w:pPr>
            <w:r>
              <w:rPr>
                <w:rFonts w:ascii="Calibri" w:cs="Calibri" w:eastAsia="Calibri" w:hAnsi="Calibri"/>
                <w:sz w:val="12"/>
                <w:szCs w:val="12"/>
                <w:color w:val="auto"/>
              </w:rPr>
              <w:t>21.7%</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25.8%</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29.3%</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w w:val="99"/>
              </w:rPr>
              <w:t>354 bps</w:t>
            </w:r>
          </w:p>
        </w:tc>
        <w:tc>
          <w:tcPr>
            <w:tcW w:w="128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767 bps</w:t>
            </w:r>
          </w:p>
        </w:tc>
      </w:tr>
      <w:tr>
        <w:trPr>
          <w:trHeight w:val="143"/>
        </w:trPr>
        <w:tc>
          <w:tcPr>
            <w:tcW w:w="510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0"/>
                <w:szCs w:val="10"/>
                <w:color w:val="auto"/>
              </w:rPr>
              <w:t xml:space="preserve">Net interest margin </w:t>
            </w:r>
            <w:r>
              <w:rPr>
                <w:rFonts w:ascii="Calibri" w:cs="Calibri" w:eastAsia="Calibri" w:hAnsi="Calibri"/>
                <w:sz w:val="15"/>
                <w:szCs w:val="15"/>
                <w:color w:val="auto"/>
                <w:vertAlign w:val="superscript"/>
              </w:rPr>
              <w:t>(1)(2)</w:t>
            </w:r>
          </w:p>
        </w:tc>
        <w:tc>
          <w:tcPr>
            <w:tcW w:w="960" w:type="dxa"/>
            <w:vAlign w:val="bottom"/>
          </w:tcPr>
          <w:p>
            <w:pPr>
              <w:jc w:val="center"/>
              <w:spacing w:after="0" w:line="143" w:lineRule="exact"/>
              <w:rPr>
                <w:sz w:val="20"/>
                <w:szCs w:val="20"/>
                <w:color w:val="auto"/>
              </w:rPr>
            </w:pPr>
            <w:r>
              <w:rPr>
                <w:rFonts w:ascii="Calibri" w:cs="Calibri" w:eastAsia="Calibri" w:hAnsi="Calibri"/>
                <w:sz w:val="12"/>
                <w:szCs w:val="12"/>
                <w:color w:val="auto"/>
              </w:rPr>
              <w:t>6.08%</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5.80%</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6.00%</w:t>
            </w:r>
          </w:p>
        </w:tc>
        <w:tc>
          <w:tcPr>
            <w:tcW w:w="7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w w:val="99"/>
              </w:rPr>
              <w:t>21 bps</w:t>
            </w:r>
          </w:p>
        </w:tc>
        <w:tc>
          <w:tcPr>
            <w:tcW w:w="128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rPr>
              <w:t>-8 bps</w:t>
            </w:r>
          </w:p>
        </w:tc>
      </w:tr>
      <w:tr>
        <w:trPr>
          <w:trHeight w:val="143"/>
        </w:trPr>
        <w:tc>
          <w:tcPr>
            <w:tcW w:w="510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0"/>
                <w:szCs w:val="10"/>
                <w:color w:val="auto"/>
              </w:rPr>
              <w:t xml:space="preserve">Risk-adjusted Net interest margin </w:t>
            </w:r>
            <w:r>
              <w:rPr>
                <w:rFonts w:ascii="Calibri" w:cs="Calibri" w:eastAsia="Calibri" w:hAnsi="Calibri"/>
                <w:sz w:val="15"/>
                <w:szCs w:val="15"/>
                <w:color w:val="auto"/>
                <w:vertAlign w:val="superscript"/>
              </w:rPr>
              <w:t>(1)(2)</w:t>
            </w:r>
          </w:p>
        </w:tc>
        <w:tc>
          <w:tcPr>
            <w:tcW w:w="960" w:type="dxa"/>
            <w:vAlign w:val="bottom"/>
          </w:tcPr>
          <w:p>
            <w:pPr>
              <w:jc w:val="center"/>
              <w:spacing w:after="0" w:line="143" w:lineRule="exact"/>
              <w:rPr>
                <w:sz w:val="20"/>
                <w:szCs w:val="20"/>
                <w:color w:val="auto"/>
              </w:rPr>
            </w:pPr>
            <w:r>
              <w:rPr>
                <w:rFonts w:ascii="Calibri" w:cs="Calibri" w:eastAsia="Calibri" w:hAnsi="Calibri"/>
                <w:sz w:val="12"/>
                <w:szCs w:val="12"/>
                <w:color w:val="auto"/>
              </w:rPr>
              <w:t>4.30%</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4.98%</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5.22%</w:t>
            </w:r>
          </w:p>
        </w:tc>
        <w:tc>
          <w:tcPr>
            <w:tcW w:w="7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w w:val="99"/>
              </w:rPr>
              <w:t>24 bps</w:t>
            </w:r>
          </w:p>
        </w:tc>
        <w:tc>
          <w:tcPr>
            <w:tcW w:w="128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w w:val="99"/>
              </w:rPr>
              <w:t>92 bps</w:t>
            </w:r>
          </w:p>
        </w:tc>
      </w:tr>
      <w:tr>
        <w:trPr>
          <w:trHeight w:val="234"/>
        </w:trPr>
        <w:tc>
          <w:tcPr>
            <w:tcW w:w="5100" w:type="dxa"/>
            <w:vAlign w:val="bottom"/>
            <w:tcBorders>
              <w:left w:val="single" w:sz="8" w:color="auto"/>
              <w:right w:val="single" w:sz="8" w:color="auto"/>
            </w:tcBorders>
          </w:tcPr>
          <w:p>
            <w:pPr>
              <w:ind w:left="160"/>
              <w:spacing w:after="0" w:line="233" w:lineRule="exact"/>
              <w:rPr>
                <w:sz w:val="20"/>
                <w:szCs w:val="20"/>
                <w:color w:val="auto"/>
              </w:rPr>
            </w:pPr>
            <w:r>
              <w:rPr>
                <w:rFonts w:ascii="Calibri" w:cs="Calibri" w:eastAsia="Calibri" w:hAnsi="Calibri"/>
                <w:sz w:val="12"/>
                <w:szCs w:val="12"/>
                <w:color w:val="auto"/>
              </w:rPr>
              <w:t xml:space="preserve">Funding cost </w:t>
            </w:r>
            <w:r>
              <w:rPr>
                <w:rFonts w:ascii="Calibri" w:cs="Calibri" w:eastAsia="Calibri" w:hAnsi="Calibri"/>
                <w:sz w:val="20"/>
                <w:szCs w:val="20"/>
                <w:color w:val="auto"/>
                <w:vertAlign w:val="superscript"/>
              </w:rPr>
              <w:t>(1)(2)(3)</w:t>
            </w:r>
          </w:p>
        </w:tc>
        <w:tc>
          <w:tcPr>
            <w:tcW w:w="960" w:type="dxa"/>
            <w:vAlign w:val="bottom"/>
          </w:tcPr>
          <w:p>
            <w:pPr>
              <w:jc w:val="center"/>
              <w:spacing w:after="0"/>
              <w:rPr>
                <w:sz w:val="20"/>
                <w:szCs w:val="20"/>
                <w:color w:val="auto"/>
              </w:rPr>
            </w:pPr>
            <w:r>
              <w:rPr>
                <w:rFonts w:ascii="Calibri" w:cs="Calibri" w:eastAsia="Calibri" w:hAnsi="Calibri"/>
                <w:sz w:val="12"/>
                <w:szCs w:val="12"/>
                <w:color w:val="auto"/>
              </w:rPr>
              <w:t>2.34%</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1.99%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1.95%</w:t>
            </w:r>
          </w:p>
        </w:tc>
        <w:tc>
          <w:tcPr>
            <w:tcW w:w="740" w:type="dxa"/>
            <w:vAlign w:val="bottom"/>
          </w:tcPr>
          <w:p>
            <w:pPr>
              <w:jc w:val="center"/>
              <w:ind w:left="139"/>
              <w:spacing w:after="0"/>
              <w:rPr>
                <w:sz w:val="20"/>
                <w:szCs w:val="20"/>
                <w:color w:val="auto"/>
              </w:rPr>
            </w:pPr>
            <w:r>
              <w:rPr>
                <w:rFonts w:ascii="Calibri" w:cs="Calibri" w:eastAsia="Calibri" w:hAnsi="Calibri"/>
                <w:sz w:val="12"/>
                <w:szCs w:val="12"/>
                <w:color w:val="auto"/>
              </w:rPr>
              <w:t>-4 bps</w:t>
            </w:r>
          </w:p>
        </w:tc>
        <w:tc>
          <w:tcPr>
            <w:tcW w:w="1280" w:type="dxa"/>
            <w:vAlign w:val="bottom"/>
            <w:tcBorders>
              <w:right w:val="single" w:sz="8" w:color="auto"/>
            </w:tcBorders>
          </w:tcPr>
          <w:p>
            <w:pPr>
              <w:jc w:val="center"/>
              <w:ind w:left="139"/>
              <w:spacing w:after="0"/>
              <w:rPr>
                <w:sz w:val="20"/>
                <w:szCs w:val="20"/>
                <w:color w:val="auto"/>
              </w:rPr>
            </w:pPr>
            <w:r>
              <w:rPr>
                <w:rFonts w:ascii="Calibri" w:cs="Calibri" w:eastAsia="Calibri" w:hAnsi="Calibri"/>
                <w:sz w:val="12"/>
                <w:szCs w:val="12"/>
                <w:color w:val="auto"/>
              </w:rPr>
              <w:t>-39 bps</w:t>
            </w:r>
          </w:p>
        </w:tc>
      </w:tr>
      <w:tr>
        <w:trPr>
          <w:trHeight w:val="203"/>
        </w:trPr>
        <w:tc>
          <w:tcPr>
            <w:tcW w:w="510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2"/>
                <w:szCs w:val="12"/>
                <w:b w:val="1"/>
                <w:bCs w:val="1"/>
                <w:color w:val="auto"/>
              </w:rPr>
              <w:t>Loan portolio quality</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43"/>
        </w:trPr>
        <w:tc>
          <w:tcPr>
            <w:tcW w:w="510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2"/>
                <w:szCs w:val="12"/>
                <w:color w:val="auto"/>
              </w:rPr>
              <w:t>Internal overdue rato</w:t>
            </w:r>
          </w:p>
        </w:tc>
        <w:tc>
          <w:tcPr>
            <w:tcW w:w="960" w:type="dxa"/>
            <w:vAlign w:val="bottom"/>
          </w:tcPr>
          <w:p>
            <w:pPr>
              <w:jc w:val="center"/>
              <w:spacing w:after="0" w:line="143" w:lineRule="exact"/>
              <w:rPr>
                <w:sz w:val="20"/>
                <w:szCs w:val="20"/>
                <w:color w:val="auto"/>
              </w:rPr>
            </w:pPr>
            <w:r>
              <w:rPr>
                <w:rFonts w:ascii="Calibri" w:cs="Calibri" w:eastAsia="Calibri" w:hAnsi="Calibri"/>
                <w:sz w:val="12"/>
                <w:szCs w:val="12"/>
                <w:color w:val="auto"/>
              </w:rPr>
              <w:t>4.1%</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3.5%</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3.4%</w:t>
            </w:r>
          </w:p>
        </w:tc>
        <w:tc>
          <w:tcPr>
            <w:tcW w:w="7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-10 bps</w:t>
            </w:r>
          </w:p>
        </w:tc>
        <w:tc>
          <w:tcPr>
            <w:tcW w:w="128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-65 bps</w:t>
            </w:r>
          </w:p>
        </w:tc>
      </w:tr>
      <w:tr>
        <w:trPr>
          <w:trHeight w:val="143"/>
        </w:trPr>
        <w:tc>
          <w:tcPr>
            <w:tcW w:w="510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2"/>
                <w:szCs w:val="12"/>
                <w:color w:val="auto"/>
              </w:rPr>
              <w:t>NPL rato</w:t>
            </w:r>
          </w:p>
        </w:tc>
        <w:tc>
          <w:tcPr>
            <w:tcW w:w="960" w:type="dxa"/>
            <w:vAlign w:val="bottom"/>
          </w:tcPr>
          <w:p>
            <w:pPr>
              <w:jc w:val="center"/>
              <w:spacing w:after="0" w:line="143" w:lineRule="exact"/>
              <w:rPr>
                <w:sz w:val="20"/>
                <w:szCs w:val="20"/>
                <w:color w:val="auto"/>
              </w:rPr>
            </w:pPr>
            <w:r>
              <w:rPr>
                <w:rFonts w:ascii="Calibri" w:cs="Calibri" w:eastAsia="Calibri" w:hAnsi="Calibri"/>
                <w:sz w:val="12"/>
                <w:szCs w:val="12"/>
                <w:color w:val="auto"/>
              </w:rPr>
              <w:t>6.0%</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5.0%</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4.9%</w:t>
            </w:r>
          </w:p>
        </w:tc>
        <w:tc>
          <w:tcPr>
            <w:tcW w:w="7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-17 bps</w:t>
            </w:r>
          </w:p>
        </w:tc>
        <w:tc>
          <w:tcPr>
            <w:tcW w:w="1280" w:type="dxa"/>
            <w:vAlign w:val="bottom"/>
            <w:tcBorders>
              <w:right w:val="single" w:sz="8" w:color="auto"/>
            </w:tcBorders>
          </w:tcPr>
          <w:p>
            <w:pPr>
              <w:jc w:val="center"/>
              <w:ind w:left="119"/>
              <w:spacing w:after="0" w:line="143" w:lineRule="exact"/>
              <w:rPr>
                <w:sz w:val="20"/>
                <w:szCs w:val="20"/>
                <w:color w:val="auto"/>
              </w:rPr>
            </w:pPr>
            <w:r>
              <w:rPr>
                <w:rFonts w:ascii="Calibri" w:cs="Calibri" w:eastAsia="Calibri" w:hAnsi="Calibri"/>
                <w:sz w:val="12"/>
                <w:szCs w:val="12"/>
                <w:color w:val="auto"/>
              </w:rPr>
              <w:t>-117 bps</w:t>
            </w:r>
          </w:p>
        </w:tc>
      </w:tr>
      <w:tr>
        <w:trPr>
          <w:trHeight w:val="143"/>
        </w:trPr>
        <w:tc>
          <w:tcPr>
            <w:tcW w:w="510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2"/>
                <w:szCs w:val="12"/>
                <w:color w:val="auto"/>
              </w:rPr>
              <w:t>Coverager rato of IOLs</w:t>
            </w:r>
          </w:p>
        </w:tc>
        <w:tc>
          <w:tcPr>
            <w:tcW w:w="960" w:type="dxa"/>
            <w:vAlign w:val="bottom"/>
          </w:tcPr>
          <w:p>
            <w:pPr>
              <w:jc w:val="center"/>
              <w:spacing w:after="0" w:line="143" w:lineRule="exact"/>
              <w:rPr>
                <w:sz w:val="20"/>
                <w:szCs w:val="20"/>
                <w:color w:val="auto"/>
              </w:rPr>
            </w:pPr>
            <w:r>
              <w:rPr>
                <w:rFonts w:ascii="Calibri" w:cs="Calibri" w:eastAsia="Calibri" w:hAnsi="Calibri"/>
                <w:sz w:val="12"/>
                <w:szCs w:val="12"/>
                <w:color w:val="auto"/>
              </w:rPr>
              <w:t>138.5%</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153.7%</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155.4%</w:t>
            </w:r>
          </w:p>
        </w:tc>
        <w:tc>
          <w:tcPr>
            <w:tcW w:w="740" w:type="dxa"/>
            <w:vAlign w:val="bottom"/>
          </w:tcPr>
          <w:p>
            <w:pPr>
              <w:jc w:val="center"/>
              <w:ind w:left="139"/>
              <w:spacing w:after="0" w:line="143" w:lineRule="exact"/>
              <w:rPr>
                <w:sz w:val="20"/>
                <w:szCs w:val="20"/>
                <w:color w:val="auto"/>
              </w:rPr>
            </w:pPr>
            <w:r>
              <w:rPr>
                <w:rFonts w:ascii="Calibri" w:cs="Calibri" w:eastAsia="Calibri" w:hAnsi="Calibri"/>
                <w:sz w:val="12"/>
                <w:szCs w:val="12"/>
                <w:color w:val="auto"/>
                <w:w w:val="99"/>
              </w:rPr>
              <w:t>165 bps</w:t>
            </w:r>
          </w:p>
        </w:tc>
        <w:tc>
          <w:tcPr>
            <w:tcW w:w="128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w w:val="99"/>
              </w:rPr>
              <w:t>1688 bps</w:t>
            </w:r>
          </w:p>
        </w:tc>
      </w:tr>
      <w:tr>
        <w:trPr>
          <w:trHeight w:val="136"/>
        </w:trPr>
        <w:tc>
          <w:tcPr>
            <w:tcW w:w="5100" w:type="dxa"/>
            <w:vAlign w:val="bottom"/>
            <w:tcBorders>
              <w:left w:val="single" w:sz="8" w:color="auto"/>
              <w:right w:val="single" w:sz="8" w:color="auto"/>
            </w:tcBorders>
          </w:tcPr>
          <w:p>
            <w:pPr>
              <w:ind w:left="160"/>
              <w:spacing w:after="0" w:line="137" w:lineRule="exact"/>
              <w:rPr>
                <w:sz w:val="20"/>
                <w:szCs w:val="20"/>
                <w:color w:val="auto"/>
              </w:rPr>
            </w:pPr>
            <w:r>
              <w:rPr>
                <w:rFonts w:ascii="Calibri" w:cs="Calibri" w:eastAsia="Calibri" w:hAnsi="Calibri"/>
                <w:sz w:val="12"/>
                <w:szCs w:val="12"/>
                <w:color w:val="auto"/>
              </w:rPr>
              <w:t>Coverage rato of NPLs</w:t>
            </w:r>
          </w:p>
        </w:tc>
        <w:tc>
          <w:tcPr>
            <w:tcW w:w="960" w:type="dxa"/>
            <w:vAlign w:val="bottom"/>
          </w:tcPr>
          <w:p>
            <w:pPr>
              <w:jc w:val="center"/>
              <w:spacing w:after="0" w:line="137" w:lineRule="exact"/>
              <w:rPr>
                <w:sz w:val="20"/>
                <w:szCs w:val="20"/>
                <w:color w:val="auto"/>
              </w:rPr>
            </w:pPr>
            <w:r>
              <w:rPr>
                <w:rFonts w:ascii="Calibri" w:cs="Calibri" w:eastAsia="Calibri" w:hAnsi="Calibri"/>
                <w:sz w:val="12"/>
                <w:szCs w:val="12"/>
                <w:color w:val="auto"/>
              </w:rPr>
              <w:t>93.3%</w:t>
            </w:r>
          </w:p>
        </w:tc>
        <w:tc>
          <w:tcPr>
            <w:tcW w:w="1020" w:type="dxa"/>
            <w:vAlign w:val="bottom"/>
          </w:tcPr>
          <w:p>
            <w:pPr>
              <w:jc w:val="center"/>
              <w:spacing w:after="0" w:line="137" w:lineRule="exact"/>
              <w:rPr>
                <w:sz w:val="20"/>
                <w:szCs w:val="20"/>
                <w:color w:val="auto"/>
              </w:rPr>
            </w:pPr>
            <w:r>
              <w:rPr>
                <w:rFonts w:ascii="Calibri" w:cs="Calibri" w:eastAsia="Calibri" w:hAnsi="Calibri"/>
                <w:sz w:val="12"/>
                <w:szCs w:val="12"/>
                <w:color w:val="auto"/>
              </w:rPr>
              <w:t>107.6%</w:t>
            </w:r>
          </w:p>
        </w:tc>
        <w:tc>
          <w:tcPr>
            <w:tcW w:w="1020" w:type="dxa"/>
            <w:vAlign w:val="bottom"/>
            <w:tcBorders>
              <w:right w:val="single" w:sz="8" w:color="auto"/>
            </w:tcBorders>
          </w:tcPr>
          <w:p>
            <w:pPr>
              <w:jc w:val="center"/>
              <w:spacing w:after="0" w:line="137" w:lineRule="exact"/>
              <w:rPr>
                <w:sz w:val="20"/>
                <w:szCs w:val="20"/>
                <w:color w:val="auto"/>
              </w:rPr>
            </w:pPr>
            <w:r>
              <w:rPr>
                <w:rFonts w:ascii="Calibri" w:cs="Calibri" w:eastAsia="Calibri" w:hAnsi="Calibri"/>
                <w:sz w:val="12"/>
                <w:szCs w:val="12"/>
                <w:color w:val="auto"/>
              </w:rPr>
              <w:t>109.3%</w:t>
            </w:r>
          </w:p>
        </w:tc>
        <w:tc>
          <w:tcPr>
            <w:tcW w:w="740" w:type="dxa"/>
            <w:vAlign w:val="bottom"/>
          </w:tcPr>
          <w:p>
            <w:pPr>
              <w:jc w:val="center"/>
              <w:ind w:left="139"/>
              <w:spacing w:after="0" w:line="137" w:lineRule="exact"/>
              <w:rPr>
                <w:sz w:val="20"/>
                <w:szCs w:val="20"/>
                <w:color w:val="auto"/>
              </w:rPr>
            </w:pPr>
            <w:r>
              <w:rPr>
                <w:rFonts w:ascii="Calibri" w:cs="Calibri" w:eastAsia="Calibri" w:hAnsi="Calibri"/>
                <w:sz w:val="12"/>
                <w:szCs w:val="12"/>
                <w:color w:val="auto"/>
                <w:w w:val="99"/>
              </w:rPr>
              <w:t>178 bps</w:t>
            </w:r>
          </w:p>
        </w:tc>
        <w:tc>
          <w:tcPr>
            <w:tcW w:w="1280" w:type="dxa"/>
            <w:vAlign w:val="bottom"/>
            <w:tcBorders>
              <w:right w:val="single" w:sz="8" w:color="auto"/>
            </w:tcBorders>
          </w:tcPr>
          <w:p>
            <w:pPr>
              <w:jc w:val="center"/>
              <w:ind w:left="139"/>
              <w:spacing w:after="0" w:line="137" w:lineRule="exact"/>
              <w:rPr>
                <w:sz w:val="20"/>
                <w:szCs w:val="20"/>
                <w:color w:val="auto"/>
              </w:rPr>
            </w:pPr>
            <w:r>
              <w:rPr>
                <w:rFonts w:ascii="Calibri" w:cs="Calibri" w:eastAsia="Calibri" w:hAnsi="Calibri"/>
                <w:sz w:val="12"/>
                <w:szCs w:val="12"/>
                <w:color w:val="auto"/>
                <w:w w:val="99"/>
              </w:rPr>
              <w:t>1600 bps</w:t>
            </w:r>
          </w:p>
        </w:tc>
      </w:tr>
      <w:tr>
        <w:trPr>
          <w:trHeight w:val="234"/>
        </w:trPr>
        <w:tc>
          <w:tcPr>
            <w:tcW w:w="5100" w:type="dxa"/>
            <w:vAlign w:val="bottom"/>
            <w:tcBorders>
              <w:left w:val="single" w:sz="8" w:color="auto"/>
              <w:right w:val="single" w:sz="8" w:color="auto"/>
            </w:tcBorders>
          </w:tcPr>
          <w:p>
            <w:pPr>
              <w:ind w:left="160"/>
              <w:spacing w:after="0" w:line="233" w:lineRule="exact"/>
              <w:rPr>
                <w:sz w:val="20"/>
                <w:szCs w:val="20"/>
                <w:color w:val="auto"/>
              </w:rPr>
            </w:pPr>
            <w:r>
              <w:rPr>
                <w:rFonts w:ascii="Calibri" w:cs="Calibri" w:eastAsia="Calibri" w:hAnsi="Calibri"/>
                <w:sz w:val="12"/>
                <w:szCs w:val="12"/>
                <w:color w:val="auto"/>
              </w:rPr>
              <w:t xml:space="preserve">Cost of risk </w:t>
            </w:r>
            <w:r>
              <w:rPr>
                <w:rFonts w:ascii="Calibri" w:cs="Calibri" w:eastAsia="Calibri" w:hAnsi="Calibri"/>
                <w:sz w:val="20"/>
                <w:szCs w:val="20"/>
                <w:color w:val="auto"/>
                <w:vertAlign w:val="superscript"/>
              </w:rPr>
              <w:t>(4)</w:t>
            </w:r>
          </w:p>
        </w:tc>
        <w:tc>
          <w:tcPr>
            <w:tcW w:w="960" w:type="dxa"/>
            <w:vAlign w:val="bottom"/>
          </w:tcPr>
          <w:p>
            <w:pPr>
              <w:jc w:val="center"/>
              <w:spacing w:after="0"/>
              <w:rPr>
                <w:sz w:val="20"/>
                <w:szCs w:val="20"/>
                <w:color w:val="auto"/>
              </w:rPr>
            </w:pPr>
            <w:r>
              <w:rPr>
                <w:rFonts w:ascii="Calibri" w:cs="Calibri" w:eastAsia="Calibri" w:hAnsi="Calibri"/>
                <w:sz w:val="12"/>
                <w:szCs w:val="12"/>
                <w:color w:val="auto"/>
              </w:rPr>
              <w:t>2.6%</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1.3%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1.2%</w:t>
            </w:r>
          </w:p>
        </w:tc>
        <w:tc>
          <w:tcPr>
            <w:tcW w:w="740" w:type="dxa"/>
            <w:vAlign w:val="bottom"/>
          </w:tcPr>
          <w:p>
            <w:pPr>
              <w:jc w:val="center"/>
              <w:ind w:left="139"/>
              <w:spacing w:after="0"/>
              <w:rPr>
                <w:sz w:val="20"/>
                <w:szCs w:val="20"/>
                <w:color w:val="auto"/>
              </w:rPr>
            </w:pPr>
            <w:r>
              <w:rPr>
                <w:rFonts w:ascii="Calibri" w:cs="Calibri" w:eastAsia="Calibri" w:hAnsi="Calibri"/>
                <w:sz w:val="12"/>
                <w:szCs w:val="12"/>
                <w:color w:val="auto"/>
              </w:rPr>
              <w:t>-8 bps</w:t>
            </w:r>
          </w:p>
        </w:tc>
        <w:tc>
          <w:tcPr>
            <w:tcW w:w="1280" w:type="dxa"/>
            <w:vAlign w:val="bottom"/>
            <w:tcBorders>
              <w:right w:val="single" w:sz="8" w:color="auto"/>
            </w:tcBorders>
          </w:tcPr>
          <w:p>
            <w:pPr>
              <w:jc w:val="center"/>
              <w:ind w:left="119"/>
              <w:spacing w:after="0"/>
              <w:rPr>
                <w:sz w:val="20"/>
                <w:szCs w:val="20"/>
                <w:color w:val="auto"/>
              </w:rPr>
            </w:pPr>
            <w:r>
              <w:rPr>
                <w:rFonts w:ascii="Calibri" w:cs="Calibri" w:eastAsia="Calibri" w:hAnsi="Calibri"/>
                <w:sz w:val="12"/>
                <w:szCs w:val="12"/>
                <w:color w:val="auto"/>
              </w:rPr>
              <w:t>-144 bps</w:t>
            </w:r>
          </w:p>
        </w:tc>
      </w:tr>
      <w:tr>
        <w:trPr>
          <w:trHeight w:val="196"/>
        </w:trPr>
        <w:tc>
          <w:tcPr>
            <w:tcW w:w="5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b w:val="1"/>
                <w:bCs w:val="1"/>
                <w:color w:val="auto"/>
              </w:rPr>
              <w:t>Operatng efciency</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43"/>
        </w:trPr>
        <w:tc>
          <w:tcPr>
            <w:tcW w:w="510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0"/>
                <w:szCs w:val="10"/>
                <w:color w:val="auto"/>
              </w:rPr>
              <w:t xml:space="preserve">Operatng expenses / Total income </w:t>
            </w:r>
            <w:r>
              <w:rPr>
                <w:rFonts w:ascii="Calibri" w:cs="Calibri" w:eastAsia="Calibri" w:hAnsi="Calibri"/>
                <w:sz w:val="15"/>
                <w:szCs w:val="15"/>
                <w:color w:val="auto"/>
                <w:vertAlign w:val="superscript"/>
              </w:rPr>
              <w:t>(5)</w:t>
            </w:r>
          </w:p>
        </w:tc>
        <w:tc>
          <w:tcPr>
            <w:tcW w:w="960" w:type="dxa"/>
            <w:vAlign w:val="bottom"/>
          </w:tcPr>
          <w:p>
            <w:pPr>
              <w:jc w:val="center"/>
              <w:spacing w:after="0" w:line="143" w:lineRule="exact"/>
              <w:rPr>
                <w:sz w:val="20"/>
                <w:szCs w:val="20"/>
                <w:color w:val="auto"/>
              </w:rPr>
            </w:pPr>
            <w:r>
              <w:rPr>
                <w:rFonts w:ascii="Calibri" w:cs="Calibri" w:eastAsia="Calibri" w:hAnsi="Calibri"/>
                <w:sz w:val="12"/>
                <w:szCs w:val="12"/>
                <w:color w:val="auto"/>
              </w:rPr>
              <w:t>37.1%</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37.7%</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38.3%</w:t>
            </w:r>
          </w:p>
        </w:tc>
        <w:tc>
          <w:tcPr>
            <w:tcW w:w="7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w w:val="99"/>
              </w:rPr>
              <w:t>66 bps</w:t>
            </w:r>
          </w:p>
        </w:tc>
        <w:tc>
          <w:tcPr>
            <w:tcW w:w="128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128 bps</w:t>
            </w:r>
          </w:p>
        </w:tc>
      </w:tr>
      <w:tr>
        <w:trPr>
          <w:trHeight w:val="161"/>
        </w:trPr>
        <w:tc>
          <w:tcPr>
            <w:tcW w:w="5100" w:type="dxa"/>
            <w:vAlign w:val="bottom"/>
            <w:tcBorders>
              <w:left w:val="single" w:sz="8" w:color="auto"/>
              <w:bottom w:val="single" w:sz="8" w:color="auto"/>
              <w:right w:val="single" w:sz="8" w:color="auto"/>
            </w:tcBorders>
          </w:tcPr>
          <w:p>
            <w:pPr>
              <w:ind w:left="160"/>
              <w:spacing w:after="0" w:line="161" w:lineRule="exact"/>
              <w:rPr>
                <w:sz w:val="20"/>
                <w:szCs w:val="20"/>
                <w:color w:val="auto"/>
              </w:rPr>
            </w:pPr>
            <w:r>
              <w:rPr>
                <w:rFonts w:ascii="Calibri" w:cs="Calibri" w:eastAsia="Calibri" w:hAnsi="Calibri"/>
                <w:sz w:val="11"/>
                <w:szCs w:val="11"/>
                <w:color w:val="auto"/>
              </w:rPr>
              <w:t xml:space="preserve">Operatng expenses / Total average assets </w:t>
            </w:r>
            <w:r>
              <w:rPr>
                <w:rFonts w:ascii="Calibri" w:cs="Calibri" w:eastAsia="Calibri" w:hAnsi="Calibri"/>
                <w:sz w:val="17"/>
                <w:szCs w:val="17"/>
                <w:color w:val="auto"/>
                <w:vertAlign w:val="superscript"/>
              </w:rPr>
              <w:t>(1)(2)(5)</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3.0%</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3.0%</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3.2%</w:t>
            </w:r>
          </w:p>
        </w:tc>
        <w:tc>
          <w:tcPr>
            <w:tcW w:w="740" w:type="dxa"/>
            <w:vAlign w:val="bottom"/>
            <w:tcBorders>
              <w:bottom w:val="single" w:sz="8" w:color="auto"/>
            </w:tcBorders>
          </w:tcPr>
          <w:p>
            <w:pPr>
              <w:jc w:val="center"/>
              <w:ind w:left="159"/>
              <w:spacing w:after="0"/>
              <w:rPr>
                <w:sz w:val="20"/>
                <w:szCs w:val="20"/>
                <w:color w:val="auto"/>
              </w:rPr>
            </w:pPr>
            <w:r>
              <w:rPr>
                <w:rFonts w:ascii="Calibri" w:cs="Calibri" w:eastAsia="Calibri" w:hAnsi="Calibri"/>
                <w:sz w:val="12"/>
                <w:szCs w:val="12"/>
                <w:color w:val="auto"/>
                <w:w w:val="99"/>
              </w:rPr>
              <w:t>21 bps</w:t>
            </w:r>
          </w:p>
        </w:tc>
        <w:tc>
          <w:tcPr>
            <w:tcW w:w="1280" w:type="dxa"/>
            <w:vAlign w:val="bottom"/>
            <w:tcBorders>
              <w:bottom w:val="single" w:sz="8" w:color="auto"/>
              <w:right w:val="single" w:sz="8" w:color="auto"/>
            </w:tcBorders>
          </w:tcPr>
          <w:p>
            <w:pPr>
              <w:jc w:val="center"/>
              <w:ind w:left="139"/>
              <w:spacing w:after="0"/>
              <w:rPr>
                <w:sz w:val="20"/>
                <w:szCs w:val="20"/>
                <w:color w:val="auto"/>
              </w:rPr>
            </w:pPr>
            <w:r>
              <w:rPr>
                <w:rFonts w:ascii="Calibri" w:cs="Calibri" w:eastAsia="Calibri" w:hAnsi="Calibri"/>
                <w:sz w:val="12"/>
                <w:szCs w:val="12"/>
                <w:color w:val="auto"/>
                <w:w w:val="99"/>
              </w:rPr>
              <w:t>21 bps</w:t>
            </w:r>
          </w:p>
        </w:tc>
      </w:tr>
    </w:tbl>
    <w:p>
      <w:pPr>
        <w:spacing w:after="0" w:line="180" w:lineRule="exact"/>
        <w:rPr>
          <w:sz w:val="20"/>
          <w:szCs w:val="20"/>
          <w:color w:val="auto"/>
        </w:rPr>
      </w:pPr>
    </w:p>
    <w:p>
      <w:pPr>
        <w:ind w:left="1100" w:hanging="159"/>
        <w:spacing w:after="0"/>
        <w:tabs>
          <w:tab w:leader="none" w:pos="1100" w:val="left"/>
        </w:tabs>
        <w:numPr>
          <w:ilvl w:val="0"/>
          <w:numId w:val="64"/>
        </w:numPr>
        <w:rPr>
          <w:rFonts w:ascii="Calibri" w:cs="Calibri" w:eastAsia="Calibri" w:hAnsi="Calibri"/>
          <w:sz w:val="11"/>
          <w:szCs w:val="11"/>
          <w:color w:val="auto"/>
        </w:rPr>
      </w:pPr>
      <w:r>
        <w:rPr>
          <w:rFonts w:ascii="Calibri" w:cs="Calibri" w:eastAsia="Calibri" w:hAnsi="Calibri"/>
          <w:sz w:val="11"/>
          <w:szCs w:val="11"/>
          <w:color w:val="auto"/>
        </w:rPr>
        <w:t>Ratos are annualized.</w:t>
      </w:r>
    </w:p>
    <w:p>
      <w:pPr>
        <w:ind w:left="1100" w:hanging="159"/>
        <w:spacing w:after="0" w:line="232" w:lineRule="auto"/>
        <w:tabs>
          <w:tab w:leader="none" w:pos="1100" w:val="left"/>
        </w:tabs>
        <w:numPr>
          <w:ilvl w:val="0"/>
          <w:numId w:val="64"/>
        </w:numPr>
        <w:rPr>
          <w:rFonts w:ascii="Calibri" w:cs="Calibri" w:eastAsia="Calibri" w:hAnsi="Calibri"/>
          <w:sz w:val="11"/>
          <w:szCs w:val="11"/>
          <w:color w:val="auto"/>
        </w:rPr>
      </w:pPr>
      <w:r>
        <w:rPr>
          <w:rFonts w:ascii="Calibri" w:cs="Calibri" w:eastAsia="Calibri" w:hAnsi="Calibri"/>
          <w:sz w:val="11"/>
          <w:szCs w:val="11"/>
          <w:color w:val="auto"/>
        </w:rPr>
        <w:t>Averages are determined as the average of period-beginning and period-ending balances.</w:t>
      </w:r>
    </w:p>
    <w:p>
      <w:pPr>
        <w:ind w:left="940" w:right="180" w:firstLine="1"/>
        <w:spacing w:after="0" w:line="232" w:lineRule="auto"/>
        <w:tabs>
          <w:tab w:leader="none" w:pos="1091" w:val="left"/>
        </w:tabs>
        <w:numPr>
          <w:ilvl w:val="0"/>
          <w:numId w:val="64"/>
        </w:numPr>
        <w:rPr>
          <w:rFonts w:ascii="Calibri" w:cs="Calibri" w:eastAsia="Calibri" w:hAnsi="Calibri"/>
          <w:sz w:val="11"/>
          <w:szCs w:val="11"/>
          <w:color w:val="auto"/>
        </w:rPr>
      </w:pPr>
      <w:r>
        <w:rPr>
          <w:rFonts w:ascii="Calibri" w:cs="Calibri" w:eastAsia="Calibri" w:hAnsi="Calibri"/>
          <w:sz w:val="11"/>
          <w:szCs w:val="11"/>
          <w:color w:val="auto"/>
        </w:rPr>
        <w:t>The funding costs difers from previously reported due to a methodology change in the denominator, which no longer includes the following accounts: acceptances outstanding, reserves for property and casualty claims, reserve for unearned premiums, reinsurance payable and other liabilites.</w:t>
      </w:r>
    </w:p>
    <w:p>
      <w:pPr>
        <w:ind w:left="1100" w:hanging="159"/>
        <w:spacing w:after="0" w:line="232" w:lineRule="auto"/>
        <w:tabs>
          <w:tab w:leader="none" w:pos="1100" w:val="left"/>
        </w:tabs>
        <w:numPr>
          <w:ilvl w:val="0"/>
          <w:numId w:val="64"/>
        </w:numPr>
        <w:rPr>
          <w:rFonts w:ascii="Calibri" w:cs="Calibri" w:eastAsia="Calibri" w:hAnsi="Calibri"/>
          <w:sz w:val="11"/>
          <w:szCs w:val="11"/>
          <w:color w:val="auto"/>
        </w:rPr>
      </w:pPr>
      <w:r>
        <w:rPr>
          <w:rFonts w:ascii="Calibri" w:cs="Calibri" w:eastAsia="Calibri" w:hAnsi="Calibri"/>
          <w:sz w:val="11"/>
          <w:szCs w:val="11"/>
          <w:color w:val="auto"/>
        </w:rPr>
        <w:t>Cost of risk: Annualized provision for loan losses / Average total loans.</w:t>
      </w:r>
    </w:p>
    <w:p>
      <w:pPr>
        <w:ind w:left="940" w:right="440" w:firstLine="1"/>
        <w:spacing w:after="0" w:line="232" w:lineRule="auto"/>
        <w:tabs>
          <w:tab w:leader="none" w:pos="1091" w:val="left"/>
        </w:tabs>
        <w:numPr>
          <w:ilvl w:val="0"/>
          <w:numId w:val="64"/>
        </w:numPr>
        <w:rPr>
          <w:rFonts w:ascii="Calibri" w:cs="Calibri" w:eastAsia="Calibri" w:hAnsi="Calibri"/>
          <w:sz w:val="11"/>
          <w:szCs w:val="11"/>
          <w:color w:val="auto"/>
        </w:rPr>
      </w:pPr>
      <w:r>
        <w:rPr>
          <w:rFonts w:ascii="Calibri" w:cs="Calibri" w:eastAsia="Calibri" w:hAnsi="Calibri"/>
          <w:sz w:val="11"/>
          <w:szCs w:val="11"/>
          <w:color w:val="auto"/>
        </w:rPr>
        <w:t>Total income includes net interest income, fee income, net gain on foreign exchange transactons, result on exchange diference and net gain on derivatves. Operatng expenses includes Salaries and social benefts, administratve, general and tax expenses and depreciaton and amortzaton.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758825</wp:posOffset>
            </wp:positionV>
            <wp:extent cx="7137400"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90170</wp:posOffset>
            </wp:positionV>
            <wp:extent cx="6501130" cy="5702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501130" cy="57023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7766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7400" cy="776605"/>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12.7.5.BCP Bolivia</w:t>
      </w:r>
    </w:p>
    <w:p>
      <w:pPr>
        <w:spacing w:after="0" w:line="19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Financial Positon</w:t>
      </w:r>
    </w:p>
    <w:p>
      <w:pPr>
        <w:jc w:val="center"/>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620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020" w:type="dxa"/>
            <w:vAlign w:val="bottom"/>
            <w:tcBorders>
              <w:top w:val="single" w:sz="8" w:color="auto"/>
            </w:tcBorders>
            <w:shd w:val="clear" w:color="auto" w:fill="2AD2C9"/>
          </w:tcPr>
          <w:p>
            <w:pPr>
              <w:spacing w:after="0"/>
              <w:rPr>
                <w:sz w:val="11"/>
                <w:szCs w:val="11"/>
                <w:color w:val="auto"/>
              </w:rPr>
            </w:pPr>
          </w:p>
        </w:tc>
        <w:tc>
          <w:tcPr>
            <w:tcW w:w="1000" w:type="dxa"/>
            <w:vAlign w:val="bottom"/>
            <w:tcBorders>
              <w:top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5"/>
              </w:rPr>
              <w:t>As of</w:t>
            </w:r>
          </w:p>
        </w:tc>
        <w:tc>
          <w:tcPr>
            <w:tcW w:w="1020" w:type="dxa"/>
            <w:vAlign w:val="bottom"/>
            <w:tcBorders>
              <w:top w:val="single" w:sz="8" w:color="auto"/>
              <w:right w:val="single" w:sz="8" w:color="auto"/>
            </w:tcBorders>
            <w:shd w:val="clear" w:color="auto" w:fill="2AD2C9"/>
          </w:tcPr>
          <w:p>
            <w:pPr>
              <w:spacing w:after="0"/>
              <w:rPr>
                <w:sz w:val="11"/>
                <w:szCs w:val="11"/>
                <w:color w:val="auto"/>
              </w:rPr>
            </w:pPr>
          </w:p>
        </w:tc>
        <w:tc>
          <w:tcPr>
            <w:tcW w:w="720" w:type="dxa"/>
            <w:vAlign w:val="bottom"/>
            <w:tcBorders>
              <w:top w:val="single" w:sz="8" w:color="auto"/>
            </w:tcBorders>
            <w:shd w:val="clear" w:color="auto" w:fill="2AD2C9"/>
          </w:tcPr>
          <w:p>
            <w:pPr>
              <w:spacing w:after="0"/>
              <w:rPr>
                <w:sz w:val="11"/>
                <w:szCs w:val="11"/>
                <w:color w:val="auto"/>
              </w:rPr>
            </w:pPr>
          </w:p>
        </w:tc>
        <w:tc>
          <w:tcPr>
            <w:tcW w:w="1300" w:type="dxa"/>
            <w:vAlign w:val="bottom"/>
            <w:tcBorders>
              <w:top w:val="single" w:sz="8" w:color="auto"/>
              <w:right w:val="single" w:sz="8" w:color="auto"/>
            </w:tcBorders>
            <w:shd w:val="clear" w:color="auto" w:fill="2AD2C9"/>
          </w:tcPr>
          <w:p>
            <w:pPr>
              <w:ind w:left="60"/>
              <w:spacing w:after="0"/>
              <w:rPr>
                <w:sz w:val="20"/>
                <w:szCs w:val="20"/>
                <w:color w:val="auto"/>
              </w:rPr>
            </w:pPr>
            <w:r>
              <w:rPr>
                <w:rFonts w:ascii="Calibri" w:cs="Calibri" w:eastAsia="Calibri" w:hAnsi="Calibri"/>
                <w:sz w:val="10"/>
                <w:szCs w:val="10"/>
                <w:b w:val="1"/>
                <w:bCs w:val="1"/>
                <w:color w:val="FFFFFF"/>
              </w:rPr>
              <w:t>% change</w:t>
            </w:r>
          </w:p>
        </w:tc>
      </w:tr>
      <w:tr>
        <w:trPr>
          <w:trHeight w:val="130"/>
        </w:trPr>
        <w:tc>
          <w:tcPr>
            <w:tcW w:w="620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1020" w:type="dxa"/>
            <w:vAlign w:val="bottom"/>
            <w:tcBorders>
              <w:bottom w:val="single" w:sz="8" w:color="auto"/>
            </w:tcBorders>
            <w:shd w:val="clear" w:color="auto" w:fill="2AD2C9"/>
          </w:tcPr>
          <w:p>
            <w:pPr>
              <w:ind w:left="360"/>
              <w:spacing w:after="0"/>
              <w:rPr>
                <w:sz w:val="20"/>
                <w:szCs w:val="20"/>
                <w:color w:val="auto"/>
              </w:rPr>
            </w:pPr>
            <w:r>
              <w:rPr>
                <w:rFonts w:ascii="Calibri" w:cs="Calibri" w:eastAsia="Calibri" w:hAnsi="Calibri"/>
                <w:sz w:val="10"/>
                <w:szCs w:val="10"/>
                <w:b w:val="1"/>
                <w:bCs w:val="1"/>
                <w:color w:val="FFFFFF"/>
              </w:rPr>
              <w:t>Jun 24</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rPr>
              <w:t>Mar 25</w:t>
            </w:r>
          </w:p>
        </w:tc>
        <w:tc>
          <w:tcPr>
            <w:tcW w:w="102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Calibri" w:cs="Calibri" w:eastAsia="Calibri" w:hAnsi="Calibri"/>
                <w:sz w:val="10"/>
                <w:szCs w:val="10"/>
                <w:b w:val="1"/>
                <w:bCs w:val="1"/>
                <w:color w:val="FFFFFF"/>
              </w:rPr>
              <w:t>Jun 25</w:t>
            </w:r>
          </w:p>
        </w:tc>
        <w:tc>
          <w:tcPr>
            <w:tcW w:w="720" w:type="dxa"/>
            <w:vAlign w:val="bottom"/>
            <w:tcBorders>
              <w:bottom w:val="single" w:sz="8" w:color="auto"/>
            </w:tcBorders>
            <w:shd w:val="clear" w:color="auto" w:fill="2AD2C9"/>
          </w:tcPr>
          <w:p>
            <w:pPr>
              <w:jc w:val="center"/>
              <w:ind w:left="228"/>
              <w:spacing w:after="0"/>
              <w:rPr>
                <w:sz w:val="20"/>
                <w:szCs w:val="20"/>
                <w:color w:val="auto"/>
              </w:rPr>
            </w:pPr>
            <w:r>
              <w:rPr>
                <w:rFonts w:ascii="Calibri" w:cs="Calibri" w:eastAsia="Calibri" w:hAnsi="Calibri"/>
                <w:sz w:val="10"/>
                <w:szCs w:val="10"/>
                <w:b w:val="1"/>
                <w:bCs w:val="1"/>
                <w:color w:val="FFFFFF"/>
              </w:rPr>
              <w:t>QoQ</w:t>
            </w:r>
          </w:p>
        </w:tc>
        <w:tc>
          <w:tcPr>
            <w:tcW w:w="1300" w:type="dxa"/>
            <w:vAlign w:val="bottom"/>
            <w:tcBorders>
              <w:bottom w:val="single" w:sz="8" w:color="auto"/>
              <w:right w:val="single" w:sz="8" w:color="auto"/>
            </w:tcBorders>
            <w:shd w:val="clear" w:color="auto" w:fill="2AD2C9"/>
          </w:tcPr>
          <w:p>
            <w:pPr>
              <w:jc w:val="center"/>
              <w:ind w:left="188"/>
              <w:spacing w:after="0"/>
              <w:rPr>
                <w:sz w:val="20"/>
                <w:szCs w:val="20"/>
                <w:color w:val="auto"/>
              </w:rPr>
            </w:pPr>
            <w:r>
              <w:rPr>
                <w:rFonts w:ascii="Calibri" w:cs="Calibri" w:eastAsia="Calibri" w:hAnsi="Calibri"/>
                <w:sz w:val="10"/>
                <w:szCs w:val="10"/>
                <w:b w:val="1"/>
                <w:bCs w:val="1"/>
                <w:color w:val="FFFFFF"/>
                <w:w w:val="88"/>
              </w:rPr>
              <w:t>YoY</w:t>
            </w:r>
          </w:p>
        </w:tc>
      </w:tr>
      <w:tr>
        <w:trPr>
          <w:trHeight w:val="122"/>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ASSETS</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2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Cash and due from banks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2,385,328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1,646,883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1,218,865</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-26.0%</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-48.9%</w:t>
            </w: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Investments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1,495,591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1,248,084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685,760</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-45.1%</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-54.1%</w:t>
            </w: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Loans</w:t>
            </w:r>
          </w:p>
        </w:tc>
        <w:tc>
          <w:tcPr>
            <w:tcW w:w="1020" w:type="dxa"/>
            <w:vAlign w:val="bottom"/>
          </w:tcPr>
          <w:p>
            <w:pPr>
              <w:jc w:val="center"/>
              <w:spacing w:after="0"/>
              <w:rPr>
                <w:sz w:val="20"/>
                <w:szCs w:val="20"/>
                <w:color w:val="auto"/>
              </w:rPr>
            </w:pPr>
            <w:r>
              <w:rPr>
                <w:rFonts w:ascii="Calibri" w:cs="Calibri" w:eastAsia="Calibri" w:hAnsi="Calibri"/>
                <w:sz w:val="10"/>
                <w:szCs w:val="10"/>
                <w:b w:val="1"/>
                <w:bCs w:val="1"/>
                <w:color w:val="auto"/>
              </w:rPr>
              <w:t>10,228,586</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6,293,810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4,189,040</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-33.4%</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-59.0%</w:t>
            </w:r>
          </w:p>
        </w:tc>
      </w:tr>
      <w:tr>
        <w:trPr>
          <w:trHeight w:val="130"/>
        </w:trPr>
        <w:tc>
          <w:tcPr>
            <w:tcW w:w="62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Current</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9,891,230</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6,075,092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4,050,247</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-33.3%</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-59.1%</w:t>
            </w:r>
          </w:p>
        </w:tc>
      </w:tr>
      <w:tr>
        <w:trPr>
          <w:trHeight w:val="130"/>
        </w:trPr>
        <w:tc>
          <w:tcPr>
            <w:tcW w:w="62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Internal overdue loans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282,934</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174,431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110,562</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-36.6%</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-60.9%</w:t>
            </w:r>
          </w:p>
        </w:tc>
      </w:tr>
      <w:tr>
        <w:trPr>
          <w:trHeight w:val="130"/>
        </w:trPr>
        <w:tc>
          <w:tcPr>
            <w:tcW w:w="62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Refnanced loans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54,422</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44,287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28,231</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-36.3%</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-48.1%</w:t>
            </w:r>
          </w:p>
        </w:tc>
      </w:tr>
      <w:tr>
        <w:trPr>
          <w:trHeight w:val="130"/>
        </w:trPr>
        <w:tc>
          <w:tcPr>
            <w:tcW w:w="62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0"/>
                <w:szCs w:val="10"/>
                <w:color w:val="auto"/>
              </w:rPr>
              <w:t>Less - allowance for loan losses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(365,686)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(226,534)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(153,555)</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-32.2%</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-58.0%</w:t>
            </w: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Loans, net</w:t>
            </w:r>
          </w:p>
        </w:tc>
        <w:tc>
          <w:tcPr>
            <w:tcW w:w="1020" w:type="dxa"/>
            <w:vAlign w:val="bottom"/>
          </w:tcPr>
          <w:p>
            <w:pPr>
              <w:jc w:val="center"/>
              <w:spacing w:after="0"/>
              <w:rPr>
                <w:sz w:val="20"/>
                <w:szCs w:val="20"/>
                <w:color w:val="auto"/>
              </w:rPr>
            </w:pPr>
            <w:r>
              <w:rPr>
                <w:rFonts w:ascii="Calibri" w:cs="Calibri" w:eastAsia="Calibri" w:hAnsi="Calibri"/>
                <w:sz w:val="10"/>
                <w:szCs w:val="10"/>
                <w:b w:val="1"/>
                <w:bCs w:val="1"/>
                <w:color w:val="auto"/>
              </w:rPr>
              <w:t>9,862,900</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6,067,276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4,035,485</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-33.5%</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-59.1%</w:t>
            </w: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Property, furniture and equipment, net</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67,289</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81,105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52,161</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-35.7%</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-22.5%</w:t>
            </w: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Other assets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370,700</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210,298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194,583</w:t>
            </w:r>
          </w:p>
        </w:tc>
        <w:tc>
          <w:tcPr>
            <w:tcW w:w="720" w:type="dxa"/>
            <w:vAlign w:val="bottom"/>
          </w:tcPr>
          <w:p>
            <w:pPr>
              <w:jc w:val="center"/>
              <w:ind w:left="228"/>
              <w:spacing w:after="0"/>
              <w:rPr>
                <w:sz w:val="20"/>
                <w:szCs w:val="20"/>
                <w:color w:val="auto"/>
              </w:rPr>
            </w:pPr>
            <w:r>
              <w:rPr>
                <w:rFonts w:ascii="Calibri" w:cs="Calibri" w:eastAsia="Calibri" w:hAnsi="Calibri"/>
                <w:sz w:val="10"/>
                <w:szCs w:val="10"/>
                <w:color w:val="auto"/>
              </w:rPr>
              <w:t>-7.5%</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-47.5%</w:t>
            </w:r>
          </w:p>
        </w:tc>
      </w:tr>
      <w:tr>
        <w:trPr>
          <w:trHeight w:val="130"/>
        </w:trPr>
        <w:tc>
          <w:tcPr>
            <w:tcW w:w="6200" w:type="dxa"/>
            <w:vAlign w:val="bottom"/>
            <w:tcBorders>
              <w:left w:val="single" w:sz="8" w:color="auto"/>
              <w:right w:val="single" w:sz="8" w:color="auto"/>
            </w:tcBorders>
          </w:tcPr>
          <w:p>
            <w:pPr>
              <w:ind w:left="2860"/>
              <w:spacing w:after="0"/>
              <w:rPr>
                <w:sz w:val="20"/>
                <w:szCs w:val="20"/>
                <w:color w:val="auto"/>
              </w:rPr>
            </w:pPr>
            <w:r>
              <w:rPr>
                <w:rFonts w:ascii="Calibri" w:cs="Calibri" w:eastAsia="Calibri" w:hAnsi="Calibri"/>
                <w:sz w:val="10"/>
                <w:szCs w:val="10"/>
                <w:b w:val="1"/>
                <w:bCs w:val="1"/>
                <w:color w:val="auto"/>
              </w:rPr>
              <w:t>Total assets</w:t>
            </w:r>
          </w:p>
        </w:tc>
        <w:tc>
          <w:tcPr>
            <w:tcW w:w="1020" w:type="dxa"/>
            <w:vAlign w:val="bottom"/>
          </w:tcPr>
          <w:p>
            <w:pPr>
              <w:jc w:val="center"/>
              <w:spacing w:after="0"/>
              <w:rPr>
                <w:sz w:val="20"/>
                <w:szCs w:val="20"/>
                <w:color w:val="auto"/>
              </w:rPr>
            </w:pPr>
            <w:r>
              <w:rPr>
                <w:rFonts w:ascii="Calibri" w:cs="Calibri" w:eastAsia="Calibri" w:hAnsi="Calibri"/>
                <w:sz w:val="10"/>
                <w:szCs w:val="10"/>
                <w:b w:val="1"/>
                <w:bCs w:val="1"/>
                <w:color w:val="auto"/>
              </w:rPr>
              <w:t>14,181,808</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9,253,646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6,186,854</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-33.1%</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-56.4%</w:t>
            </w:r>
          </w:p>
        </w:tc>
      </w:tr>
      <w:tr>
        <w:trPr>
          <w:trHeight w:val="26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LIABILITIES AND NET SHAREHOLDERS' EQUITY</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Deposits and obligatons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12,327,706</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7,971,085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5,195,468</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-34.8%</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-57.9%</w:t>
            </w: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Due to banks and correspondents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w:t>
            </w:r>
          </w:p>
        </w:tc>
        <w:tc>
          <w:tcPr>
            <w:tcW w:w="720" w:type="dxa"/>
            <w:vAlign w:val="bottom"/>
          </w:tcPr>
          <w:p>
            <w:pPr>
              <w:jc w:val="center"/>
              <w:ind w:left="228"/>
              <w:spacing w:after="0"/>
              <w:rPr>
                <w:sz w:val="20"/>
                <w:szCs w:val="20"/>
                <w:color w:val="auto"/>
              </w:rPr>
            </w:pPr>
            <w:r>
              <w:rPr>
                <w:rFonts w:ascii="Calibri" w:cs="Calibri" w:eastAsia="Calibri" w:hAnsi="Calibri"/>
                <w:sz w:val="10"/>
                <w:szCs w:val="10"/>
                <w:color w:val="auto"/>
              </w:rPr>
              <w:t>n.a.</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w w:val="92"/>
              </w:rPr>
              <w:t>n.a.</w:t>
            </w: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Bonds and subordinated debt</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167,652</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97,465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64,048</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-34.3%</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-61.8%</w:t>
            </w:r>
          </w:p>
        </w:tc>
      </w:tr>
      <w:tr>
        <w:trPr>
          <w:trHeight w:val="13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Other liabilites</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703,718</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475,663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374,043</w:t>
            </w:r>
          </w:p>
        </w:tc>
        <w:tc>
          <w:tcPr>
            <w:tcW w:w="720" w:type="dxa"/>
            <w:vAlign w:val="bottom"/>
          </w:tcPr>
          <w:p>
            <w:pPr>
              <w:jc w:val="center"/>
              <w:ind w:left="208"/>
              <w:spacing w:after="0"/>
              <w:rPr>
                <w:sz w:val="20"/>
                <w:szCs w:val="20"/>
                <w:color w:val="auto"/>
              </w:rPr>
            </w:pPr>
            <w:r>
              <w:rPr>
                <w:rFonts w:ascii="Calibri" w:cs="Calibri" w:eastAsia="Calibri" w:hAnsi="Calibri"/>
                <w:sz w:val="10"/>
                <w:szCs w:val="10"/>
                <w:color w:val="auto"/>
              </w:rPr>
              <w:t>-21.4%</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color w:val="auto"/>
              </w:rPr>
              <w:t>-46.8%</w:t>
            </w:r>
          </w:p>
        </w:tc>
      </w:tr>
      <w:tr>
        <w:trPr>
          <w:trHeight w:val="130"/>
        </w:trPr>
        <w:tc>
          <w:tcPr>
            <w:tcW w:w="6200" w:type="dxa"/>
            <w:vAlign w:val="bottom"/>
            <w:tcBorders>
              <w:left w:val="single" w:sz="8" w:color="auto"/>
              <w:right w:val="single" w:sz="8" w:color="auto"/>
            </w:tcBorders>
          </w:tcPr>
          <w:p>
            <w:pPr>
              <w:ind w:left="2780"/>
              <w:spacing w:after="0"/>
              <w:rPr>
                <w:sz w:val="20"/>
                <w:szCs w:val="20"/>
                <w:color w:val="auto"/>
              </w:rPr>
            </w:pPr>
            <w:r>
              <w:rPr>
                <w:rFonts w:ascii="Calibri" w:cs="Calibri" w:eastAsia="Calibri" w:hAnsi="Calibri"/>
                <w:sz w:val="10"/>
                <w:szCs w:val="10"/>
                <w:b w:val="1"/>
                <w:bCs w:val="1"/>
                <w:color w:val="auto"/>
              </w:rPr>
              <w:t>Total liabilites</w:t>
            </w:r>
          </w:p>
        </w:tc>
        <w:tc>
          <w:tcPr>
            <w:tcW w:w="1020" w:type="dxa"/>
            <w:vAlign w:val="bottom"/>
          </w:tcPr>
          <w:p>
            <w:pPr>
              <w:jc w:val="center"/>
              <w:spacing w:after="0"/>
              <w:rPr>
                <w:sz w:val="20"/>
                <w:szCs w:val="20"/>
                <w:color w:val="auto"/>
              </w:rPr>
            </w:pPr>
            <w:r>
              <w:rPr>
                <w:rFonts w:ascii="Calibri" w:cs="Calibri" w:eastAsia="Calibri" w:hAnsi="Calibri"/>
                <w:sz w:val="10"/>
                <w:szCs w:val="10"/>
                <w:b w:val="1"/>
                <w:bCs w:val="1"/>
                <w:color w:val="auto"/>
              </w:rPr>
              <w:t>13,199,076</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8,544,213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5,633,559</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-34.1%</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-57.3%</w:t>
            </w:r>
          </w:p>
        </w:tc>
      </w:tr>
      <w:tr>
        <w:trPr>
          <w:trHeight w:val="260"/>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equity</w:t>
            </w:r>
          </w:p>
        </w:tc>
        <w:tc>
          <w:tcPr>
            <w:tcW w:w="1020" w:type="dxa"/>
            <w:vAlign w:val="bottom"/>
          </w:tcPr>
          <w:p>
            <w:pPr>
              <w:jc w:val="center"/>
              <w:spacing w:after="0"/>
              <w:rPr>
                <w:sz w:val="20"/>
                <w:szCs w:val="20"/>
                <w:color w:val="auto"/>
              </w:rPr>
            </w:pPr>
            <w:r>
              <w:rPr>
                <w:rFonts w:ascii="Calibri" w:cs="Calibri" w:eastAsia="Calibri" w:hAnsi="Calibri"/>
                <w:sz w:val="10"/>
                <w:szCs w:val="10"/>
                <w:b w:val="1"/>
                <w:bCs w:val="1"/>
                <w:color w:val="auto"/>
              </w:rPr>
              <w:t>982,732</w:t>
            </w:r>
          </w:p>
        </w:tc>
        <w:tc>
          <w:tcPr>
            <w:tcW w:w="1000" w:type="dxa"/>
            <w:vAlign w:val="bottom"/>
          </w:tcPr>
          <w:p>
            <w:pPr>
              <w:jc w:val="center"/>
              <w:spacing w:after="0"/>
              <w:rPr>
                <w:sz w:val="20"/>
                <w:szCs w:val="20"/>
                <w:color w:val="auto"/>
              </w:rPr>
            </w:pPr>
            <w:r>
              <w:rPr>
                <w:rFonts w:ascii="Calibri" w:cs="Calibri" w:eastAsia="Calibri" w:hAnsi="Calibri"/>
                <w:sz w:val="10"/>
                <w:szCs w:val="10"/>
                <w:b w:val="1"/>
                <w:bCs w:val="1"/>
                <w:color w:val="auto"/>
              </w:rPr>
              <w:t>709,433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553,295</w:t>
            </w:r>
          </w:p>
        </w:tc>
        <w:tc>
          <w:tcPr>
            <w:tcW w:w="720" w:type="dxa"/>
            <w:vAlign w:val="bottom"/>
          </w:tcPr>
          <w:p>
            <w:pPr>
              <w:jc w:val="center"/>
              <w:ind w:left="208"/>
              <w:spacing w:after="0"/>
              <w:rPr>
                <w:sz w:val="20"/>
                <w:szCs w:val="20"/>
                <w:color w:val="auto"/>
              </w:rPr>
            </w:pPr>
            <w:r>
              <w:rPr>
                <w:rFonts w:ascii="Calibri" w:cs="Calibri" w:eastAsia="Calibri" w:hAnsi="Calibri"/>
                <w:sz w:val="10"/>
                <w:szCs w:val="10"/>
                <w:b w:val="1"/>
                <w:bCs w:val="1"/>
                <w:color w:val="auto"/>
              </w:rPr>
              <w:t>-22.0%</w:t>
            </w:r>
          </w:p>
        </w:tc>
        <w:tc>
          <w:tcPr>
            <w:tcW w:w="1300" w:type="dxa"/>
            <w:vAlign w:val="bottom"/>
            <w:tcBorders>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-43.7%</w:t>
            </w:r>
          </w:p>
        </w:tc>
      </w:tr>
      <w:tr>
        <w:trPr>
          <w:trHeight w:val="267"/>
        </w:trPr>
        <w:tc>
          <w:tcPr>
            <w:tcW w:w="620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LIABILITIES AND NET EQUITY</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14,181,808</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9,253,646</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6,186,854</w:t>
            </w:r>
          </w:p>
        </w:tc>
        <w:tc>
          <w:tcPr>
            <w:tcW w:w="720" w:type="dxa"/>
            <w:vAlign w:val="bottom"/>
            <w:tcBorders>
              <w:bottom w:val="single" w:sz="8" w:color="auto"/>
            </w:tcBorders>
          </w:tcPr>
          <w:p>
            <w:pPr>
              <w:jc w:val="center"/>
              <w:ind w:left="208"/>
              <w:spacing w:after="0"/>
              <w:rPr>
                <w:sz w:val="20"/>
                <w:szCs w:val="20"/>
                <w:color w:val="auto"/>
              </w:rPr>
            </w:pPr>
            <w:r>
              <w:rPr>
                <w:rFonts w:ascii="Calibri" w:cs="Calibri" w:eastAsia="Calibri" w:hAnsi="Calibri"/>
                <w:sz w:val="10"/>
                <w:szCs w:val="10"/>
                <w:b w:val="1"/>
                <w:bCs w:val="1"/>
                <w:color w:val="auto"/>
              </w:rPr>
              <w:t>-33.1%</w:t>
            </w:r>
          </w:p>
        </w:tc>
        <w:tc>
          <w:tcPr>
            <w:tcW w:w="1300" w:type="dxa"/>
            <w:vAlign w:val="bottom"/>
            <w:tcBorders>
              <w:bottom w:val="single" w:sz="8" w:color="auto"/>
              <w:right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rPr>
              <w:t>-56.4%</w:t>
            </w:r>
          </w:p>
        </w:tc>
      </w:tr>
    </w:tbl>
    <w:p>
      <w:pPr>
        <w:spacing w:after="0" w:line="168" w:lineRule="exact"/>
        <w:rPr>
          <w:sz w:val="20"/>
          <w:szCs w:val="20"/>
          <w:color w:val="auto"/>
        </w:rPr>
      </w:pPr>
    </w:p>
    <w:p>
      <w:pPr>
        <w:ind w:left="4940"/>
        <w:spacing w:after="0"/>
        <w:rPr>
          <w:sz w:val="20"/>
          <w:szCs w:val="20"/>
          <w:color w:val="auto"/>
        </w:rPr>
      </w:pPr>
      <w:r>
        <w:rPr>
          <w:rFonts w:ascii="Calibri" w:cs="Calibri" w:eastAsia="Calibri" w:hAnsi="Calibri"/>
          <w:sz w:val="16"/>
          <w:szCs w:val="16"/>
          <w:b w:val="1"/>
          <w:bCs w:val="1"/>
          <w:color w:val="auto"/>
        </w:rPr>
        <w:t>Statement of Income</w:t>
      </w:r>
    </w:p>
    <w:p>
      <w:pPr>
        <w:ind w:left="4960"/>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392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720" w:type="dxa"/>
            <w:vAlign w:val="bottom"/>
            <w:tcBorders>
              <w:top w:val="single" w:sz="8" w:color="auto"/>
            </w:tcBorders>
            <w:shd w:val="clear" w:color="auto" w:fill="2AD2C9"/>
          </w:tcPr>
          <w:p>
            <w:pPr>
              <w:spacing w:after="0"/>
              <w:rPr>
                <w:sz w:val="11"/>
                <w:szCs w:val="11"/>
                <w:color w:val="auto"/>
              </w:rPr>
            </w:pPr>
          </w:p>
        </w:tc>
        <w:tc>
          <w:tcPr>
            <w:tcW w:w="1260" w:type="dxa"/>
            <w:vAlign w:val="bottom"/>
            <w:tcBorders>
              <w:top w:val="single" w:sz="8" w:color="auto"/>
            </w:tcBorders>
            <w:shd w:val="clear" w:color="auto" w:fill="2AD2C9"/>
          </w:tcPr>
          <w:p>
            <w:pPr>
              <w:ind w:left="560"/>
              <w:spacing w:after="0"/>
              <w:rPr>
                <w:sz w:val="20"/>
                <w:szCs w:val="20"/>
                <w:color w:val="auto"/>
              </w:rPr>
            </w:pPr>
            <w:r>
              <w:rPr>
                <w:rFonts w:ascii="Calibri" w:cs="Calibri" w:eastAsia="Calibri" w:hAnsi="Calibri"/>
                <w:sz w:val="10"/>
                <w:szCs w:val="10"/>
                <w:b w:val="1"/>
                <w:bCs w:val="1"/>
                <w:color w:val="FFFFFF"/>
              </w:rPr>
              <w:t>Quarter</w:t>
            </w:r>
          </w:p>
        </w:tc>
        <w:tc>
          <w:tcPr>
            <w:tcW w:w="980" w:type="dxa"/>
            <w:vAlign w:val="bottom"/>
            <w:tcBorders>
              <w:top w:val="single" w:sz="8" w:color="auto"/>
              <w:right w:val="single" w:sz="8" w:color="auto"/>
            </w:tcBorders>
            <w:shd w:val="clear" w:color="auto" w:fill="2AD2C9"/>
          </w:tcPr>
          <w:p>
            <w:pPr>
              <w:spacing w:after="0"/>
              <w:rPr>
                <w:sz w:val="11"/>
                <w:szCs w:val="11"/>
                <w:color w:val="auto"/>
              </w:rPr>
            </w:pPr>
          </w:p>
        </w:tc>
        <w:tc>
          <w:tcPr>
            <w:tcW w:w="100" w:type="dxa"/>
            <w:vAlign w:val="bottom"/>
            <w:tcBorders>
              <w:top w:val="single" w:sz="8" w:color="auto"/>
              <w:right w:val="single" w:sz="8" w:color="2AD2C9"/>
            </w:tcBorders>
            <w:shd w:val="clear" w:color="auto" w:fill="2AD2C9"/>
          </w:tcPr>
          <w:p>
            <w:pPr>
              <w:spacing w:after="0"/>
              <w:rPr>
                <w:sz w:val="11"/>
                <w:szCs w:val="11"/>
                <w:color w:val="auto"/>
              </w:rPr>
            </w:pPr>
          </w:p>
        </w:tc>
        <w:tc>
          <w:tcPr>
            <w:tcW w:w="900" w:type="dxa"/>
            <w:vAlign w:val="bottom"/>
            <w:tcBorders>
              <w:top w:val="single" w:sz="8" w:color="auto"/>
            </w:tcBorders>
            <w:shd w:val="clear" w:color="auto" w:fill="2AD2C9"/>
          </w:tcPr>
          <w:p>
            <w:pPr>
              <w:ind w:left="480"/>
              <w:spacing w:after="0"/>
              <w:rPr>
                <w:sz w:val="20"/>
                <w:szCs w:val="20"/>
                <w:color w:val="auto"/>
              </w:rPr>
            </w:pPr>
            <w:r>
              <w:rPr>
                <w:rFonts w:ascii="Calibri" w:cs="Calibri" w:eastAsia="Calibri" w:hAnsi="Calibri"/>
                <w:sz w:val="10"/>
                <w:szCs w:val="10"/>
                <w:b w:val="1"/>
                <w:bCs w:val="1"/>
                <w:color w:val="FFFFFF"/>
              </w:rPr>
              <w:t>% change</w:t>
            </w:r>
          </w:p>
        </w:tc>
        <w:tc>
          <w:tcPr>
            <w:tcW w:w="580" w:type="dxa"/>
            <w:vAlign w:val="bottom"/>
            <w:tcBorders>
              <w:top w:val="single" w:sz="8" w:color="auto"/>
              <w:right w:val="single" w:sz="8" w:color="2AD2C9"/>
            </w:tcBorders>
            <w:shd w:val="clear" w:color="auto" w:fill="2AD2C9"/>
          </w:tcPr>
          <w:p>
            <w:pPr>
              <w:spacing w:after="0"/>
              <w:rPr>
                <w:sz w:val="11"/>
                <w:szCs w:val="11"/>
                <w:color w:val="auto"/>
              </w:rPr>
            </w:pPr>
          </w:p>
        </w:tc>
        <w:tc>
          <w:tcPr>
            <w:tcW w:w="160" w:type="dxa"/>
            <w:vAlign w:val="bottom"/>
            <w:tcBorders>
              <w:top w:val="single" w:sz="8" w:color="auto"/>
              <w:right w:val="single" w:sz="8" w:color="2AD2C9"/>
            </w:tcBorders>
            <w:shd w:val="clear" w:color="auto" w:fill="2AD2C9"/>
          </w:tcPr>
          <w:p>
            <w:pPr>
              <w:spacing w:after="0"/>
              <w:rPr>
                <w:sz w:val="11"/>
                <w:szCs w:val="11"/>
                <w:color w:val="auto"/>
              </w:rPr>
            </w:pPr>
          </w:p>
        </w:tc>
        <w:tc>
          <w:tcPr>
            <w:tcW w:w="520" w:type="dxa"/>
            <w:vAlign w:val="bottom"/>
            <w:tcBorders>
              <w:top w:val="single" w:sz="8" w:color="auto"/>
            </w:tcBorders>
            <w:shd w:val="clear" w:color="auto" w:fill="2AD2C9"/>
          </w:tcPr>
          <w:p>
            <w:pPr>
              <w:spacing w:after="0"/>
              <w:rPr>
                <w:sz w:val="11"/>
                <w:szCs w:val="11"/>
                <w:color w:val="auto"/>
              </w:rPr>
            </w:pPr>
          </w:p>
        </w:tc>
        <w:tc>
          <w:tcPr>
            <w:tcW w:w="960" w:type="dxa"/>
            <w:vAlign w:val="bottom"/>
            <w:tcBorders>
              <w:top w:val="single" w:sz="8" w:color="auto"/>
              <w:right w:val="single" w:sz="8" w:color="auto"/>
            </w:tcBorders>
            <w:shd w:val="clear" w:color="auto" w:fill="2AD2C9"/>
          </w:tcPr>
          <w:p>
            <w:pPr>
              <w:spacing w:after="0"/>
              <w:rPr>
                <w:sz w:val="20"/>
                <w:szCs w:val="20"/>
                <w:color w:val="auto"/>
              </w:rPr>
            </w:pPr>
            <w:r>
              <w:rPr>
                <w:rFonts w:ascii="Calibri" w:cs="Calibri" w:eastAsia="Calibri" w:hAnsi="Calibri"/>
                <w:sz w:val="10"/>
                <w:szCs w:val="10"/>
                <w:b w:val="1"/>
                <w:bCs w:val="1"/>
                <w:color w:val="FFFFFF"/>
              </w:rPr>
              <w:t>Up to</w:t>
            </w:r>
          </w:p>
        </w:tc>
        <w:tc>
          <w:tcPr>
            <w:tcW w:w="1160" w:type="dxa"/>
            <w:vAlign w:val="bottom"/>
            <w:tcBorders>
              <w:top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rPr>
              <w:t>% Change</w:t>
            </w:r>
          </w:p>
        </w:tc>
        <w:tc>
          <w:tcPr>
            <w:tcW w:w="0" w:type="dxa"/>
            <w:vAlign w:val="bottom"/>
          </w:tcPr>
          <w:p>
            <w:pPr>
              <w:spacing w:after="0"/>
              <w:rPr>
                <w:sz w:val="1"/>
                <w:szCs w:val="1"/>
                <w:color w:val="auto"/>
              </w:rPr>
            </w:pPr>
          </w:p>
        </w:tc>
      </w:tr>
      <w:tr>
        <w:trPr>
          <w:trHeight w:val="130"/>
        </w:trPr>
        <w:tc>
          <w:tcPr>
            <w:tcW w:w="392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720" w:type="dxa"/>
            <w:vAlign w:val="bottom"/>
            <w:tcBorders>
              <w:bottom w:val="single" w:sz="8" w:color="auto"/>
            </w:tcBorders>
            <w:shd w:val="clear" w:color="auto" w:fill="2AD2C9"/>
          </w:tcPr>
          <w:p>
            <w:pPr>
              <w:jc w:val="center"/>
              <w:ind w:left="168"/>
              <w:spacing w:after="0"/>
              <w:rPr>
                <w:sz w:val="20"/>
                <w:szCs w:val="20"/>
                <w:color w:val="auto"/>
              </w:rPr>
            </w:pPr>
            <w:r>
              <w:rPr>
                <w:rFonts w:ascii="Calibri" w:cs="Calibri" w:eastAsia="Calibri" w:hAnsi="Calibri"/>
                <w:sz w:val="10"/>
                <w:szCs w:val="10"/>
                <w:b w:val="1"/>
                <w:bCs w:val="1"/>
                <w:color w:val="FFFFFF"/>
                <w:w w:val="99"/>
              </w:rPr>
              <w:t>2Q24</w:t>
            </w:r>
          </w:p>
        </w:tc>
        <w:tc>
          <w:tcPr>
            <w:tcW w:w="1260" w:type="dxa"/>
            <w:vAlign w:val="bottom"/>
            <w:tcBorders>
              <w:bottom w:val="single" w:sz="8" w:color="auto"/>
            </w:tcBorders>
            <w:shd w:val="clear" w:color="auto" w:fill="2AD2C9"/>
          </w:tcPr>
          <w:p>
            <w:pPr>
              <w:jc w:val="center"/>
              <w:ind w:left="167"/>
              <w:spacing w:after="0"/>
              <w:rPr>
                <w:sz w:val="20"/>
                <w:szCs w:val="20"/>
                <w:color w:val="auto"/>
              </w:rPr>
            </w:pPr>
            <w:r>
              <w:rPr>
                <w:rFonts w:ascii="Calibri" w:cs="Calibri" w:eastAsia="Calibri" w:hAnsi="Calibri"/>
                <w:sz w:val="10"/>
                <w:szCs w:val="10"/>
                <w:b w:val="1"/>
                <w:bCs w:val="1"/>
                <w:color w:val="FFFFFF"/>
              </w:rPr>
              <w:t>1Q25</w:t>
            </w:r>
          </w:p>
        </w:tc>
        <w:tc>
          <w:tcPr>
            <w:tcW w:w="9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w w:val="99"/>
              </w:rPr>
              <w:t>2Q25</w:t>
            </w:r>
          </w:p>
        </w:tc>
        <w:tc>
          <w:tcPr>
            <w:tcW w:w="100" w:type="dxa"/>
            <w:vAlign w:val="bottom"/>
            <w:tcBorders>
              <w:bottom w:val="single" w:sz="8" w:color="auto"/>
              <w:right w:val="single" w:sz="8" w:color="2AD2C9"/>
            </w:tcBorders>
            <w:shd w:val="clear" w:color="auto" w:fill="2AD2C9"/>
          </w:tcPr>
          <w:p>
            <w:pPr>
              <w:spacing w:after="0"/>
              <w:rPr>
                <w:sz w:val="11"/>
                <w:szCs w:val="11"/>
                <w:color w:val="auto"/>
              </w:rPr>
            </w:pPr>
          </w:p>
        </w:tc>
        <w:tc>
          <w:tcPr>
            <w:tcW w:w="900" w:type="dxa"/>
            <w:vAlign w:val="bottom"/>
            <w:tcBorders>
              <w:bottom w:val="single" w:sz="8" w:color="auto"/>
            </w:tcBorders>
            <w:shd w:val="clear" w:color="auto" w:fill="2AD2C9"/>
          </w:tcPr>
          <w:p>
            <w:pPr>
              <w:ind w:left="180"/>
              <w:spacing w:after="0"/>
              <w:rPr>
                <w:sz w:val="20"/>
                <w:szCs w:val="20"/>
                <w:color w:val="auto"/>
              </w:rPr>
            </w:pPr>
            <w:r>
              <w:rPr>
                <w:rFonts w:ascii="Calibri" w:cs="Calibri" w:eastAsia="Calibri" w:hAnsi="Calibri"/>
                <w:sz w:val="10"/>
                <w:szCs w:val="10"/>
                <w:b w:val="1"/>
                <w:bCs w:val="1"/>
                <w:color w:val="FFFFFF"/>
              </w:rPr>
              <w:t>QoQ</w:t>
            </w:r>
          </w:p>
        </w:tc>
        <w:tc>
          <w:tcPr>
            <w:tcW w:w="580" w:type="dxa"/>
            <w:vAlign w:val="bottom"/>
            <w:tcBorders>
              <w:bottom w:val="single" w:sz="8" w:color="auto"/>
              <w:right w:val="single" w:sz="8" w:color="2AD2C9"/>
            </w:tcBorders>
            <w:shd w:val="clear" w:color="auto" w:fill="2AD2C9"/>
          </w:tcPr>
          <w:p>
            <w:pPr>
              <w:jc w:val="center"/>
              <w:ind w:right="208"/>
              <w:spacing w:after="0"/>
              <w:rPr>
                <w:sz w:val="20"/>
                <w:szCs w:val="20"/>
                <w:color w:val="auto"/>
              </w:rPr>
            </w:pPr>
            <w:r>
              <w:rPr>
                <w:rFonts w:ascii="Calibri" w:cs="Calibri" w:eastAsia="Calibri" w:hAnsi="Calibri"/>
                <w:sz w:val="10"/>
                <w:szCs w:val="10"/>
                <w:b w:val="1"/>
                <w:bCs w:val="1"/>
                <w:color w:val="FFFFFF"/>
              </w:rPr>
              <w:t>YoY</w:t>
            </w:r>
          </w:p>
        </w:tc>
        <w:tc>
          <w:tcPr>
            <w:tcW w:w="160" w:type="dxa"/>
            <w:vAlign w:val="bottom"/>
            <w:tcBorders>
              <w:bottom w:val="single" w:sz="8" w:color="auto"/>
              <w:right w:val="single" w:sz="8" w:color="2AD2C9"/>
            </w:tcBorders>
            <w:shd w:val="clear" w:color="auto" w:fill="2AD2C9"/>
          </w:tcPr>
          <w:p>
            <w:pPr>
              <w:spacing w:after="0"/>
              <w:rPr>
                <w:sz w:val="11"/>
                <w:szCs w:val="11"/>
                <w:color w:val="auto"/>
              </w:rPr>
            </w:pPr>
          </w:p>
        </w:tc>
        <w:tc>
          <w:tcPr>
            <w:tcW w:w="520" w:type="dxa"/>
            <w:vAlign w:val="bottom"/>
            <w:tcBorders>
              <w:bottom w:val="single" w:sz="8" w:color="auto"/>
            </w:tcBorders>
            <w:shd w:val="clear" w:color="auto" w:fill="2AD2C9"/>
          </w:tcPr>
          <w:p>
            <w:pPr>
              <w:ind w:left="100"/>
              <w:spacing w:after="0"/>
              <w:rPr>
                <w:sz w:val="20"/>
                <w:szCs w:val="20"/>
                <w:color w:val="auto"/>
              </w:rPr>
            </w:pPr>
            <w:r>
              <w:rPr>
                <w:rFonts w:ascii="Calibri" w:cs="Calibri" w:eastAsia="Calibri" w:hAnsi="Calibri"/>
                <w:sz w:val="10"/>
                <w:szCs w:val="10"/>
                <w:b w:val="1"/>
                <w:bCs w:val="1"/>
                <w:color w:val="FFFFFF"/>
              </w:rPr>
              <w:t>Jun 24</w:t>
            </w:r>
          </w:p>
        </w:tc>
        <w:tc>
          <w:tcPr>
            <w:tcW w:w="9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Calibri" w:cs="Calibri" w:eastAsia="Calibri" w:hAnsi="Calibri"/>
                <w:sz w:val="10"/>
                <w:szCs w:val="10"/>
                <w:b w:val="1"/>
                <w:bCs w:val="1"/>
                <w:color w:val="FFFFFF"/>
              </w:rPr>
              <w:t>Jun 25</w:t>
            </w:r>
          </w:p>
        </w:tc>
        <w:tc>
          <w:tcPr>
            <w:tcW w:w="11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rPr>
              <w:t>Jun 25 / Jun 24</w:t>
            </w:r>
          </w:p>
        </w:tc>
        <w:tc>
          <w:tcPr>
            <w:tcW w:w="0" w:type="dxa"/>
            <w:vAlign w:val="bottom"/>
          </w:tcPr>
          <w:p>
            <w:pPr>
              <w:spacing w:after="0"/>
              <w:rPr>
                <w:sz w:val="1"/>
                <w:szCs w:val="1"/>
                <w:color w:val="auto"/>
              </w:rPr>
            </w:pPr>
          </w:p>
        </w:tc>
      </w:tr>
      <w:tr>
        <w:trPr>
          <w:trHeight w:val="122"/>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Interests income, net</w:t>
            </w:r>
          </w:p>
        </w:tc>
        <w:tc>
          <w:tcPr>
            <w:tcW w:w="720" w:type="dxa"/>
            <w:vAlign w:val="bottom"/>
          </w:tcPr>
          <w:p>
            <w:pPr>
              <w:jc w:val="center"/>
              <w:ind w:left="168"/>
              <w:spacing w:after="0"/>
              <w:rPr>
                <w:sz w:val="20"/>
                <w:szCs w:val="20"/>
                <w:color w:val="auto"/>
              </w:rPr>
            </w:pPr>
            <w:r>
              <w:rPr>
                <w:rFonts w:ascii="Calibri" w:cs="Calibri" w:eastAsia="Calibri" w:hAnsi="Calibri"/>
                <w:sz w:val="10"/>
                <w:szCs w:val="10"/>
                <w:color w:val="auto"/>
              </w:rPr>
              <w:t>91,048</w:t>
            </w:r>
          </w:p>
        </w:tc>
        <w:tc>
          <w:tcPr>
            <w:tcW w:w="1260" w:type="dxa"/>
            <w:vAlign w:val="bottom"/>
          </w:tcPr>
          <w:p>
            <w:pPr>
              <w:jc w:val="center"/>
              <w:ind w:left="167"/>
              <w:spacing w:after="0"/>
              <w:rPr>
                <w:sz w:val="20"/>
                <w:szCs w:val="20"/>
                <w:color w:val="auto"/>
              </w:rPr>
            </w:pPr>
            <w:r>
              <w:rPr>
                <w:rFonts w:ascii="Calibri" w:cs="Calibri" w:eastAsia="Calibri" w:hAnsi="Calibri"/>
                <w:sz w:val="10"/>
                <w:szCs w:val="10"/>
                <w:color w:val="auto"/>
              </w:rPr>
              <w:t>71,066</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41,983</w:t>
            </w:r>
          </w:p>
        </w:tc>
        <w:tc>
          <w:tcPr>
            <w:tcW w:w="1000" w:type="dxa"/>
            <w:vAlign w:val="bottom"/>
            <w:gridSpan w:val="2"/>
          </w:tcPr>
          <w:p>
            <w:pPr>
              <w:jc w:val="center"/>
              <w:ind w:right="188"/>
              <w:spacing w:after="0"/>
              <w:rPr>
                <w:sz w:val="20"/>
                <w:szCs w:val="20"/>
                <w:color w:val="auto"/>
              </w:rPr>
            </w:pPr>
            <w:r>
              <w:rPr>
                <w:rFonts w:ascii="Calibri" w:cs="Calibri" w:eastAsia="Calibri" w:hAnsi="Calibri"/>
                <w:sz w:val="10"/>
                <w:szCs w:val="10"/>
                <w:color w:val="auto"/>
              </w:rPr>
              <w:t>-40.9%</w:t>
            </w:r>
          </w:p>
        </w:tc>
        <w:tc>
          <w:tcPr>
            <w:tcW w:w="58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0"/>
                <w:szCs w:val="10"/>
                <w:color w:val="auto"/>
              </w:rPr>
              <w:t>-53.9%</w:t>
            </w:r>
          </w:p>
        </w:tc>
        <w:tc>
          <w:tcPr>
            <w:tcW w:w="680" w:type="dxa"/>
            <w:vAlign w:val="bottom"/>
            <w:gridSpan w:val="2"/>
          </w:tcPr>
          <w:p>
            <w:pPr>
              <w:jc w:val="center"/>
              <w:ind w:left="88"/>
              <w:spacing w:after="0"/>
              <w:rPr>
                <w:sz w:val="20"/>
                <w:szCs w:val="20"/>
                <w:color w:val="auto"/>
              </w:rPr>
            </w:pPr>
            <w:r>
              <w:rPr>
                <w:rFonts w:ascii="Calibri" w:cs="Calibri" w:eastAsia="Calibri" w:hAnsi="Calibri"/>
                <w:sz w:val="10"/>
                <w:szCs w:val="10"/>
                <w:color w:val="auto"/>
              </w:rPr>
              <w:t>177,896</w:t>
            </w:r>
          </w:p>
        </w:tc>
        <w:tc>
          <w:tcPr>
            <w:tcW w:w="960" w:type="dxa"/>
            <w:vAlign w:val="bottom"/>
            <w:tcBorders>
              <w:right w:val="single" w:sz="8" w:color="auto"/>
            </w:tcBorders>
          </w:tcPr>
          <w:p>
            <w:pPr>
              <w:jc w:val="center"/>
              <w:ind w:left="48"/>
              <w:spacing w:after="0"/>
              <w:rPr>
                <w:sz w:val="20"/>
                <w:szCs w:val="20"/>
                <w:color w:val="auto"/>
              </w:rPr>
            </w:pPr>
            <w:r>
              <w:rPr>
                <w:rFonts w:ascii="Calibri" w:cs="Calibri" w:eastAsia="Calibri" w:hAnsi="Calibri"/>
                <w:sz w:val="10"/>
                <w:szCs w:val="10"/>
                <w:color w:val="auto"/>
              </w:rPr>
              <w:t>113,049</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-36.5%</w:t>
            </w:r>
          </w:p>
        </w:tc>
        <w:tc>
          <w:tcPr>
            <w:tcW w:w="0" w:type="dxa"/>
            <w:vAlign w:val="bottom"/>
          </w:tcPr>
          <w:p>
            <w:pPr>
              <w:spacing w:after="0"/>
              <w:rPr>
                <w:sz w:val="1"/>
                <w:szCs w:val="1"/>
                <w:color w:val="auto"/>
              </w:rPr>
            </w:pPr>
          </w:p>
        </w:tc>
      </w:tr>
      <w:tr>
        <w:trPr>
          <w:trHeight w:val="124"/>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Provisions for doubtul accounts receivable, net of recoveries</w:t>
            </w:r>
          </w:p>
        </w:tc>
        <w:tc>
          <w:tcPr>
            <w:tcW w:w="720" w:type="dxa"/>
            <w:vAlign w:val="bottom"/>
          </w:tcPr>
          <w:p>
            <w:pPr>
              <w:jc w:val="center"/>
              <w:ind w:left="168"/>
              <w:spacing w:after="0"/>
              <w:rPr>
                <w:sz w:val="20"/>
                <w:szCs w:val="20"/>
                <w:color w:val="auto"/>
              </w:rPr>
            </w:pPr>
            <w:r>
              <w:rPr>
                <w:rFonts w:ascii="Calibri" w:cs="Calibri" w:eastAsia="Calibri" w:hAnsi="Calibri"/>
                <w:sz w:val="10"/>
                <w:szCs w:val="10"/>
                <w:color w:val="auto"/>
              </w:rPr>
              <w:t>(23,466)</w:t>
            </w:r>
          </w:p>
        </w:tc>
        <w:tc>
          <w:tcPr>
            <w:tcW w:w="1260" w:type="dxa"/>
            <w:vAlign w:val="bottom"/>
          </w:tcPr>
          <w:p>
            <w:pPr>
              <w:jc w:val="center"/>
              <w:ind w:left="187"/>
              <w:spacing w:after="0"/>
              <w:rPr>
                <w:sz w:val="20"/>
                <w:szCs w:val="20"/>
                <w:color w:val="auto"/>
              </w:rPr>
            </w:pPr>
            <w:r>
              <w:rPr>
                <w:rFonts w:ascii="Calibri" w:cs="Calibri" w:eastAsia="Calibri" w:hAnsi="Calibri"/>
                <w:sz w:val="10"/>
                <w:szCs w:val="10"/>
                <w:color w:val="auto"/>
              </w:rPr>
              <w:t>(5,743)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(11,042)</w:t>
            </w:r>
          </w:p>
        </w:tc>
        <w:tc>
          <w:tcPr>
            <w:tcW w:w="1000" w:type="dxa"/>
            <w:vAlign w:val="bottom"/>
            <w:gridSpan w:val="2"/>
          </w:tcPr>
          <w:p>
            <w:pPr>
              <w:jc w:val="center"/>
              <w:ind w:right="208"/>
              <w:spacing w:after="0"/>
              <w:rPr>
                <w:sz w:val="20"/>
                <w:szCs w:val="20"/>
                <w:color w:val="auto"/>
              </w:rPr>
            </w:pPr>
            <w:r>
              <w:rPr>
                <w:rFonts w:ascii="Calibri" w:cs="Calibri" w:eastAsia="Calibri" w:hAnsi="Calibri"/>
                <w:sz w:val="10"/>
                <w:szCs w:val="10"/>
                <w:color w:val="auto"/>
              </w:rPr>
              <w:t>92.3%</w:t>
            </w:r>
          </w:p>
        </w:tc>
        <w:tc>
          <w:tcPr>
            <w:tcW w:w="58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0"/>
                <w:szCs w:val="10"/>
                <w:color w:val="auto"/>
              </w:rPr>
              <w:t>-52.9%</w:t>
            </w:r>
          </w:p>
        </w:tc>
        <w:tc>
          <w:tcPr>
            <w:tcW w:w="680" w:type="dxa"/>
            <w:vAlign w:val="bottom"/>
            <w:gridSpan w:val="2"/>
          </w:tcPr>
          <w:p>
            <w:pPr>
              <w:jc w:val="center"/>
              <w:ind w:left="68"/>
              <w:spacing w:after="0"/>
              <w:rPr>
                <w:sz w:val="20"/>
                <w:szCs w:val="20"/>
                <w:color w:val="auto"/>
              </w:rPr>
            </w:pPr>
            <w:r>
              <w:rPr>
                <w:rFonts w:ascii="Calibri" w:cs="Calibri" w:eastAsia="Calibri" w:hAnsi="Calibri"/>
                <w:sz w:val="10"/>
                <w:szCs w:val="10"/>
                <w:color w:val="auto"/>
              </w:rPr>
              <w:t>(38,119)</w:t>
            </w:r>
          </w:p>
        </w:tc>
        <w:tc>
          <w:tcPr>
            <w:tcW w:w="96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(16,785)</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-56.0%</w:t>
            </w:r>
          </w:p>
        </w:tc>
        <w:tc>
          <w:tcPr>
            <w:tcW w:w="0" w:type="dxa"/>
            <w:vAlign w:val="bottom"/>
          </w:tcPr>
          <w:p>
            <w:pPr>
              <w:spacing w:after="0"/>
              <w:rPr>
                <w:sz w:val="1"/>
                <w:szCs w:val="1"/>
                <w:color w:val="auto"/>
              </w:rPr>
            </w:pPr>
          </w:p>
        </w:tc>
      </w:tr>
      <w:tr>
        <w:trPr>
          <w:trHeight w:val="130"/>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interest income afer provisions</w:t>
            </w:r>
          </w:p>
        </w:tc>
        <w:tc>
          <w:tcPr>
            <w:tcW w:w="720" w:type="dxa"/>
            <w:vAlign w:val="bottom"/>
          </w:tcPr>
          <w:p>
            <w:pPr>
              <w:jc w:val="center"/>
              <w:ind w:left="168"/>
              <w:spacing w:after="0"/>
              <w:rPr>
                <w:sz w:val="20"/>
                <w:szCs w:val="20"/>
                <w:color w:val="auto"/>
              </w:rPr>
            </w:pPr>
            <w:r>
              <w:rPr>
                <w:rFonts w:ascii="Calibri" w:cs="Calibri" w:eastAsia="Calibri" w:hAnsi="Calibri"/>
                <w:sz w:val="10"/>
                <w:szCs w:val="10"/>
                <w:b w:val="1"/>
                <w:bCs w:val="1"/>
                <w:color w:val="auto"/>
              </w:rPr>
              <w:t>67,582</w:t>
            </w:r>
          </w:p>
        </w:tc>
        <w:tc>
          <w:tcPr>
            <w:tcW w:w="1260" w:type="dxa"/>
            <w:vAlign w:val="bottom"/>
          </w:tcPr>
          <w:p>
            <w:pPr>
              <w:jc w:val="center"/>
              <w:ind w:left="167"/>
              <w:spacing w:after="0"/>
              <w:rPr>
                <w:sz w:val="20"/>
                <w:szCs w:val="20"/>
                <w:color w:val="auto"/>
              </w:rPr>
            </w:pPr>
            <w:r>
              <w:rPr>
                <w:rFonts w:ascii="Calibri" w:cs="Calibri" w:eastAsia="Calibri" w:hAnsi="Calibri"/>
                <w:sz w:val="10"/>
                <w:szCs w:val="10"/>
                <w:b w:val="1"/>
                <w:bCs w:val="1"/>
                <w:color w:val="auto"/>
              </w:rPr>
              <w:t>65,323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30,941</w:t>
            </w:r>
          </w:p>
        </w:tc>
        <w:tc>
          <w:tcPr>
            <w:tcW w:w="1000" w:type="dxa"/>
            <w:vAlign w:val="bottom"/>
            <w:gridSpan w:val="2"/>
          </w:tcPr>
          <w:p>
            <w:pPr>
              <w:jc w:val="center"/>
              <w:ind w:right="208"/>
              <w:spacing w:after="0"/>
              <w:rPr>
                <w:sz w:val="20"/>
                <w:szCs w:val="20"/>
                <w:color w:val="auto"/>
              </w:rPr>
            </w:pPr>
            <w:r>
              <w:rPr>
                <w:rFonts w:ascii="Calibri" w:cs="Calibri" w:eastAsia="Calibri" w:hAnsi="Calibri"/>
                <w:sz w:val="10"/>
                <w:szCs w:val="10"/>
                <w:b w:val="1"/>
                <w:bCs w:val="1"/>
                <w:color w:val="auto"/>
              </w:rPr>
              <w:t>-52.6%</w:t>
            </w:r>
          </w:p>
        </w:tc>
        <w:tc>
          <w:tcPr>
            <w:tcW w:w="58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0"/>
                <w:szCs w:val="10"/>
                <w:b w:val="1"/>
                <w:bCs w:val="1"/>
                <w:color w:val="auto"/>
              </w:rPr>
              <w:t>-54.2%</w:t>
            </w:r>
          </w:p>
        </w:tc>
        <w:tc>
          <w:tcPr>
            <w:tcW w:w="680" w:type="dxa"/>
            <w:vAlign w:val="bottom"/>
            <w:gridSpan w:val="2"/>
          </w:tcPr>
          <w:p>
            <w:pPr>
              <w:jc w:val="center"/>
              <w:ind w:left="88"/>
              <w:spacing w:after="0"/>
              <w:rPr>
                <w:sz w:val="20"/>
                <w:szCs w:val="20"/>
                <w:color w:val="auto"/>
              </w:rPr>
            </w:pPr>
            <w:r>
              <w:rPr>
                <w:rFonts w:ascii="Calibri" w:cs="Calibri" w:eastAsia="Calibri" w:hAnsi="Calibri"/>
                <w:sz w:val="10"/>
                <w:szCs w:val="10"/>
                <w:b w:val="1"/>
                <w:bCs w:val="1"/>
                <w:color w:val="auto"/>
              </w:rPr>
              <w:t>139,777</w:t>
            </w:r>
          </w:p>
        </w:tc>
        <w:tc>
          <w:tcPr>
            <w:tcW w:w="96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b w:val="1"/>
                <w:bCs w:val="1"/>
                <w:color w:val="auto"/>
              </w:rPr>
              <w:t>96,264</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-31.1%</w:t>
            </w:r>
          </w:p>
        </w:tc>
        <w:tc>
          <w:tcPr>
            <w:tcW w:w="0" w:type="dxa"/>
            <w:vAlign w:val="bottom"/>
          </w:tcPr>
          <w:p>
            <w:pPr>
              <w:spacing w:after="0"/>
              <w:rPr>
                <w:sz w:val="1"/>
                <w:szCs w:val="1"/>
                <w:color w:val="auto"/>
              </w:rPr>
            </w:pPr>
          </w:p>
        </w:tc>
      </w:tr>
      <w:tr>
        <w:trPr>
          <w:trHeight w:val="130"/>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Non fnancial income</w:t>
            </w:r>
          </w:p>
        </w:tc>
        <w:tc>
          <w:tcPr>
            <w:tcW w:w="720" w:type="dxa"/>
            <w:vAlign w:val="bottom"/>
          </w:tcPr>
          <w:p>
            <w:pPr>
              <w:jc w:val="center"/>
              <w:ind w:left="168"/>
              <w:spacing w:after="0"/>
              <w:rPr>
                <w:sz w:val="20"/>
                <w:szCs w:val="20"/>
                <w:color w:val="auto"/>
              </w:rPr>
            </w:pPr>
            <w:r>
              <w:rPr>
                <w:rFonts w:ascii="Calibri" w:cs="Calibri" w:eastAsia="Calibri" w:hAnsi="Calibri"/>
                <w:sz w:val="10"/>
                <w:szCs w:val="10"/>
                <w:color w:val="auto"/>
              </w:rPr>
              <w:t>91,766</w:t>
            </w:r>
          </w:p>
        </w:tc>
        <w:tc>
          <w:tcPr>
            <w:tcW w:w="1260" w:type="dxa"/>
            <w:vAlign w:val="bottom"/>
          </w:tcPr>
          <w:p>
            <w:pPr>
              <w:jc w:val="center"/>
              <w:ind w:left="167"/>
              <w:spacing w:after="0"/>
              <w:rPr>
                <w:sz w:val="20"/>
                <w:szCs w:val="20"/>
                <w:color w:val="auto"/>
              </w:rPr>
            </w:pPr>
            <w:r>
              <w:rPr>
                <w:rFonts w:ascii="Calibri" w:cs="Calibri" w:eastAsia="Calibri" w:hAnsi="Calibri"/>
                <w:sz w:val="10"/>
                <w:szCs w:val="10"/>
                <w:color w:val="auto"/>
              </w:rPr>
              <w:t>60,815</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30,938</w:t>
            </w:r>
          </w:p>
        </w:tc>
        <w:tc>
          <w:tcPr>
            <w:tcW w:w="1000" w:type="dxa"/>
            <w:vAlign w:val="bottom"/>
            <w:gridSpan w:val="2"/>
          </w:tcPr>
          <w:p>
            <w:pPr>
              <w:jc w:val="center"/>
              <w:ind w:right="188"/>
              <w:spacing w:after="0"/>
              <w:rPr>
                <w:sz w:val="20"/>
                <w:szCs w:val="20"/>
                <w:color w:val="auto"/>
              </w:rPr>
            </w:pPr>
            <w:r>
              <w:rPr>
                <w:rFonts w:ascii="Calibri" w:cs="Calibri" w:eastAsia="Calibri" w:hAnsi="Calibri"/>
                <w:sz w:val="10"/>
                <w:szCs w:val="10"/>
                <w:color w:val="auto"/>
              </w:rPr>
              <w:t>-49.1%</w:t>
            </w:r>
          </w:p>
        </w:tc>
        <w:tc>
          <w:tcPr>
            <w:tcW w:w="58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0"/>
                <w:szCs w:val="10"/>
                <w:color w:val="auto"/>
              </w:rPr>
              <w:t>-66.3%</w:t>
            </w:r>
          </w:p>
        </w:tc>
        <w:tc>
          <w:tcPr>
            <w:tcW w:w="680" w:type="dxa"/>
            <w:vAlign w:val="bottom"/>
            <w:gridSpan w:val="2"/>
          </w:tcPr>
          <w:p>
            <w:pPr>
              <w:jc w:val="center"/>
              <w:ind w:left="88"/>
              <w:spacing w:after="0"/>
              <w:rPr>
                <w:sz w:val="20"/>
                <w:szCs w:val="20"/>
                <w:color w:val="auto"/>
              </w:rPr>
            </w:pPr>
            <w:r>
              <w:rPr>
                <w:rFonts w:ascii="Calibri" w:cs="Calibri" w:eastAsia="Calibri" w:hAnsi="Calibri"/>
                <w:sz w:val="10"/>
                <w:szCs w:val="10"/>
                <w:color w:val="auto"/>
              </w:rPr>
              <w:t>154,514</w:t>
            </w:r>
          </w:p>
        </w:tc>
        <w:tc>
          <w:tcPr>
            <w:tcW w:w="96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91,753</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-40.6%</w:t>
            </w:r>
          </w:p>
        </w:tc>
        <w:tc>
          <w:tcPr>
            <w:tcW w:w="0" w:type="dxa"/>
            <w:vAlign w:val="bottom"/>
          </w:tcPr>
          <w:p>
            <w:pPr>
              <w:spacing w:after="0"/>
              <w:rPr>
                <w:sz w:val="1"/>
                <w:szCs w:val="1"/>
                <w:color w:val="auto"/>
              </w:rPr>
            </w:pPr>
          </w:p>
        </w:tc>
      </w:tr>
      <w:tr>
        <w:trPr>
          <w:trHeight w:val="130"/>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Total expenses</w:t>
            </w:r>
          </w:p>
        </w:tc>
        <w:tc>
          <w:tcPr>
            <w:tcW w:w="720" w:type="dxa"/>
            <w:vAlign w:val="bottom"/>
          </w:tcPr>
          <w:p>
            <w:pPr>
              <w:jc w:val="center"/>
              <w:ind w:left="168"/>
              <w:spacing w:after="0"/>
              <w:rPr>
                <w:sz w:val="20"/>
                <w:szCs w:val="20"/>
                <w:color w:val="auto"/>
              </w:rPr>
            </w:pPr>
            <w:r>
              <w:rPr>
                <w:rFonts w:ascii="Calibri" w:cs="Calibri" w:eastAsia="Calibri" w:hAnsi="Calibri"/>
                <w:sz w:val="10"/>
                <w:szCs w:val="10"/>
                <w:color w:val="auto"/>
              </w:rPr>
              <w:t>(98,349)</w:t>
            </w:r>
          </w:p>
        </w:tc>
        <w:tc>
          <w:tcPr>
            <w:tcW w:w="1260" w:type="dxa"/>
            <w:vAlign w:val="bottom"/>
          </w:tcPr>
          <w:p>
            <w:pPr>
              <w:jc w:val="center"/>
              <w:ind w:left="167"/>
              <w:spacing w:after="0"/>
              <w:rPr>
                <w:sz w:val="20"/>
                <w:szCs w:val="20"/>
                <w:color w:val="auto"/>
              </w:rPr>
            </w:pPr>
            <w:r>
              <w:rPr>
                <w:rFonts w:ascii="Calibri" w:cs="Calibri" w:eastAsia="Calibri" w:hAnsi="Calibri"/>
                <w:sz w:val="10"/>
                <w:szCs w:val="10"/>
                <w:color w:val="auto"/>
              </w:rPr>
              <w:t>(93,862)</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(44,737)</w:t>
            </w:r>
          </w:p>
        </w:tc>
        <w:tc>
          <w:tcPr>
            <w:tcW w:w="1000" w:type="dxa"/>
            <w:vAlign w:val="bottom"/>
            <w:gridSpan w:val="2"/>
          </w:tcPr>
          <w:p>
            <w:pPr>
              <w:jc w:val="center"/>
              <w:ind w:right="188"/>
              <w:spacing w:after="0"/>
              <w:rPr>
                <w:sz w:val="20"/>
                <w:szCs w:val="20"/>
                <w:color w:val="auto"/>
              </w:rPr>
            </w:pPr>
            <w:r>
              <w:rPr>
                <w:rFonts w:ascii="Calibri" w:cs="Calibri" w:eastAsia="Calibri" w:hAnsi="Calibri"/>
                <w:sz w:val="10"/>
                <w:szCs w:val="10"/>
                <w:color w:val="auto"/>
              </w:rPr>
              <w:t>-52.3%</w:t>
            </w:r>
          </w:p>
        </w:tc>
        <w:tc>
          <w:tcPr>
            <w:tcW w:w="58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0"/>
                <w:szCs w:val="10"/>
                <w:color w:val="auto"/>
              </w:rPr>
              <w:t>-54.5%</w:t>
            </w:r>
          </w:p>
        </w:tc>
        <w:tc>
          <w:tcPr>
            <w:tcW w:w="680" w:type="dxa"/>
            <w:vAlign w:val="bottom"/>
            <w:gridSpan w:val="2"/>
          </w:tcPr>
          <w:p>
            <w:pPr>
              <w:jc w:val="center"/>
              <w:ind w:left="68"/>
              <w:spacing w:after="0"/>
              <w:rPr>
                <w:sz w:val="20"/>
                <w:szCs w:val="20"/>
                <w:color w:val="auto"/>
              </w:rPr>
            </w:pPr>
            <w:r>
              <w:rPr>
                <w:rFonts w:ascii="Calibri" w:cs="Calibri" w:eastAsia="Calibri" w:hAnsi="Calibri"/>
                <w:sz w:val="10"/>
                <w:szCs w:val="10"/>
                <w:color w:val="auto"/>
              </w:rPr>
              <w:t>(199,771)</w:t>
            </w:r>
          </w:p>
        </w:tc>
        <w:tc>
          <w:tcPr>
            <w:tcW w:w="96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(138,599)</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-30.6%</w:t>
            </w:r>
          </w:p>
        </w:tc>
        <w:tc>
          <w:tcPr>
            <w:tcW w:w="0" w:type="dxa"/>
            <w:vAlign w:val="bottom"/>
          </w:tcPr>
          <w:p>
            <w:pPr>
              <w:spacing w:after="0"/>
              <w:rPr>
                <w:sz w:val="1"/>
                <w:szCs w:val="1"/>
                <w:color w:val="auto"/>
              </w:rPr>
            </w:pPr>
          </w:p>
        </w:tc>
      </w:tr>
      <w:tr>
        <w:trPr>
          <w:trHeight w:val="130"/>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Translaton result</w:t>
            </w:r>
          </w:p>
        </w:tc>
        <w:tc>
          <w:tcPr>
            <w:tcW w:w="720" w:type="dxa"/>
            <w:vAlign w:val="bottom"/>
          </w:tcPr>
          <w:p>
            <w:pPr>
              <w:jc w:val="center"/>
              <w:ind w:left="168"/>
              <w:spacing w:after="0"/>
              <w:rPr>
                <w:sz w:val="20"/>
                <w:szCs w:val="20"/>
                <w:color w:val="auto"/>
              </w:rPr>
            </w:pPr>
            <w:r>
              <w:rPr>
                <w:rFonts w:ascii="Calibri" w:cs="Calibri" w:eastAsia="Calibri" w:hAnsi="Calibri"/>
                <w:sz w:val="10"/>
                <w:szCs w:val="10"/>
                <w:color w:val="auto"/>
              </w:rPr>
              <w:t>(236)</w:t>
            </w:r>
          </w:p>
        </w:tc>
        <w:tc>
          <w:tcPr>
            <w:tcW w:w="1260" w:type="dxa"/>
            <w:vAlign w:val="bottom"/>
          </w:tcPr>
          <w:p>
            <w:pPr>
              <w:jc w:val="center"/>
              <w:ind w:left="167"/>
              <w:spacing w:after="0"/>
              <w:rPr>
                <w:sz w:val="20"/>
                <w:szCs w:val="20"/>
                <w:color w:val="auto"/>
              </w:rPr>
            </w:pPr>
            <w:r>
              <w:rPr>
                <w:rFonts w:ascii="Calibri" w:cs="Calibri" w:eastAsia="Calibri" w:hAnsi="Calibri"/>
                <w:sz w:val="10"/>
                <w:szCs w:val="10"/>
                <w:color w:val="auto"/>
              </w:rPr>
              <w:t>3,768</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2,934</w:t>
            </w:r>
          </w:p>
        </w:tc>
        <w:tc>
          <w:tcPr>
            <w:tcW w:w="1000" w:type="dxa"/>
            <w:vAlign w:val="bottom"/>
            <w:gridSpan w:val="2"/>
          </w:tcPr>
          <w:p>
            <w:pPr>
              <w:jc w:val="center"/>
              <w:ind w:right="188"/>
              <w:spacing w:after="0"/>
              <w:rPr>
                <w:sz w:val="20"/>
                <w:szCs w:val="20"/>
                <w:color w:val="auto"/>
              </w:rPr>
            </w:pPr>
            <w:r>
              <w:rPr>
                <w:rFonts w:ascii="Calibri" w:cs="Calibri" w:eastAsia="Calibri" w:hAnsi="Calibri"/>
                <w:sz w:val="10"/>
                <w:szCs w:val="10"/>
                <w:color w:val="auto"/>
              </w:rPr>
              <w:t>-22.1%</w:t>
            </w:r>
          </w:p>
        </w:tc>
        <w:tc>
          <w:tcPr>
            <w:tcW w:w="58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0"/>
                <w:szCs w:val="10"/>
                <w:color w:val="auto"/>
              </w:rPr>
              <w:t>n.a.</w:t>
            </w:r>
          </w:p>
        </w:tc>
        <w:tc>
          <w:tcPr>
            <w:tcW w:w="680" w:type="dxa"/>
            <w:vAlign w:val="bottom"/>
            <w:gridSpan w:val="2"/>
          </w:tcPr>
          <w:p>
            <w:pPr>
              <w:jc w:val="center"/>
              <w:ind w:left="88"/>
              <w:spacing w:after="0"/>
              <w:rPr>
                <w:sz w:val="20"/>
                <w:szCs w:val="20"/>
                <w:color w:val="auto"/>
              </w:rPr>
            </w:pPr>
            <w:r>
              <w:rPr>
                <w:rFonts w:ascii="Calibri" w:cs="Calibri" w:eastAsia="Calibri" w:hAnsi="Calibri"/>
                <w:sz w:val="10"/>
                <w:szCs w:val="10"/>
                <w:color w:val="auto"/>
              </w:rPr>
              <w:t>(399)</w:t>
            </w:r>
          </w:p>
        </w:tc>
        <w:tc>
          <w:tcPr>
            <w:tcW w:w="96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6,702</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c>
          <w:tcPr>
            <w:tcW w:w="0" w:type="dxa"/>
            <w:vAlign w:val="bottom"/>
          </w:tcPr>
          <w:p>
            <w:pPr>
              <w:spacing w:after="0"/>
              <w:rPr>
                <w:sz w:val="1"/>
                <w:szCs w:val="1"/>
                <w:color w:val="auto"/>
              </w:rPr>
            </w:pPr>
          </w:p>
        </w:tc>
      </w:tr>
      <w:tr>
        <w:trPr>
          <w:trHeight w:val="130"/>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Income tax</w:t>
            </w:r>
          </w:p>
        </w:tc>
        <w:tc>
          <w:tcPr>
            <w:tcW w:w="720" w:type="dxa"/>
            <w:vAlign w:val="bottom"/>
          </w:tcPr>
          <w:p>
            <w:pPr>
              <w:jc w:val="center"/>
              <w:ind w:left="168"/>
              <w:spacing w:after="0"/>
              <w:rPr>
                <w:sz w:val="20"/>
                <w:szCs w:val="20"/>
                <w:color w:val="auto"/>
              </w:rPr>
            </w:pPr>
            <w:r>
              <w:rPr>
                <w:rFonts w:ascii="Calibri" w:cs="Calibri" w:eastAsia="Calibri" w:hAnsi="Calibri"/>
                <w:sz w:val="10"/>
                <w:szCs w:val="10"/>
                <w:color w:val="auto"/>
              </w:rPr>
              <w:t>(27,725)</w:t>
            </w:r>
          </w:p>
        </w:tc>
        <w:tc>
          <w:tcPr>
            <w:tcW w:w="1260" w:type="dxa"/>
            <w:vAlign w:val="bottom"/>
          </w:tcPr>
          <w:p>
            <w:pPr>
              <w:jc w:val="center"/>
              <w:ind w:left="167"/>
              <w:spacing w:after="0"/>
              <w:rPr>
                <w:sz w:val="20"/>
                <w:szCs w:val="20"/>
                <w:color w:val="auto"/>
              </w:rPr>
            </w:pPr>
            <w:r>
              <w:rPr>
                <w:rFonts w:ascii="Calibri" w:cs="Calibri" w:eastAsia="Calibri" w:hAnsi="Calibri"/>
                <w:sz w:val="10"/>
                <w:szCs w:val="10"/>
                <w:color w:val="auto"/>
              </w:rPr>
              <w:t>(11,817)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(5,846)</w:t>
            </w:r>
          </w:p>
        </w:tc>
        <w:tc>
          <w:tcPr>
            <w:tcW w:w="1000" w:type="dxa"/>
            <w:vAlign w:val="bottom"/>
            <w:gridSpan w:val="2"/>
          </w:tcPr>
          <w:p>
            <w:pPr>
              <w:jc w:val="center"/>
              <w:ind w:right="188"/>
              <w:spacing w:after="0"/>
              <w:rPr>
                <w:sz w:val="20"/>
                <w:szCs w:val="20"/>
                <w:color w:val="auto"/>
              </w:rPr>
            </w:pPr>
            <w:r>
              <w:rPr>
                <w:rFonts w:ascii="Calibri" w:cs="Calibri" w:eastAsia="Calibri" w:hAnsi="Calibri"/>
                <w:sz w:val="10"/>
                <w:szCs w:val="10"/>
                <w:color w:val="auto"/>
              </w:rPr>
              <w:t>-50.5%</w:t>
            </w:r>
          </w:p>
        </w:tc>
        <w:tc>
          <w:tcPr>
            <w:tcW w:w="58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0"/>
                <w:szCs w:val="10"/>
                <w:color w:val="auto"/>
              </w:rPr>
              <w:t>-78.9%</w:t>
            </w:r>
          </w:p>
        </w:tc>
        <w:tc>
          <w:tcPr>
            <w:tcW w:w="680" w:type="dxa"/>
            <w:vAlign w:val="bottom"/>
            <w:gridSpan w:val="2"/>
          </w:tcPr>
          <w:p>
            <w:pPr>
              <w:jc w:val="center"/>
              <w:ind w:left="68"/>
              <w:spacing w:after="0"/>
              <w:rPr>
                <w:sz w:val="20"/>
                <w:szCs w:val="20"/>
                <w:color w:val="auto"/>
              </w:rPr>
            </w:pPr>
            <w:r>
              <w:rPr>
                <w:rFonts w:ascii="Calibri" w:cs="Calibri" w:eastAsia="Calibri" w:hAnsi="Calibri"/>
                <w:sz w:val="10"/>
                <w:szCs w:val="10"/>
                <w:color w:val="auto"/>
              </w:rPr>
              <w:t>(40,727)</w:t>
            </w:r>
          </w:p>
        </w:tc>
        <w:tc>
          <w:tcPr>
            <w:tcW w:w="96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(17,663)</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-56.6%</w:t>
            </w:r>
          </w:p>
        </w:tc>
        <w:tc>
          <w:tcPr>
            <w:tcW w:w="0" w:type="dxa"/>
            <w:vAlign w:val="bottom"/>
          </w:tcPr>
          <w:p>
            <w:pPr>
              <w:spacing w:after="0"/>
              <w:rPr>
                <w:sz w:val="1"/>
                <w:szCs w:val="1"/>
                <w:color w:val="auto"/>
              </w:rPr>
            </w:pPr>
          </w:p>
        </w:tc>
      </w:tr>
      <w:tr>
        <w:trPr>
          <w:trHeight w:val="137"/>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proft</w:t>
            </w:r>
          </w:p>
        </w:tc>
        <w:tc>
          <w:tcPr>
            <w:tcW w:w="720" w:type="dxa"/>
            <w:vAlign w:val="bottom"/>
            <w:tcBorders>
              <w:bottom w:val="single" w:sz="8" w:color="auto"/>
            </w:tcBorders>
          </w:tcPr>
          <w:p>
            <w:pPr>
              <w:jc w:val="center"/>
              <w:ind w:left="168"/>
              <w:spacing w:after="0"/>
              <w:rPr>
                <w:sz w:val="20"/>
                <w:szCs w:val="20"/>
                <w:color w:val="auto"/>
              </w:rPr>
            </w:pPr>
            <w:r>
              <w:rPr>
                <w:rFonts w:ascii="Calibri" w:cs="Calibri" w:eastAsia="Calibri" w:hAnsi="Calibri"/>
                <w:sz w:val="10"/>
                <w:szCs w:val="10"/>
                <w:b w:val="1"/>
                <w:bCs w:val="1"/>
                <w:color w:val="auto"/>
              </w:rPr>
              <w:t>33,038</w:t>
            </w:r>
          </w:p>
        </w:tc>
        <w:tc>
          <w:tcPr>
            <w:tcW w:w="1260" w:type="dxa"/>
            <w:vAlign w:val="bottom"/>
            <w:tcBorders>
              <w:bottom w:val="single" w:sz="8" w:color="auto"/>
            </w:tcBorders>
          </w:tcPr>
          <w:p>
            <w:pPr>
              <w:jc w:val="center"/>
              <w:ind w:left="167"/>
              <w:spacing w:after="0"/>
              <w:rPr>
                <w:sz w:val="20"/>
                <w:szCs w:val="20"/>
                <w:color w:val="auto"/>
              </w:rPr>
            </w:pPr>
            <w:r>
              <w:rPr>
                <w:rFonts w:ascii="Calibri" w:cs="Calibri" w:eastAsia="Calibri" w:hAnsi="Calibri"/>
                <w:sz w:val="10"/>
                <w:szCs w:val="10"/>
                <w:b w:val="1"/>
                <w:bCs w:val="1"/>
                <w:color w:val="auto"/>
              </w:rPr>
              <w:t>24,227</w:t>
            </w:r>
          </w:p>
        </w:tc>
        <w:tc>
          <w:tcPr>
            <w:tcW w:w="9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14,230</w:t>
            </w:r>
          </w:p>
        </w:tc>
        <w:tc>
          <w:tcPr>
            <w:tcW w:w="1000" w:type="dxa"/>
            <w:vAlign w:val="bottom"/>
            <w:tcBorders>
              <w:bottom w:val="single" w:sz="8" w:color="auto"/>
            </w:tcBorders>
            <w:gridSpan w:val="2"/>
          </w:tcPr>
          <w:p>
            <w:pPr>
              <w:jc w:val="center"/>
              <w:ind w:right="208"/>
              <w:spacing w:after="0"/>
              <w:rPr>
                <w:sz w:val="20"/>
                <w:szCs w:val="20"/>
                <w:color w:val="auto"/>
              </w:rPr>
            </w:pPr>
            <w:r>
              <w:rPr>
                <w:rFonts w:ascii="Calibri" w:cs="Calibri" w:eastAsia="Calibri" w:hAnsi="Calibri"/>
                <w:sz w:val="10"/>
                <w:szCs w:val="10"/>
                <w:b w:val="1"/>
                <w:bCs w:val="1"/>
                <w:color w:val="auto"/>
              </w:rPr>
              <w:t>-41.3%</w:t>
            </w:r>
          </w:p>
        </w:tc>
        <w:tc>
          <w:tcPr>
            <w:tcW w:w="580" w:type="dxa"/>
            <w:vAlign w:val="bottom"/>
            <w:tcBorders>
              <w:bottom w:val="single" w:sz="8" w:color="auto"/>
              <w:right w:val="single" w:sz="8" w:color="auto"/>
            </w:tcBorders>
          </w:tcPr>
          <w:p>
            <w:pPr>
              <w:jc w:val="center"/>
              <w:ind w:right="188"/>
              <w:spacing w:after="0"/>
              <w:rPr>
                <w:sz w:val="20"/>
                <w:szCs w:val="20"/>
                <w:color w:val="auto"/>
              </w:rPr>
            </w:pPr>
            <w:r>
              <w:rPr>
                <w:rFonts w:ascii="Calibri" w:cs="Calibri" w:eastAsia="Calibri" w:hAnsi="Calibri"/>
                <w:sz w:val="10"/>
                <w:szCs w:val="10"/>
                <w:b w:val="1"/>
                <w:bCs w:val="1"/>
                <w:color w:val="auto"/>
              </w:rPr>
              <w:t>-56.9%</w:t>
            </w:r>
          </w:p>
        </w:tc>
        <w:tc>
          <w:tcPr>
            <w:tcW w:w="680" w:type="dxa"/>
            <w:vAlign w:val="bottom"/>
            <w:tcBorders>
              <w:bottom w:val="single" w:sz="8" w:color="auto"/>
            </w:tcBorders>
            <w:gridSpan w:val="2"/>
          </w:tcPr>
          <w:p>
            <w:pPr>
              <w:jc w:val="center"/>
              <w:ind w:left="68"/>
              <w:spacing w:after="0"/>
              <w:rPr>
                <w:sz w:val="20"/>
                <w:szCs w:val="20"/>
                <w:color w:val="auto"/>
              </w:rPr>
            </w:pPr>
            <w:r>
              <w:rPr>
                <w:rFonts w:ascii="Calibri" w:cs="Calibri" w:eastAsia="Calibri" w:hAnsi="Calibri"/>
                <w:sz w:val="10"/>
                <w:szCs w:val="10"/>
                <w:b w:val="1"/>
                <w:bCs w:val="1"/>
                <w:color w:val="auto"/>
              </w:rPr>
              <w:t>53,394</w:t>
            </w:r>
          </w:p>
        </w:tc>
        <w:tc>
          <w:tcPr>
            <w:tcW w:w="960" w:type="dxa"/>
            <w:vAlign w:val="bottom"/>
            <w:tcBorders>
              <w:bottom w:val="single" w:sz="8" w:color="auto"/>
              <w:right w:val="single" w:sz="8" w:color="auto"/>
            </w:tcBorders>
          </w:tcPr>
          <w:p>
            <w:pPr>
              <w:jc w:val="center"/>
              <w:ind w:left="68"/>
              <w:spacing w:after="0"/>
              <w:rPr>
                <w:sz w:val="20"/>
                <w:szCs w:val="20"/>
                <w:color w:val="auto"/>
              </w:rPr>
            </w:pPr>
            <w:r>
              <w:rPr>
                <w:rFonts w:ascii="Calibri" w:cs="Calibri" w:eastAsia="Calibri" w:hAnsi="Calibri"/>
                <w:sz w:val="10"/>
                <w:szCs w:val="10"/>
                <w:b w:val="1"/>
                <w:bCs w:val="1"/>
                <w:color w:val="auto"/>
              </w:rPr>
              <w:t>38,457</w:t>
            </w:r>
          </w:p>
        </w:tc>
        <w:tc>
          <w:tcPr>
            <w:tcW w:w="11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-28.0%</w:t>
            </w:r>
          </w:p>
        </w:tc>
        <w:tc>
          <w:tcPr>
            <w:tcW w:w="0" w:type="dxa"/>
            <w:vAlign w:val="bottom"/>
          </w:tcPr>
          <w:p>
            <w:pPr>
              <w:spacing w:after="0"/>
              <w:rPr>
                <w:sz w:val="1"/>
                <w:szCs w:val="1"/>
                <w:color w:val="auto"/>
              </w:rPr>
            </w:pPr>
          </w:p>
        </w:tc>
      </w:tr>
      <w:tr>
        <w:trPr>
          <w:trHeight w:val="363"/>
        </w:trPr>
        <w:tc>
          <w:tcPr>
            <w:tcW w:w="3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Selected Financial Indicators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3920" w:type="dxa"/>
            <w:vAlign w:val="bottom"/>
            <w:tcBorders>
              <w:left w:val="single" w:sz="8" w:color="auto"/>
              <w:right w:val="single" w:sz="8" w:color="auto"/>
            </w:tcBorders>
            <w:shd w:val="clear" w:color="auto" w:fill="2AD2C9"/>
          </w:tcPr>
          <w:p>
            <w:pPr>
              <w:spacing w:after="0"/>
              <w:rPr>
                <w:sz w:val="10"/>
                <w:szCs w:val="10"/>
                <w:color w:val="auto"/>
              </w:rPr>
            </w:pPr>
          </w:p>
        </w:tc>
        <w:tc>
          <w:tcPr>
            <w:tcW w:w="720" w:type="dxa"/>
            <w:vAlign w:val="bottom"/>
            <w:shd w:val="clear" w:color="auto" w:fill="2AD2C9"/>
          </w:tcPr>
          <w:p>
            <w:pPr>
              <w:spacing w:after="0"/>
              <w:rPr>
                <w:sz w:val="10"/>
                <w:szCs w:val="10"/>
                <w:color w:val="auto"/>
              </w:rPr>
            </w:pPr>
          </w:p>
        </w:tc>
        <w:tc>
          <w:tcPr>
            <w:tcW w:w="1260" w:type="dxa"/>
            <w:vAlign w:val="bottom"/>
            <w:shd w:val="clear" w:color="auto" w:fill="2AD2C9"/>
          </w:tcPr>
          <w:p>
            <w:pPr>
              <w:ind w:left="640"/>
              <w:spacing w:after="0" w:line="117" w:lineRule="exact"/>
              <w:rPr>
                <w:sz w:val="20"/>
                <w:szCs w:val="20"/>
                <w:color w:val="auto"/>
              </w:rPr>
            </w:pPr>
            <w:r>
              <w:rPr>
                <w:rFonts w:ascii="Calibri" w:cs="Calibri" w:eastAsia="Calibri" w:hAnsi="Calibri"/>
                <w:sz w:val="10"/>
                <w:szCs w:val="10"/>
                <w:b w:val="1"/>
                <w:bCs w:val="1"/>
                <w:color w:val="FFFFFF"/>
              </w:rPr>
              <w:t>Quarter</w:t>
            </w:r>
          </w:p>
        </w:tc>
        <w:tc>
          <w:tcPr>
            <w:tcW w:w="980" w:type="dxa"/>
            <w:vAlign w:val="bottom"/>
            <w:tcBorders>
              <w:right w:val="single" w:sz="8" w:color="2AD2C9"/>
            </w:tcBorders>
            <w:shd w:val="clear" w:color="auto" w:fill="2AD2C9"/>
          </w:tcPr>
          <w:p>
            <w:pPr>
              <w:spacing w:after="0"/>
              <w:rPr>
                <w:sz w:val="10"/>
                <w:szCs w:val="10"/>
                <w:color w:val="auto"/>
              </w:rPr>
            </w:pPr>
          </w:p>
        </w:tc>
        <w:tc>
          <w:tcPr>
            <w:tcW w:w="100" w:type="dxa"/>
            <w:vAlign w:val="bottom"/>
            <w:tcBorders>
              <w:right w:val="single" w:sz="8" w:color="auto"/>
            </w:tcBorders>
            <w:shd w:val="clear" w:color="auto" w:fill="2AD2C9"/>
          </w:tcPr>
          <w:p>
            <w:pPr>
              <w:spacing w:after="0"/>
              <w:rPr>
                <w:sz w:val="10"/>
                <w:szCs w:val="10"/>
                <w:color w:val="auto"/>
              </w:rPr>
            </w:pPr>
          </w:p>
        </w:tc>
        <w:tc>
          <w:tcPr>
            <w:tcW w:w="1480" w:type="dxa"/>
            <w:vAlign w:val="bottom"/>
            <w:tcBorders>
              <w:right w:val="single" w:sz="8" w:color="2AD2C9"/>
            </w:tcBorders>
            <w:gridSpan w:val="2"/>
            <w:shd w:val="clear" w:color="auto" w:fill="2AD2C9"/>
          </w:tcPr>
          <w:p>
            <w:pPr>
              <w:ind w:left="600"/>
              <w:spacing w:after="0" w:line="117" w:lineRule="exact"/>
              <w:rPr>
                <w:sz w:val="20"/>
                <w:szCs w:val="20"/>
                <w:color w:val="auto"/>
              </w:rPr>
            </w:pPr>
            <w:r>
              <w:rPr>
                <w:rFonts w:ascii="Calibri" w:cs="Calibri" w:eastAsia="Calibri" w:hAnsi="Calibri"/>
                <w:sz w:val="10"/>
                <w:szCs w:val="10"/>
                <w:b w:val="1"/>
                <w:bCs w:val="1"/>
                <w:color w:val="FFFFFF"/>
              </w:rPr>
              <w:t>% change</w:t>
            </w:r>
          </w:p>
        </w:tc>
        <w:tc>
          <w:tcPr>
            <w:tcW w:w="160" w:type="dxa"/>
            <w:vAlign w:val="bottom"/>
            <w:tcBorders>
              <w:right w:val="single" w:sz="8" w:color="auto"/>
            </w:tcBorders>
            <w:shd w:val="clear" w:color="auto" w:fill="2AD2C9"/>
          </w:tcPr>
          <w:p>
            <w:pPr>
              <w:spacing w:after="0"/>
              <w:rPr>
                <w:sz w:val="10"/>
                <w:szCs w:val="10"/>
                <w:color w:val="auto"/>
              </w:rPr>
            </w:pPr>
          </w:p>
        </w:tc>
        <w:tc>
          <w:tcPr>
            <w:tcW w:w="520" w:type="dxa"/>
            <w:vAlign w:val="bottom"/>
            <w:shd w:val="clear" w:color="auto" w:fill="2AD2C9"/>
          </w:tcPr>
          <w:p>
            <w:pPr>
              <w:spacing w:after="0"/>
              <w:rPr>
                <w:sz w:val="10"/>
                <w:szCs w:val="10"/>
                <w:color w:val="auto"/>
              </w:rPr>
            </w:pPr>
          </w:p>
        </w:tc>
        <w:tc>
          <w:tcPr>
            <w:tcW w:w="960" w:type="dxa"/>
            <w:vAlign w:val="bottom"/>
            <w:tcBorders>
              <w:right w:val="single" w:sz="8" w:color="auto"/>
            </w:tcBorders>
            <w:shd w:val="clear" w:color="auto" w:fill="2AD2C9"/>
          </w:tcPr>
          <w:p>
            <w:pPr>
              <w:ind w:left="100"/>
              <w:spacing w:after="0" w:line="117" w:lineRule="exact"/>
              <w:rPr>
                <w:sz w:val="20"/>
                <w:szCs w:val="20"/>
                <w:color w:val="auto"/>
              </w:rPr>
            </w:pPr>
            <w:r>
              <w:rPr>
                <w:rFonts w:ascii="Calibri" w:cs="Calibri" w:eastAsia="Calibri" w:hAnsi="Calibri"/>
                <w:sz w:val="10"/>
                <w:szCs w:val="10"/>
                <w:b w:val="1"/>
                <w:bCs w:val="1"/>
                <w:color w:val="FFFFFF"/>
              </w:rPr>
              <w:t>Up to</w:t>
            </w:r>
          </w:p>
        </w:tc>
        <w:tc>
          <w:tcPr>
            <w:tcW w:w="1160" w:type="dxa"/>
            <w:vAlign w:val="bottom"/>
            <w:tcBorders>
              <w:right w:val="single" w:sz="8" w:color="auto"/>
            </w:tcBorders>
            <w:shd w:val="clear" w:color="auto" w:fill="2AD2C9"/>
          </w:tcPr>
          <w:p>
            <w:pPr>
              <w:jc w:val="center"/>
              <w:spacing w:after="0" w:line="117" w:lineRule="exact"/>
              <w:rPr>
                <w:sz w:val="20"/>
                <w:szCs w:val="20"/>
                <w:color w:val="auto"/>
              </w:rPr>
            </w:pPr>
            <w:r>
              <w:rPr>
                <w:rFonts w:ascii="Calibri" w:cs="Calibri" w:eastAsia="Calibri" w:hAnsi="Calibri"/>
                <w:sz w:val="10"/>
                <w:szCs w:val="10"/>
                <w:b w:val="1"/>
                <w:bCs w:val="1"/>
                <w:color w:val="FFFFFF"/>
              </w:rPr>
              <w:t>% Change</w:t>
            </w:r>
          </w:p>
        </w:tc>
        <w:tc>
          <w:tcPr>
            <w:tcW w:w="0" w:type="dxa"/>
            <w:vAlign w:val="bottom"/>
          </w:tcPr>
          <w:p>
            <w:pPr>
              <w:spacing w:after="0"/>
              <w:rPr>
                <w:sz w:val="1"/>
                <w:szCs w:val="1"/>
                <w:color w:val="auto"/>
              </w:rPr>
            </w:pPr>
          </w:p>
        </w:tc>
      </w:tr>
      <w:tr>
        <w:trPr>
          <w:trHeight w:val="130"/>
        </w:trPr>
        <w:tc>
          <w:tcPr>
            <w:tcW w:w="392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720" w:type="dxa"/>
            <w:vAlign w:val="bottom"/>
            <w:tcBorders>
              <w:bottom w:val="single" w:sz="8" w:color="auto"/>
            </w:tcBorders>
            <w:shd w:val="clear" w:color="auto" w:fill="2AD2C9"/>
          </w:tcPr>
          <w:p>
            <w:pPr>
              <w:jc w:val="center"/>
              <w:ind w:left="248"/>
              <w:spacing w:after="0"/>
              <w:rPr>
                <w:sz w:val="20"/>
                <w:szCs w:val="20"/>
                <w:color w:val="auto"/>
              </w:rPr>
            </w:pPr>
            <w:r>
              <w:rPr>
                <w:rFonts w:ascii="Calibri" w:cs="Calibri" w:eastAsia="Calibri" w:hAnsi="Calibri"/>
                <w:sz w:val="10"/>
                <w:szCs w:val="10"/>
                <w:b w:val="1"/>
                <w:bCs w:val="1"/>
                <w:color w:val="FFFFFF"/>
                <w:w w:val="99"/>
              </w:rPr>
              <w:t>2Q24</w:t>
            </w:r>
          </w:p>
        </w:tc>
        <w:tc>
          <w:tcPr>
            <w:tcW w:w="1260" w:type="dxa"/>
            <w:vAlign w:val="bottom"/>
            <w:tcBorders>
              <w:bottom w:val="single" w:sz="8" w:color="auto"/>
            </w:tcBorders>
            <w:shd w:val="clear" w:color="auto" w:fill="2AD2C9"/>
          </w:tcPr>
          <w:p>
            <w:pPr>
              <w:jc w:val="center"/>
              <w:ind w:left="307"/>
              <w:spacing w:after="0"/>
              <w:rPr>
                <w:sz w:val="20"/>
                <w:szCs w:val="20"/>
                <w:color w:val="auto"/>
              </w:rPr>
            </w:pPr>
            <w:r>
              <w:rPr>
                <w:rFonts w:ascii="Calibri" w:cs="Calibri" w:eastAsia="Calibri" w:hAnsi="Calibri"/>
                <w:sz w:val="10"/>
                <w:szCs w:val="10"/>
                <w:b w:val="1"/>
                <w:bCs w:val="1"/>
                <w:color w:val="FFFFFF"/>
                <w:w w:val="99"/>
              </w:rPr>
              <w:t>1Q25</w:t>
            </w:r>
          </w:p>
        </w:tc>
        <w:tc>
          <w:tcPr>
            <w:tcW w:w="980" w:type="dxa"/>
            <w:vAlign w:val="bottom"/>
            <w:tcBorders>
              <w:bottom w:val="single" w:sz="8" w:color="auto"/>
              <w:right w:val="single" w:sz="8" w:color="2AD2C9"/>
            </w:tcBorders>
            <w:shd w:val="clear" w:color="auto" w:fill="2AD2C9"/>
          </w:tcPr>
          <w:p>
            <w:pPr>
              <w:jc w:val="center"/>
              <w:ind w:left="88"/>
              <w:spacing w:after="0"/>
              <w:rPr>
                <w:sz w:val="20"/>
                <w:szCs w:val="20"/>
                <w:color w:val="auto"/>
              </w:rPr>
            </w:pPr>
            <w:r>
              <w:rPr>
                <w:rFonts w:ascii="Calibri" w:cs="Calibri" w:eastAsia="Calibri" w:hAnsi="Calibri"/>
                <w:sz w:val="10"/>
                <w:szCs w:val="10"/>
                <w:b w:val="1"/>
                <w:bCs w:val="1"/>
                <w:color w:val="FFFFFF"/>
              </w:rPr>
              <w:t>2Q25</w:t>
            </w:r>
          </w:p>
        </w:tc>
        <w:tc>
          <w:tcPr>
            <w:tcW w:w="100" w:type="dxa"/>
            <w:vAlign w:val="bottom"/>
            <w:tcBorders>
              <w:bottom w:val="single" w:sz="8" w:color="auto"/>
              <w:right w:val="single" w:sz="8" w:color="auto"/>
            </w:tcBorders>
            <w:shd w:val="clear" w:color="auto" w:fill="2AD2C9"/>
          </w:tcPr>
          <w:p>
            <w:pPr>
              <w:spacing w:after="0"/>
              <w:rPr>
                <w:sz w:val="11"/>
                <w:szCs w:val="11"/>
                <w:color w:val="auto"/>
              </w:rPr>
            </w:pPr>
          </w:p>
        </w:tc>
        <w:tc>
          <w:tcPr>
            <w:tcW w:w="900" w:type="dxa"/>
            <w:vAlign w:val="bottom"/>
            <w:tcBorders>
              <w:bottom w:val="single" w:sz="8" w:color="auto"/>
            </w:tcBorders>
            <w:shd w:val="clear" w:color="auto" w:fill="2AD2C9"/>
          </w:tcPr>
          <w:p>
            <w:pPr>
              <w:jc w:val="center"/>
              <w:ind w:right="48"/>
              <w:spacing w:after="0"/>
              <w:rPr>
                <w:sz w:val="20"/>
                <w:szCs w:val="20"/>
                <w:color w:val="auto"/>
              </w:rPr>
            </w:pPr>
            <w:r>
              <w:rPr>
                <w:rFonts w:ascii="Calibri" w:cs="Calibri" w:eastAsia="Calibri" w:hAnsi="Calibri"/>
                <w:sz w:val="10"/>
                <w:szCs w:val="10"/>
                <w:b w:val="1"/>
                <w:bCs w:val="1"/>
                <w:color w:val="FFFFFF"/>
              </w:rPr>
              <w:t>QoQ</w:t>
            </w:r>
          </w:p>
        </w:tc>
        <w:tc>
          <w:tcPr>
            <w:tcW w:w="580" w:type="dxa"/>
            <w:vAlign w:val="bottom"/>
            <w:tcBorders>
              <w:bottom w:val="single" w:sz="8" w:color="auto"/>
              <w:right w:val="single" w:sz="8" w:color="2AD2C9"/>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rPr>
              <w:t>YoY</w:t>
            </w:r>
          </w:p>
        </w:tc>
        <w:tc>
          <w:tcPr>
            <w:tcW w:w="160" w:type="dxa"/>
            <w:vAlign w:val="bottom"/>
            <w:tcBorders>
              <w:bottom w:val="single" w:sz="8" w:color="auto"/>
              <w:right w:val="single" w:sz="8" w:color="auto"/>
            </w:tcBorders>
            <w:shd w:val="clear" w:color="auto" w:fill="2AD2C9"/>
          </w:tcPr>
          <w:p>
            <w:pPr>
              <w:spacing w:after="0"/>
              <w:rPr>
                <w:sz w:val="11"/>
                <w:szCs w:val="11"/>
                <w:color w:val="auto"/>
              </w:rPr>
            </w:pPr>
          </w:p>
        </w:tc>
        <w:tc>
          <w:tcPr>
            <w:tcW w:w="520" w:type="dxa"/>
            <w:vAlign w:val="bottom"/>
            <w:tcBorders>
              <w:bottom w:val="single" w:sz="8" w:color="auto"/>
            </w:tcBorders>
            <w:shd w:val="clear" w:color="auto" w:fill="2AD2C9"/>
          </w:tcPr>
          <w:p>
            <w:pPr>
              <w:ind w:left="220"/>
              <w:spacing w:after="0"/>
              <w:rPr>
                <w:sz w:val="20"/>
                <w:szCs w:val="20"/>
                <w:color w:val="auto"/>
              </w:rPr>
            </w:pPr>
            <w:r>
              <w:rPr>
                <w:rFonts w:ascii="Calibri" w:cs="Calibri" w:eastAsia="Calibri" w:hAnsi="Calibri"/>
                <w:sz w:val="10"/>
                <w:szCs w:val="10"/>
                <w:b w:val="1"/>
                <w:bCs w:val="1"/>
                <w:color w:val="FFFFFF"/>
              </w:rPr>
              <w:t>Jun 24</w:t>
            </w:r>
          </w:p>
        </w:tc>
        <w:tc>
          <w:tcPr>
            <w:tcW w:w="96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Calibri" w:cs="Calibri" w:eastAsia="Calibri" w:hAnsi="Calibri"/>
                <w:sz w:val="10"/>
                <w:szCs w:val="10"/>
                <w:b w:val="1"/>
                <w:bCs w:val="1"/>
                <w:color w:val="FFFFFF"/>
              </w:rPr>
              <w:t>Jun 25</w:t>
            </w:r>
          </w:p>
        </w:tc>
        <w:tc>
          <w:tcPr>
            <w:tcW w:w="11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0"/>
                <w:szCs w:val="10"/>
                <w:b w:val="1"/>
                <w:bCs w:val="1"/>
                <w:color w:val="FFFFFF"/>
              </w:rPr>
              <w:t>Jun 25 / Jun 24</w:t>
            </w:r>
          </w:p>
        </w:tc>
        <w:tc>
          <w:tcPr>
            <w:tcW w:w="0" w:type="dxa"/>
            <w:vAlign w:val="bottom"/>
          </w:tcPr>
          <w:p>
            <w:pPr>
              <w:spacing w:after="0"/>
              <w:rPr>
                <w:sz w:val="1"/>
                <w:szCs w:val="1"/>
                <w:color w:val="auto"/>
              </w:rPr>
            </w:pPr>
          </w:p>
        </w:tc>
      </w:tr>
      <w:tr>
        <w:trPr>
          <w:trHeight w:val="122"/>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Efciency rato</w:t>
            </w:r>
          </w:p>
        </w:tc>
        <w:tc>
          <w:tcPr>
            <w:tcW w:w="720" w:type="dxa"/>
            <w:vAlign w:val="bottom"/>
          </w:tcPr>
          <w:p>
            <w:pPr>
              <w:jc w:val="center"/>
              <w:ind w:left="248"/>
              <w:spacing w:after="0"/>
              <w:rPr>
                <w:sz w:val="20"/>
                <w:szCs w:val="20"/>
                <w:color w:val="auto"/>
              </w:rPr>
            </w:pPr>
            <w:r>
              <w:rPr>
                <w:rFonts w:ascii="Calibri" w:cs="Calibri" w:eastAsia="Calibri" w:hAnsi="Calibri"/>
                <w:sz w:val="10"/>
                <w:szCs w:val="10"/>
                <w:color w:val="auto"/>
              </w:rPr>
              <w:t>58.2%</w:t>
            </w:r>
          </w:p>
        </w:tc>
        <w:tc>
          <w:tcPr>
            <w:tcW w:w="1260" w:type="dxa"/>
            <w:vAlign w:val="bottom"/>
          </w:tcPr>
          <w:p>
            <w:pPr>
              <w:jc w:val="center"/>
              <w:ind w:left="307"/>
              <w:spacing w:after="0"/>
              <w:rPr>
                <w:sz w:val="20"/>
                <w:szCs w:val="20"/>
                <w:color w:val="auto"/>
              </w:rPr>
            </w:pPr>
            <w:r>
              <w:rPr>
                <w:rFonts w:ascii="Calibri" w:cs="Calibri" w:eastAsia="Calibri" w:hAnsi="Calibri"/>
                <w:sz w:val="10"/>
                <w:szCs w:val="10"/>
                <w:color w:val="auto"/>
              </w:rPr>
              <w:t>69.6%</w:t>
            </w:r>
          </w:p>
        </w:tc>
        <w:tc>
          <w:tcPr>
            <w:tcW w:w="980" w:type="dxa"/>
            <w:vAlign w:val="bottom"/>
          </w:tcPr>
          <w:p>
            <w:pPr>
              <w:jc w:val="center"/>
              <w:ind w:left="108"/>
              <w:spacing w:after="0"/>
              <w:rPr>
                <w:sz w:val="20"/>
                <w:szCs w:val="20"/>
                <w:color w:val="auto"/>
              </w:rPr>
            </w:pPr>
            <w:r>
              <w:rPr>
                <w:rFonts w:ascii="Calibri" w:cs="Calibri" w:eastAsia="Calibri" w:hAnsi="Calibri"/>
                <w:sz w:val="10"/>
                <w:szCs w:val="10"/>
                <w:color w:val="auto"/>
              </w:rPr>
              <w:t>67.3%</w:t>
            </w:r>
          </w:p>
        </w:tc>
        <w:tc>
          <w:tcPr>
            <w:tcW w:w="100" w:type="dxa"/>
            <w:vAlign w:val="bottom"/>
            <w:tcBorders>
              <w:right w:val="single" w:sz="8" w:color="auto"/>
            </w:tcBorders>
          </w:tcPr>
          <w:p>
            <w:pPr>
              <w:spacing w:after="0"/>
              <w:rPr>
                <w:sz w:val="10"/>
                <w:szCs w:val="10"/>
                <w:color w:val="auto"/>
              </w:rPr>
            </w:pPr>
          </w:p>
        </w:tc>
        <w:tc>
          <w:tcPr>
            <w:tcW w:w="900" w:type="dxa"/>
            <w:vAlign w:val="bottom"/>
          </w:tcPr>
          <w:p>
            <w:pPr>
              <w:jc w:val="center"/>
              <w:ind w:right="48"/>
              <w:spacing w:after="0"/>
              <w:rPr>
                <w:sz w:val="20"/>
                <w:szCs w:val="20"/>
                <w:color w:val="auto"/>
              </w:rPr>
            </w:pPr>
            <w:r>
              <w:rPr>
                <w:rFonts w:ascii="Calibri" w:cs="Calibri" w:eastAsia="Calibri" w:hAnsi="Calibri"/>
                <w:sz w:val="10"/>
                <w:szCs w:val="10"/>
                <w:color w:val="auto"/>
              </w:rPr>
              <w:t>-233 bps</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910 bps</w:t>
            </w:r>
          </w:p>
        </w:tc>
        <w:tc>
          <w:tcPr>
            <w:tcW w:w="160" w:type="dxa"/>
            <w:vAlign w:val="bottom"/>
            <w:tcBorders>
              <w:right w:val="single" w:sz="8" w:color="auto"/>
            </w:tcBorders>
          </w:tcPr>
          <w:p>
            <w:pPr>
              <w:spacing w:after="0"/>
              <w:rPr>
                <w:sz w:val="10"/>
                <w:szCs w:val="10"/>
                <w:color w:val="auto"/>
              </w:rPr>
            </w:pPr>
          </w:p>
        </w:tc>
        <w:tc>
          <w:tcPr>
            <w:tcW w:w="520" w:type="dxa"/>
            <w:vAlign w:val="bottom"/>
          </w:tcPr>
          <w:p>
            <w:pPr>
              <w:ind w:left="240"/>
              <w:spacing w:after="0"/>
              <w:rPr>
                <w:sz w:val="20"/>
                <w:szCs w:val="20"/>
                <w:color w:val="auto"/>
              </w:rPr>
            </w:pPr>
            <w:r>
              <w:rPr>
                <w:rFonts w:ascii="Calibri" w:cs="Calibri" w:eastAsia="Calibri" w:hAnsi="Calibri"/>
                <w:sz w:val="10"/>
                <w:szCs w:val="10"/>
                <w:color w:val="auto"/>
              </w:rPr>
              <w:t>58.1%</w:t>
            </w:r>
          </w:p>
        </w:tc>
        <w:tc>
          <w:tcPr>
            <w:tcW w:w="960" w:type="dxa"/>
            <w:vAlign w:val="bottom"/>
            <w:tcBorders>
              <w:right w:val="single" w:sz="8" w:color="auto"/>
            </w:tcBorders>
          </w:tcPr>
          <w:p>
            <w:pPr>
              <w:jc w:val="right"/>
              <w:ind w:right="208"/>
              <w:spacing w:after="0"/>
              <w:rPr>
                <w:sz w:val="20"/>
                <w:szCs w:val="20"/>
                <w:color w:val="auto"/>
              </w:rPr>
            </w:pPr>
            <w:r>
              <w:rPr>
                <w:rFonts w:ascii="Calibri" w:cs="Calibri" w:eastAsia="Calibri" w:hAnsi="Calibri"/>
                <w:sz w:val="10"/>
                <w:szCs w:val="10"/>
                <w:color w:val="auto"/>
              </w:rPr>
              <w:t>68.8%</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1062 bps</w:t>
            </w:r>
          </w:p>
        </w:tc>
        <w:tc>
          <w:tcPr>
            <w:tcW w:w="0" w:type="dxa"/>
            <w:vAlign w:val="bottom"/>
          </w:tcPr>
          <w:p>
            <w:pPr>
              <w:spacing w:after="0"/>
              <w:rPr>
                <w:sz w:val="1"/>
                <w:szCs w:val="1"/>
                <w:color w:val="auto"/>
              </w:rPr>
            </w:pPr>
          </w:p>
        </w:tc>
      </w:tr>
      <w:tr>
        <w:trPr>
          <w:trHeight w:val="143"/>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ROAE</w:t>
            </w:r>
          </w:p>
        </w:tc>
        <w:tc>
          <w:tcPr>
            <w:tcW w:w="720" w:type="dxa"/>
            <w:vAlign w:val="bottom"/>
          </w:tcPr>
          <w:p>
            <w:pPr>
              <w:jc w:val="center"/>
              <w:ind w:left="248"/>
              <w:spacing w:after="0"/>
              <w:rPr>
                <w:sz w:val="20"/>
                <w:szCs w:val="20"/>
                <w:color w:val="auto"/>
              </w:rPr>
            </w:pPr>
            <w:r>
              <w:rPr>
                <w:rFonts w:ascii="Calibri" w:cs="Calibri" w:eastAsia="Calibri" w:hAnsi="Calibri"/>
                <w:sz w:val="10"/>
                <w:szCs w:val="10"/>
                <w:color w:val="auto"/>
              </w:rPr>
              <w:t>14.0%</w:t>
            </w:r>
          </w:p>
        </w:tc>
        <w:tc>
          <w:tcPr>
            <w:tcW w:w="1260" w:type="dxa"/>
            <w:vAlign w:val="bottom"/>
          </w:tcPr>
          <w:p>
            <w:pPr>
              <w:jc w:val="center"/>
              <w:ind w:left="307"/>
              <w:spacing w:after="0"/>
              <w:rPr>
                <w:sz w:val="20"/>
                <w:szCs w:val="20"/>
                <w:color w:val="auto"/>
              </w:rPr>
            </w:pPr>
            <w:r>
              <w:rPr>
                <w:rFonts w:ascii="Calibri" w:cs="Calibri" w:eastAsia="Calibri" w:hAnsi="Calibri"/>
                <w:sz w:val="10"/>
                <w:szCs w:val="10"/>
                <w:color w:val="auto"/>
              </w:rPr>
              <w:t>11.3%</w:t>
            </w:r>
          </w:p>
        </w:tc>
        <w:tc>
          <w:tcPr>
            <w:tcW w:w="980" w:type="dxa"/>
            <w:vAlign w:val="bottom"/>
          </w:tcPr>
          <w:p>
            <w:pPr>
              <w:jc w:val="center"/>
              <w:ind w:left="88"/>
              <w:spacing w:after="0"/>
              <w:rPr>
                <w:sz w:val="20"/>
                <w:szCs w:val="20"/>
                <w:color w:val="auto"/>
              </w:rPr>
            </w:pPr>
            <w:r>
              <w:rPr>
                <w:rFonts w:ascii="Calibri" w:cs="Calibri" w:eastAsia="Calibri" w:hAnsi="Calibri"/>
                <w:sz w:val="10"/>
                <w:szCs w:val="10"/>
                <w:color w:val="auto"/>
              </w:rPr>
              <w:t>9.0%</w:t>
            </w:r>
          </w:p>
        </w:tc>
        <w:tc>
          <w:tcPr>
            <w:tcW w:w="100" w:type="dxa"/>
            <w:vAlign w:val="bottom"/>
            <w:tcBorders>
              <w:right w:val="single" w:sz="8" w:color="auto"/>
            </w:tcBorders>
          </w:tcPr>
          <w:p>
            <w:pPr>
              <w:spacing w:after="0"/>
              <w:rPr>
                <w:sz w:val="12"/>
                <w:szCs w:val="12"/>
                <w:color w:val="auto"/>
              </w:rPr>
            </w:pPr>
          </w:p>
        </w:tc>
        <w:tc>
          <w:tcPr>
            <w:tcW w:w="900" w:type="dxa"/>
            <w:vAlign w:val="bottom"/>
          </w:tcPr>
          <w:p>
            <w:pPr>
              <w:jc w:val="center"/>
              <w:ind w:right="48"/>
              <w:spacing w:after="0"/>
              <w:rPr>
                <w:sz w:val="20"/>
                <w:szCs w:val="20"/>
                <w:color w:val="auto"/>
              </w:rPr>
            </w:pPr>
            <w:r>
              <w:rPr>
                <w:rFonts w:ascii="Calibri" w:cs="Calibri" w:eastAsia="Calibri" w:hAnsi="Calibri"/>
                <w:sz w:val="10"/>
                <w:szCs w:val="10"/>
                <w:color w:val="auto"/>
              </w:rPr>
              <w:t>-228 bps</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-503 bps</w:t>
            </w:r>
          </w:p>
        </w:tc>
        <w:tc>
          <w:tcPr>
            <w:tcW w:w="160" w:type="dxa"/>
            <w:vAlign w:val="bottom"/>
            <w:tcBorders>
              <w:right w:val="single" w:sz="8" w:color="auto"/>
            </w:tcBorders>
          </w:tcPr>
          <w:p>
            <w:pPr>
              <w:spacing w:after="0"/>
              <w:rPr>
                <w:sz w:val="12"/>
                <w:szCs w:val="12"/>
                <w:color w:val="auto"/>
              </w:rPr>
            </w:pPr>
          </w:p>
        </w:tc>
        <w:tc>
          <w:tcPr>
            <w:tcW w:w="520" w:type="dxa"/>
            <w:vAlign w:val="bottom"/>
            <w:tcBorders>
              <w:bottom w:val="single" w:sz="8" w:color="auto"/>
            </w:tcBorders>
          </w:tcPr>
          <w:p>
            <w:pPr>
              <w:ind w:left="240"/>
              <w:spacing w:after="0"/>
              <w:rPr>
                <w:sz w:val="20"/>
                <w:szCs w:val="20"/>
                <w:color w:val="auto"/>
              </w:rPr>
            </w:pPr>
            <w:r>
              <w:rPr>
                <w:rFonts w:ascii="Calibri" w:cs="Calibri" w:eastAsia="Calibri" w:hAnsi="Calibri"/>
                <w:sz w:val="10"/>
                <w:szCs w:val="10"/>
                <w:color w:val="auto"/>
              </w:rPr>
              <w:t>11.4%</w:t>
            </w:r>
          </w:p>
        </w:tc>
        <w:tc>
          <w:tcPr>
            <w:tcW w:w="960" w:type="dxa"/>
            <w:vAlign w:val="bottom"/>
            <w:tcBorders>
              <w:bottom w:val="single" w:sz="8" w:color="auto"/>
              <w:right w:val="single" w:sz="8" w:color="auto"/>
            </w:tcBorders>
          </w:tcPr>
          <w:p>
            <w:pPr>
              <w:jc w:val="right"/>
              <w:ind w:right="228"/>
              <w:spacing w:after="0"/>
              <w:rPr>
                <w:sz w:val="20"/>
                <w:szCs w:val="20"/>
                <w:color w:val="auto"/>
              </w:rPr>
            </w:pPr>
            <w:r>
              <w:rPr>
                <w:rFonts w:ascii="Calibri" w:cs="Calibri" w:eastAsia="Calibri" w:hAnsi="Calibri"/>
                <w:sz w:val="10"/>
                <w:szCs w:val="10"/>
                <w:color w:val="auto"/>
              </w:rPr>
              <w:t>9.9%</w:t>
            </w:r>
          </w:p>
        </w:tc>
        <w:tc>
          <w:tcPr>
            <w:tcW w:w="11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-155 bps</w:t>
            </w:r>
          </w:p>
        </w:tc>
        <w:tc>
          <w:tcPr>
            <w:tcW w:w="0" w:type="dxa"/>
            <w:vAlign w:val="bottom"/>
          </w:tcPr>
          <w:p>
            <w:pPr>
              <w:spacing w:after="0"/>
              <w:rPr>
                <w:sz w:val="1"/>
                <w:szCs w:val="1"/>
                <w:color w:val="auto"/>
              </w:rPr>
            </w:pPr>
          </w:p>
        </w:tc>
      </w:tr>
      <w:tr>
        <w:trPr>
          <w:trHeight w:val="143"/>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L/D rato</w:t>
            </w:r>
          </w:p>
        </w:tc>
        <w:tc>
          <w:tcPr>
            <w:tcW w:w="720" w:type="dxa"/>
            <w:vAlign w:val="bottom"/>
            <w:vMerge w:val="restart"/>
          </w:tcPr>
          <w:p>
            <w:pPr>
              <w:jc w:val="center"/>
              <w:ind w:left="248"/>
              <w:spacing w:after="0"/>
              <w:rPr>
                <w:sz w:val="20"/>
                <w:szCs w:val="20"/>
                <w:color w:val="auto"/>
              </w:rPr>
            </w:pPr>
            <w:r>
              <w:rPr>
                <w:rFonts w:ascii="Calibri" w:cs="Calibri" w:eastAsia="Calibri" w:hAnsi="Calibri"/>
                <w:sz w:val="10"/>
                <w:szCs w:val="10"/>
                <w:color w:val="auto"/>
              </w:rPr>
              <w:t>83.0%</w:t>
            </w:r>
          </w:p>
        </w:tc>
        <w:tc>
          <w:tcPr>
            <w:tcW w:w="1260" w:type="dxa"/>
            <w:vAlign w:val="bottom"/>
            <w:vMerge w:val="restart"/>
          </w:tcPr>
          <w:p>
            <w:pPr>
              <w:jc w:val="center"/>
              <w:ind w:left="307"/>
              <w:spacing w:after="0"/>
              <w:rPr>
                <w:sz w:val="20"/>
                <w:szCs w:val="20"/>
                <w:color w:val="auto"/>
              </w:rPr>
            </w:pPr>
            <w:r>
              <w:rPr>
                <w:rFonts w:ascii="Calibri" w:cs="Calibri" w:eastAsia="Calibri" w:hAnsi="Calibri"/>
                <w:sz w:val="10"/>
                <w:szCs w:val="10"/>
                <w:color w:val="auto"/>
              </w:rPr>
              <w:t>79.0%</w:t>
            </w:r>
          </w:p>
        </w:tc>
        <w:tc>
          <w:tcPr>
            <w:tcW w:w="980" w:type="dxa"/>
            <w:vAlign w:val="bottom"/>
            <w:vMerge w:val="restart"/>
          </w:tcPr>
          <w:p>
            <w:pPr>
              <w:jc w:val="center"/>
              <w:ind w:left="108"/>
              <w:spacing w:after="0"/>
              <w:rPr>
                <w:sz w:val="20"/>
                <w:szCs w:val="20"/>
                <w:color w:val="auto"/>
              </w:rPr>
            </w:pPr>
            <w:r>
              <w:rPr>
                <w:rFonts w:ascii="Calibri" w:cs="Calibri" w:eastAsia="Calibri" w:hAnsi="Calibri"/>
                <w:sz w:val="10"/>
                <w:szCs w:val="10"/>
                <w:color w:val="auto"/>
              </w:rPr>
              <w:t>80.6%</w:t>
            </w:r>
          </w:p>
        </w:tc>
        <w:tc>
          <w:tcPr>
            <w:tcW w:w="100" w:type="dxa"/>
            <w:vAlign w:val="bottom"/>
            <w:tcBorders>
              <w:right w:val="single" w:sz="8" w:color="auto"/>
            </w:tcBorders>
          </w:tcPr>
          <w:p>
            <w:pPr>
              <w:spacing w:after="0"/>
              <w:rPr>
                <w:sz w:val="12"/>
                <w:szCs w:val="12"/>
                <w:color w:val="auto"/>
              </w:rPr>
            </w:pPr>
          </w:p>
        </w:tc>
        <w:tc>
          <w:tcPr>
            <w:tcW w:w="900" w:type="dxa"/>
            <w:vAlign w:val="bottom"/>
          </w:tcPr>
          <w:p>
            <w:pPr>
              <w:jc w:val="center"/>
              <w:ind w:right="68"/>
              <w:spacing w:after="0"/>
              <w:rPr>
                <w:sz w:val="20"/>
                <w:szCs w:val="20"/>
                <w:color w:val="auto"/>
              </w:rPr>
            </w:pPr>
            <w:r>
              <w:rPr>
                <w:rFonts w:ascii="Calibri" w:cs="Calibri" w:eastAsia="Calibri" w:hAnsi="Calibri"/>
                <w:sz w:val="10"/>
                <w:szCs w:val="10"/>
                <w:color w:val="auto"/>
              </w:rPr>
              <w:t>167 bps</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-234 bps</w:t>
            </w:r>
          </w:p>
        </w:tc>
        <w:tc>
          <w:tcPr>
            <w:tcW w:w="16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3920" w:type="dxa"/>
            <w:vAlign w:val="bottom"/>
            <w:tcBorders>
              <w:left w:val="single" w:sz="8" w:color="auto"/>
              <w:right w:val="single" w:sz="8" w:color="auto"/>
            </w:tcBorders>
          </w:tcPr>
          <w:p>
            <w:pPr>
              <w:spacing w:after="0"/>
              <w:rPr>
                <w:sz w:val="3"/>
                <w:szCs w:val="3"/>
                <w:color w:val="auto"/>
              </w:rPr>
            </w:pPr>
          </w:p>
        </w:tc>
        <w:tc>
          <w:tcPr>
            <w:tcW w:w="72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IOL rato</w:t>
            </w:r>
          </w:p>
        </w:tc>
        <w:tc>
          <w:tcPr>
            <w:tcW w:w="720" w:type="dxa"/>
            <w:vAlign w:val="bottom"/>
            <w:vMerge w:val="restart"/>
          </w:tcPr>
          <w:p>
            <w:pPr>
              <w:jc w:val="center"/>
              <w:ind w:left="248"/>
              <w:spacing w:after="0"/>
              <w:rPr>
                <w:sz w:val="20"/>
                <w:szCs w:val="20"/>
                <w:color w:val="auto"/>
              </w:rPr>
            </w:pPr>
            <w:r>
              <w:rPr>
                <w:rFonts w:ascii="Calibri" w:cs="Calibri" w:eastAsia="Calibri" w:hAnsi="Calibri"/>
                <w:sz w:val="10"/>
                <w:szCs w:val="10"/>
                <w:color w:val="auto"/>
              </w:rPr>
              <w:t>2.8%</w:t>
            </w:r>
          </w:p>
        </w:tc>
        <w:tc>
          <w:tcPr>
            <w:tcW w:w="1260" w:type="dxa"/>
            <w:vAlign w:val="bottom"/>
            <w:vMerge w:val="restart"/>
          </w:tcPr>
          <w:p>
            <w:pPr>
              <w:jc w:val="center"/>
              <w:ind w:left="307"/>
              <w:spacing w:after="0"/>
              <w:rPr>
                <w:sz w:val="20"/>
                <w:szCs w:val="20"/>
                <w:color w:val="auto"/>
              </w:rPr>
            </w:pPr>
            <w:r>
              <w:rPr>
                <w:rFonts w:ascii="Calibri" w:cs="Calibri" w:eastAsia="Calibri" w:hAnsi="Calibri"/>
                <w:sz w:val="10"/>
                <w:szCs w:val="10"/>
                <w:color w:val="auto"/>
              </w:rPr>
              <w:t>2.8%</w:t>
            </w:r>
          </w:p>
        </w:tc>
        <w:tc>
          <w:tcPr>
            <w:tcW w:w="980" w:type="dxa"/>
            <w:vAlign w:val="bottom"/>
            <w:vMerge w:val="restart"/>
          </w:tcPr>
          <w:p>
            <w:pPr>
              <w:jc w:val="center"/>
              <w:ind w:left="88"/>
              <w:spacing w:after="0"/>
              <w:rPr>
                <w:sz w:val="20"/>
                <w:szCs w:val="20"/>
                <w:color w:val="auto"/>
              </w:rPr>
            </w:pPr>
            <w:r>
              <w:rPr>
                <w:rFonts w:ascii="Calibri" w:cs="Calibri" w:eastAsia="Calibri" w:hAnsi="Calibri"/>
                <w:sz w:val="10"/>
                <w:szCs w:val="10"/>
                <w:color w:val="auto"/>
              </w:rPr>
              <w:t>2.6%</w:t>
            </w:r>
          </w:p>
        </w:tc>
        <w:tc>
          <w:tcPr>
            <w:tcW w:w="100" w:type="dxa"/>
            <w:vAlign w:val="bottom"/>
            <w:tcBorders>
              <w:right w:val="single" w:sz="8" w:color="auto"/>
            </w:tcBorders>
          </w:tcPr>
          <w:p>
            <w:pPr>
              <w:spacing w:after="0"/>
              <w:rPr>
                <w:sz w:val="13"/>
                <w:szCs w:val="13"/>
                <w:color w:val="auto"/>
              </w:rPr>
            </w:pPr>
          </w:p>
        </w:tc>
        <w:tc>
          <w:tcPr>
            <w:tcW w:w="900" w:type="dxa"/>
            <w:vAlign w:val="bottom"/>
          </w:tcPr>
          <w:p>
            <w:pPr>
              <w:jc w:val="center"/>
              <w:ind w:right="68"/>
              <w:spacing w:after="0"/>
              <w:rPr>
                <w:sz w:val="20"/>
                <w:szCs w:val="20"/>
                <w:color w:val="auto"/>
              </w:rPr>
            </w:pPr>
            <w:r>
              <w:rPr>
                <w:rFonts w:ascii="Calibri" w:cs="Calibri" w:eastAsia="Calibri" w:hAnsi="Calibri"/>
                <w:sz w:val="10"/>
                <w:szCs w:val="10"/>
                <w:color w:val="auto"/>
              </w:rPr>
              <w:t>-13 bps</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-13 bps</w:t>
            </w:r>
          </w:p>
        </w:tc>
        <w:tc>
          <w:tcPr>
            <w:tcW w:w="16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920" w:type="dxa"/>
            <w:vAlign w:val="bottom"/>
            <w:tcBorders>
              <w:left w:val="single" w:sz="8" w:color="auto"/>
              <w:right w:val="single" w:sz="8" w:color="auto"/>
            </w:tcBorders>
          </w:tcPr>
          <w:p>
            <w:pPr>
              <w:spacing w:after="0"/>
              <w:rPr>
                <w:sz w:val="3"/>
                <w:szCs w:val="3"/>
                <w:color w:val="auto"/>
              </w:rPr>
            </w:pPr>
          </w:p>
        </w:tc>
        <w:tc>
          <w:tcPr>
            <w:tcW w:w="72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NPL rato</w:t>
            </w:r>
          </w:p>
        </w:tc>
        <w:tc>
          <w:tcPr>
            <w:tcW w:w="720" w:type="dxa"/>
            <w:vAlign w:val="bottom"/>
            <w:vMerge w:val="restart"/>
          </w:tcPr>
          <w:p>
            <w:pPr>
              <w:jc w:val="center"/>
              <w:ind w:left="248"/>
              <w:spacing w:after="0"/>
              <w:rPr>
                <w:sz w:val="20"/>
                <w:szCs w:val="20"/>
                <w:color w:val="auto"/>
              </w:rPr>
            </w:pPr>
            <w:r>
              <w:rPr>
                <w:rFonts w:ascii="Calibri" w:cs="Calibri" w:eastAsia="Calibri" w:hAnsi="Calibri"/>
                <w:sz w:val="10"/>
                <w:szCs w:val="10"/>
                <w:color w:val="auto"/>
              </w:rPr>
              <w:t>3.3%</w:t>
            </w:r>
          </w:p>
        </w:tc>
        <w:tc>
          <w:tcPr>
            <w:tcW w:w="1260" w:type="dxa"/>
            <w:vAlign w:val="bottom"/>
            <w:vMerge w:val="restart"/>
          </w:tcPr>
          <w:p>
            <w:pPr>
              <w:jc w:val="center"/>
              <w:ind w:left="307"/>
              <w:spacing w:after="0"/>
              <w:rPr>
                <w:sz w:val="20"/>
                <w:szCs w:val="20"/>
                <w:color w:val="auto"/>
              </w:rPr>
            </w:pPr>
            <w:r>
              <w:rPr>
                <w:rFonts w:ascii="Calibri" w:cs="Calibri" w:eastAsia="Calibri" w:hAnsi="Calibri"/>
                <w:sz w:val="10"/>
                <w:szCs w:val="10"/>
                <w:color w:val="auto"/>
              </w:rPr>
              <w:t>3.5%</w:t>
            </w:r>
          </w:p>
        </w:tc>
        <w:tc>
          <w:tcPr>
            <w:tcW w:w="980" w:type="dxa"/>
            <w:vAlign w:val="bottom"/>
            <w:vMerge w:val="restart"/>
          </w:tcPr>
          <w:p>
            <w:pPr>
              <w:jc w:val="center"/>
              <w:ind w:left="88"/>
              <w:spacing w:after="0"/>
              <w:rPr>
                <w:sz w:val="20"/>
                <w:szCs w:val="20"/>
                <w:color w:val="auto"/>
              </w:rPr>
            </w:pPr>
            <w:r>
              <w:rPr>
                <w:rFonts w:ascii="Calibri" w:cs="Calibri" w:eastAsia="Calibri" w:hAnsi="Calibri"/>
                <w:sz w:val="10"/>
                <w:szCs w:val="10"/>
                <w:color w:val="auto"/>
              </w:rPr>
              <w:t>3.3%</w:t>
            </w:r>
          </w:p>
        </w:tc>
        <w:tc>
          <w:tcPr>
            <w:tcW w:w="100" w:type="dxa"/>
            <w:vAlign w:val="bottom"/>
            <w:tcBorders>
              <w:right w:val="single" w:sz="8" w:color="auto"/>
            </w:tcBorders>
          </w:tcPr>
          <w:p>
            <w:pPr>
              <w:spacing w:after="0"/>
              <w:rPr>
                <w:sz w:val="13"/>
                <w:szCs w:val="13"/>
                <w:color w:val="auto"/>
              </w:rPr>
            </w:pPr>
          </w:p>
        </w:tc>
        <w:tc>
          <w:tcPr>
            <w:tcW w:w="900" w:type="dxa"/>
            <w:vAlign w:val="bottom"/>
          </w:tcPr>
          <w:p>
            <w:pPr>
              <w:jc w:val="center"/>
              <w:ind w:right="68"/>
              <w:spacing w:after="0"/>
              <w:rPr>
                <w:sz w:val="20"/>
                <w:szCs w:val="20"/>
                <w:color w:val="auto"/>
              </w:rPr>
            </w:pPr>
            <w:r>
              <w:rPr>
                <w:rFonts w:ascii="Calibri" w:cs="Calibri" w:eastAsia="Calibri" w:hAnsi="Calibri"/>
                <w:sz w:val="10"/>
                <w:szCs w:val="10"/>
                <w:color w:val="auto"/>
              </w:rPr>
              <w:t>-16 bps</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 bps</w:t>
            </w:r>
          </w:p>
        </w:tc>
        <w:tc>
          <w:tcPr>
            <w:tcW w:w="16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920" w:type="dxa"/>
            <w:vAlign w:val="bottom"/>
            <w:tcBorders>
              <w:left w:val="single" w:sz="8" w:color="auto"/>
              <w:right w:val="single" w:sz="8" w:color="auto"/>
            </w:tcBorders>
          </w:tcPr>
          <w:p>
            <w:pPr>
              <w:spacing w:after="0"/>
              <w:rPr>
                <w:sz w:val="3"/>
                <w:szCs w:val="3"/>
                <w:color w:val="auto"/>
              </w:rPr>
            </w:pPr>
          </w:p>
        </w:tc>
        <w:tc>
          <w:tcPr>
            <w:tcW w:w="72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Coverage of IOLs</w:t>
            </w:r>
          </w:p>
        </w:tc>
        <w:tc>
          <w:tcPr>
            <w:tcW w:w="720" w:type="dxa"/>
            <w:vAlign w:val="bottom"/>
            <w:vMerge w:val="restart"/>
          </w:tcPr>
          <w:p>
            <w:pPr>
              <w:jc w:val="center"/>
              <w:ind w:left="248"/>
              <w:spacing w:after="0"/>
              <w:rPr>
                <w:sz w:val="20"/>
                <w:szCs w:val="20"/>
                <w:color w:val="auto"/>
              </w:rPr>
            </w:pPr>
            <w:r>
              <w:rPr>
                <w:rFonts w:ascii="Calibri" w:cs="Calibri" w:eastAsia="Calibri" w:hAnsi="Calibri"/>
                <w:sz w:val="10"/>
                <w:szCs w:val="10"/>
                <w:color w:val="auto"/>
              </w:rPr>
              <w:t>129.2%</w:t>
            </w:r>
          </w:p>
        </w:tc>
        <w:tc>
          <w:tcPr>
            <w:tcW w:w="1260" w:type="dxa"/>
            <w:vAlign w:val="bottom"/>
            <w:vMerge w:val="restart"/>
          </w:tcPr>
          <w:p>
            <w:pPr>
              <w:jc w:val="center"/>
              <w:ind w:left="307"/>
              <w:spacing w:after="0"/>
              <w:rPr>
                <w:sz w:val="20"/>
                <w:szCs w:val="20"/>
                <w:color w:val="auto"/>
              </w:rPr>
            </w:pPr>
            <w:r>
              <w:rPr>
                <w:rFonts w:ascii="Calibri" w:cs="Calibri" w:eastAsia="Calibri" w:hAnsi="Calibri"/>
                <w:sz w:val="10"/>
                <w:szCs w:val="10"/>
                <w:color w:val="auto"/>
              </w:rPr>
              <w:t>129.9%</w:t>
            </w:r>
          </w:p>
        </w:tc>
        <w:tc>
          <w:tcPr>
            <w:tcW w:w="980" w:type="dxa"/>
            <w:vAlign w:val="bottom"/>
            <w:vMerge w:val="restart"/>
          </w:tcPr>
          <w:p>
            <w:pPr>
              <w:jc w:val="center"/>
              <w:ind w:left="88"/>
              <w:spacing w:after="0"/>
              <w:rPr>
                <w:sz w:val="20"/>
                <w:szCs w:val="20"/>
                <w:color w:val="auto"/>
              </w:rPr>
            </w:pPr>
            <w:r>
              <w:rPr>
                <w:rFonts w:ascii="Calibri" w:cs="Calibri" w:eastAsia="Calibri" w:hAnsi="Calibri"/>
                <w:sz w:val="10"/>
                <w:szCs w:val="10"/>
                <w:color w:val="auto"/>
              </w:rPr>
              <w:t>138.9%</w:t>
            </w:r>
          </w:p>
        </w:tc>
        <w:tc>
          <w:tcPr>
            <w:tcW w:w="100" w:type="dxa"/>
            <w:vAlign w:val="bottom"/>
            <w:tcBorders>
              <w:right w:val="single" w:sz="8" w:color="auto"/>
            </w:tcBorders>
          </w:tcPr>
          <w:p>
            <w:pPr>
              <w:spacing w:after="0"/>
              <w:rPr>
                <w:sz w:val="13"/>
                <w:szCs w:val="13"/>
                <w:color w:val="auto"/>
              </w:rPr>
            </w:pPr>
          </w:p>
        </w:tc>
        <w:tc>
          <w:tcPr>
            <w:tcW w:w="900" w:type="dxa"/>
            <w:vAlign w:val="bottom"/>
          </w:tcPr>
          <w:p>
            <w:pPr>
              <w:jc w:val="center"/>
              <w:ind w:right="68"/>
              <w:spacing w:after="0"/>
              <w:rPr>
                <w:sz w:val="20"/>
                <w:szCs w:val="20"/>
                <w:color w:val="auto"/>
              </w:rPr>
            </w:pPr>
            <w:r>
              <w:rPr>
                <w:rFonts w:ascii="Calibri" w:cs="Calibri" w:eastAsia="Calibri" w:hAnsi="Calibri"/>
                <w:sz w:val="10"/>
                <w:szCs w:val="10"/>
                <w:color w:val="auto"/>
              </w:rPr>
              <w:t>902 bps</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964 bps</w:t>
            </w:r>
          </w:p>
        </w:tc>
        <w:tc>
          <w:tcPr>
            <w:tcW w:w="16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920" w:type="dxa"/>
            <w:vAlign w:val="bottom"/>
            <w:tcBorders>
              <w:left w:val="single" w:sz="8" w:color="auto"/>
              <w:right w:val="single" w:sz="8" w:color="auto"/>
            </w:tcBorders>
          </w:tcPr>
          <w:p>
            <w:pPr>
              <w:spacing w:after="0"/>
              <w:rPr>
                <w:sz w:val="3"/>
                <w:szCs w:val="3"/>
                <w:color w:val="auto"/>
              </w:rPr>
            </w:pPr>
          </w:p>
        </w:tc>
        <w:tc>
          <w:tcPr>
            <w:tcW w:w="72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Coverage of NPLs</w:t>
            </w:r>
          </w:p>
        </w:tc>
        <w:tc>
          <w:tcPr>
            <w:tcW w:w="720" w:type="dxa"/>
            <w:vAlign w:val="bottom"/>
            <w:vMerge w:val="restart"/>
          </w:tcPr>
          <w:p>
            <w:pPr>
              <w:jc w:val="center"/>
              <w:ind w:left="248"/>
              <w:spacing w:after="0"/>
              <w:rPr>
                <w:sz w:val="20"/>
                <w:szCs w:val="20"/>
                <w:color w:val="auto"/>
              </w:rPr>
            </w:pPr>
            <w:r>
              <w:rPr>
                <w:rFonts w:ascii="Calibri" w:cs="Calibri" w:eastAsia="Calibri" w:hAnsi="Calibri"/>
                <w:sz w:val="10"/>
                <w:szCs w:val="10"/>
                <w:color w:val="auto"/>
              </w:rPr>
              <w:t>108.4%</w:t>
            </w:r>
          </w:p>
        </w:tc>
        <w:tc>
          <w:tcPr>
            <w:tcW w:w="1260" w:type="dxa"/>
            <w:vAlign w:val="bottom"/>
            <w:vMerge w:val="restart"/>
          </w:tcPr>
          <w:p>
            <w:pPr>
              <w:jc w:val="center"/>
              <w:ind w:left="307"/>
              <w:spacing w:after="0"/>
              <w:rPr>
                <w:sz w:val="20"/>
                <w:szCs w:val="20"/>
                <w:color w:val="auto"/>
              </w:rPr>
            </w:pPr>
            <w:r>
              <w:rPr>
                <w:rFonts w:ascii="Calibri" w:cs="Calibri" w:eastAsia="Calibri" w:hAnsi="Calibri"/>
                <w:sz w:val="10"/>
                <w:szCs w:val="10"/>
                <w:color w:val="auto"/>
              </w:rPr>
              <w:t>103.6%</w:t>
            </w:r>
          </w:p>
        </w:tc>
        <w:tc>
          <w:tcPr>
            <w:tcW w:w="980" w:type="dxa"/>
            <w:vAlign w:val="bottom"/>
            <w:vMerge w:val="restart"/>
          </w:tcPr>
          <w:p>
            <w:pPr>
              <w:jc w:val="center"/>
              <w:ind w:left="88"/>
              <w:spacing w:after="0"/>
              <w:rPr>
                <w:sz w:val="20"/>
                <w:szCs w:val="20"/>
                <w:color w:val="auto"/>
              </w:rPr>
            </w:pPr>
            <w:r>
              <w:rPr>
                <w:rFonts w:ascii="Calibri" w:cs="Calibri" w:eastAsia="Calibri" w:hAnsi="Calibri"/>
                <w:sz w:val="10"/>
                <w:szCs w:val="10"/>
                <w:color w:val="auto"/>
              </w:rPr>
              <w:t>110.6%</w:t>
            </w:r>
          </w:p>
        </w:tc>
        <w:tc>
          <w:tcPr>
            <w:tcW w:w="100" w:type="dxa"/>
            <w:vAlign w:val="bottom"/>
            <w:tcBorders>
              <w:right w:val="single" w:sz="8" w:color="auto"/>
            </w:tcBorders>
          </w:tcPr>
          <w:p>
            <w:pPr>
              <w:spacing w:after="0"/>
              <w:rPr>
                <w:sz w:val="13"/>
                <w:szCs w:val="13"/>
                <w:color w:val="auto"/>
              </w:rPr>
            </w:pPr>
          </w:p>
        </w:tc>
        <w:tc>
          <w:tcPr>
            <w:tcW w:w="900" w:type="dxa"/>
            <w:vAlign w:val="bottom"/>
          </w:tcPr>
          <w:p>
            <w:pPr>
              <w:jc w:val="center"/>
              <w:ind w:right="68"/>
              <w:spacing w:after="0"/>
              <w:rPr>
                <w:sz w:val="20"/>
                <w:szCs w:val="20"/>
                <w:color w:val="auto"/>
              </w:rPr>
            </w:pPr>
            <w:r>
              <w:rPr>
                <w:rFonts w:ascii="Calibri" w:cs="Calibri" w:eastAsia="Calibri" w:hAnsi="Calibri"/>
                <w:sz w:val="10"/>
                <w:szCs w:val="10"/>
                <w:color w:val="auto"/>
              </w:rPr>
              <w:t>706 bps</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224 bps</w:t>
            </w:r>
          </w:p>
        </w:tc>
        <w:tc>
          <w:tcPr>
            <w:tcW w:w="16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920" w:type="dxa"/>
            <w:vAlign w:val="bottom"/>
            <w:tcBorders>
              <w:left w:val="single" w:sz="8" w:color="auto"/>
              <w:right w:val="single" w:sz="8" w:color="auto"/>
            </w:tcBorders>
          </w:tcPr>
          <w:p>
            <w:pPr>
              <w:spacing w:after="0"/>
              <w:rPr>
                <w:sz w:val="3"/>
                <w:szCs w:val="3"/>
                <w:color w:val="auto"/>
              </w:rPr>
            </w:pPr>
          </w:p>
        </w:tc>
        <w:tc>
          <w:tcPr>
            <w:tcW w:w="72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Branches</w:t>
            </w:r>
          </w:p>
        </w:tc>
        <w:tc>
          <w:tcPr>
            <w:tcW w:w="720" w:type="dxa"/>
            <w:vAlign w:val="bottom"/>
          </w:tcPr>
          <w:p>
            <w:pPr>
              <w:jc w:val="center"/>
              <w:ind w:left="248"/>
              <w:spacing w:after="0"/>
              <w:rPr>
                <w:sz w:val="20"/>
                <w:szCs w:val="20"/>
                <w:color w:val="auto"/>
              </w:rPr>
            </w:pPr>
            <w:r>
              <w:rPr>
                <w:rFonts w:ascii="Calibri" w:cs="Calibri" w:eastAsia="Calibri" w:hAnsi="Calibri"/>
                <w:sz w:val="10"/>
                <w:szCs w:val="10"/>
                <w:color w:val="auto"/>
                <w:w w:val="98"/>
              </w:rPr>
              <w:t>46</w:t>
            </w:r>
          </w:p>
        </w:tc>
        <w:tc>
          <w:tcPr>
            <w:tcW w:w="1260" w:type="dxa"/>
            <w:vAlign w:val="bottom"/>
          </w:tcPr>
          <w:p>
            <w:pPr>
              <w:jc w:val="center"/>
              <w:ind w:left="307"/>
              <w:spacing w:after="0"/>
              <w:rPr>
                <w:sz w:val="20"/>
                <w:szCs w:val="20"/>
                <w:color w:val="auto"/>
              </w:rPr>
            </w:pPr>
            <w:r>
              <w:rPr>
                <w:rFonts w:ascii="Calibri" w:cs="Calibri" w:eastAsia="Calibri" w:hAnsi="Calibri"/>
                <w:sz w:val="10"/>
                <w:szCs w:val="10"/>
                <w:color w:val="auto"/>
                <w:w w:val="98"/>
              </w:rPr>
              <w:t>46</w:t>
            </w:r>
          </w:p>
        </w:tc>
        <w:tc>
          <w:tcPr>
            <w:tcW w:w="980" w:type="dxa"/>
            <w:vAlign w:val="bottom"/>
          </w:tcPr>
          <w:p>
            <w:pPr>
              <w:jc w:val="center"/>
              <w:ind w:left="108"/>
              <w:spacing w:after="0"/>
              <w:rPr>
                <w:sz w:val="20"/>
                <w:szCs w:val="20"/>
                <w:color w:val="auto"/>
              </w:rPr>
            </w:pPr>
            <w:r>
              <w:rPr>
                <w:rFonts w:ascii="Calibri" w:cs="Calibri" w:eastAsia="Calibri" w:hAnsi="Calibri"/>
                <w:sz w:val="10"/>
                <w:szCs w:val="10"/>
                <w:color w:val="auto"/>
                <w:w w:val="98"/>
              </w:rPr>
              <w:t>46</w:t>
            </w:r>
          </w:p>
        </w:tc>
        <w:tc>
          <w:tcPr>
            <w:tcW w:w="100" w:type="dxa"/>
            <w:vAlign w:val="bottom"/>
            <w:tcBorders>
              <w:right w:val="single" w:sz="8" w:color="auto"/>
            </w:tcBorders>
          </w:tcPr>
          <w:p>
            <w:pPr>
              <w:spacing w:after="0"/>
              <w:rPr>
                <w:sz w:val="13"/>
                <w:szCs w:val="13"/>
                <w:color w:val="auto"/>
              </w:rPr>
            </w:pPr>
          </w:p>
        </w:tc>
        <w:tc>
          <w:tcPr>
            <w:tcW w:w="900" w:type="dxa"/>
            <w:vAlign w:val="bottom"/>
          </w:tcPr>
          <w:p>
            <w:pPr>
              <w:jc w:val="center"/>
              <w:ind w:right="48"/>
              <w:spacing w:after="0"/>
              <w:rPr>
                <w:sz w:val="20"/>
                <w:szCs w:val="20"/>
                <w:color w:val="auto"/>
              </w:rPr>
            </w:pPr>
            <w:r>
              <w:rPr>
                <w:rFonts w:ascii="Calibri" w:cs="Calibri" w:eastAsia="Calibri" w:hAnsi="Calibri"/>
                <w:sz w:val="10"/>
                <w:szCs w:val="10"/>
                <w:color w:val="auto"/>
              </w:rPr>
              <w:t>0.0%</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0.0%</w:t>
            </w:r>
          </w:p>
        </w:tc>
        <w:tc>
          <w:tcPr>
            <w:tcW w:w="16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Agentes</w:t>
            </w:r>
          </w:p>
        </w:tc>
        <w:tc>
          <w:tcPr>
            <w:tcW w:w="720" w:type="dxa"/>
            <w:vAlign w:val="bottom"/>
          </w:tcPr>
          <w:p>
            <w:pPr>
              <w:jc w:val="center"/>
              <w:ind w:left="228"/>
              <w:spacing w:after="0"/>
              <w:rPr>
                <w:sz w:val="20"/>
                <w:szCs w:val="20"/>
                <w:color w:val="auto"/>
              </w:rPr>
            </w:pPr>
            <w:r>
              <w:rPr>
                <w:rFonts w:ascii="Calibri" w:cs="Calibri" w:eastAsia="Calibri" w:hAnsi="Calibri"/>
                <w:sz w:val="10"/>
                <w:szCs w:val="10"/>
                <w:color w:val="auto"/>
              </w:rPr>
              <w:t>1,350</w:t>
            </w:r>
          </w:p>
        </w:tc>
        <w:tc>
          <w:tcPr>
            <w:tcW w:w="1260" w:type="dxa"/>
            <w:vAlign w:val="bottom"/>
          </w:tcPr>
          <w:p>
            <w:pPr>
              <w:jc w:val="center"/>
              <w:ind w:left="287"/>
              <w:spacing w:after="0"/>
              <w:rPr>
                <w:sz w:val="20"/>
                <w:szCs w:val="20"/>
                <w:color w:val="auto"/>
              </w:rPr>
            </w:pPr>
            <w:r>
              <w:rPr>
                <w:rFonts w:ascii="Calibri" w:cs="Calibri" w:eastAsia="Calibri" w:hAnsi="Calibri"/>
                <w:sz w:val="10"/>
                <w:szCs w:val="10"/>
                <w:color w:val="auto"/>
              </w:rPr>
              <w:t>1,848</w:t>
            </w:r>
          </w:p>
        </w:tc>
        <w:tc>
          <w:tcPr>
            <w:tcW w:w="980" w:type="dxa"/>
            <w:vAlign w:val="bottom"/>
          </w:tcPr>
          <w:p>
            <w:pPr>
              <w:jc w:val="center"/>
              <w:ind w:left="88"/>
              <w:spacing w:after="0"/>
              <w:rPr>
                <w:sz w:val="20"/>
                <w:szCs w:val="20"/>
                <w:color w:val="auto"/>
              </w:rPr>
            </w:pPr>
            <w:r>
              <w:rPr>
                <w:rFonts w:ascii="Calibri" w:cs="Calibri" w:eastAsia="Calibri" w:hAnsi="Calibri"/>
                <w:sz w:val="10"/>
                <w:szCs w:val="10"/>
                <w:color w:val="auto"/>
              </w:rPr>
              <w:t>2,056</w:t>
            </w:r>
          </w:p>
        </w:tc>
        <w:tc>
          <w:tcPr>
            <w:tcW w:w="100" w:type="dxa"/>
            <w:vAlign w:val="bottom"/>
            <w:tcBorders>
              <w:right w:val="single" w:sz="8" w:color="auto"/>
            </w:tcBorders>
          </w:tcPr>
          <w:p>
            <w:pPr>
              <w:spacing w:after="0"/>
              <w:rPr>
                <w:sz w:val="16"/>
                <w:szCs w:val="16"/>
                <w:color w:val="auto"/>
              </w:rPr>
            </w:pPr>
          </w:p>
        </w:tc>
        <w:tc>
          <w:tcPr>
            <w:tcW w:w="900" w:type="dxa"/>
            <w:vAlign w:val="bottom"/>
          </w:tcPr>
          <w:p>
            <w:pPr>
              <w:jc w:val="center"/>
              <w:ind w:right="68"/>
              <w:spacing w:after="0"/>
              <w:rPr>
                <w:sz w:val="20"/>
                <w:szCs w:val="20"/>
                <w:color w:val="auto"/>
              </w:rPr>
            </w:pPr>
            <w:r>
              <w:rPr>
                <w:rFonts w:ascii="Calibri" w:cs="Calibri" w:eastAsia="Calibri" w:hAnsi="Calibri"/>
                <w:sz w:val="10"/>
                <w:szCs w:val="10"/>
                <w:color w:val="auto"/>
              </w:rPr>
              <w:t>11.3%</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52.3%</w:t>
            </w:r>
          </w:p>
        </w:tc>
        <w:tc>
          <w:tcPr>
            <w:tcW w:w="16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ATMs</w:t>
            </w:r>
          </w:p>
        </w:tc>
        <w:tc>
          <w:tcPr>
            <w:tcW w:w="720" w:type="dxa"/>
            <w:vAlign w:val="bottom"/>
          </w:tcPr>
          <w:p>
            <w:pPr>
              <w:jc w:val="center"/>
              <w:ind w:left="228"/>
              <w:spacing w:after="0"/>
              <w:rPr>
                <w:sz w:val="20"/>
                <w:szCs w:val="20"/>
                <w:color w:val="auto"/>
              </w:rPr>
            </w:pPr>
            <w:r>
              <w:rPr>
                <w:rFonts w:ascii="Calibri" w:cs="Calibri" w:eastAsia="Calibri" w:hAnsi="Calibri"/>
                <w:sz w:val="10"/>
                <w:szCs w:val="10"/>
                <w:color w:val="auto"/>
              </w:rPr>
              <w:t>315</w:t>
            </w:r>
          </w:p>
        </w:tc>
        <w:tc>
          <w:tcPr>
            <w:tcW w:w="1260" w:type="dxa"/>
            <w:vAlign w:val="bottom"/>
          </w:tcPr>
          <w:p>
            <w:pPr>
              <w:jc w:val="center"/>
              <w:ind w:left="287"/>
              <w:spacing w:after="0"/>
              <w:rPr>
                <w:sz w:val="20"/>
                <w:szCs w:val="20"/>
                <w:color w:val="auto"/>
              </w:rPr>
            </w:pPr>
            <w:r>
              <w:rPr>
                <w:rFonts w:ascii="Calibri" w:cs="Calibri" w:eastAsia="Calibri" w:hAnsi="Calibri"/>
                <w:sz w:val="10"/>
                <w:szCs w:val="10"/>
                <w:color w:val="auto"/>
              </w:rPr>
              <w:t>314</w:t>
            </w:r>
          </w:p>
        </w:tc>
        <w:tc>
          <w:tcPr>
            <w:tcW w:w="980" w:type="dxa"/>
            <w:vAlign w:val="bottom"/>
          </w:tcPr>
          <w:p>
            <w:pPr>
              <w:jc w:val="center"/>
              <w:ind w:left="88"/>
              <w:spacing w:after="0"/>
              <w:rPr>
                <w:sz w:val="20"/>
                <w:szCs w:val="20"/>
                <w:color w:val="auto"/>
              </w:rPr>
            </w:pPr>
            <w:r>
              <w:rPr>
                <w:rFonts w:ascii="Calibri" w:cs="Calibri" w:eastAsia="Calibri" w:hAnsi="Calibri"/>
                <w:sz w:val="10"/>
                <w:szCs w:val="10"/>
                <w:color w:val="auto"/>
              </w:rPr>
              <w:t>314</w:t>
            </w:r>
          </w:p>
        </w:tc>
        <w:tc>
          <w:tcPr>
            <w:tcW w:w="100" w:type="dxa"/>
            <w:vAlign w:val="bottom"/>
            <w:tcBorders>
              <w:right w:val="single" w:sz="8" w:color="auto"/>
            </w:tcBorders>
          </w:tcPr>
          <w:p>
            <w:pPr>
              <w:spacing w:after="0"/>
              <w:rPr>
                <w:sz w:val="16"/>
                <w:szCs w:val="16"/>
                <w:color w:val="auto"/>
              </w:rPr>
            </w:pPr>
          </w:p>
        </w:tc>
        <w:tc>
          <w:tcPr>
            <w:tcW w:w="900" w:type="dxa"/>
            <w:vAlign w:val="bottom"/>
          </w:tcPr>
          <w:p>
            <w:pPr>
              <w:jc w:val="center"/>
              <w:ind w:right="48"/>
              <w:spacing w:after="0"/>
              <w:rPr>
                <w:sz w:val="20"/>
                <w:szCs w:val="20"/>
                <w:color w:val="auto"/>
              </w:rPr>
            </w:pPr>
            <w:r>
              <w:rPr>
                <w:rFonts w:ascii="Calibri" w:cs="Calibri" w:eastAsia="Calibri" w:hAnsi="Calibri"/>
                <w:sz w:val="10"/>
                <w:szCs w:val="10"/>
                <w:color w:val="auto"/>
              </w:rPr>
              <w:t>0.0%</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-0.3%</w:t>
            </w:r>
          </w:p>
        </w:tc>
        <w:tc>
          <w:tcPr>
            <w:tcW w:w="16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Employees</w:t>
            </w:r>
          </w:p>
        </w:tc>
        <w:tc>
          <w:tcPr>
            <w:tcW w:w="720" w:type="dxa"/>
            <w:vAlign w:val="bottom"/>
          </w:tcPr>
          <w:p>
            <w:pPr>
              <w:jc w:val="center"/>
              <w:ind w:left="228"/>
              <w:spacing w:after="0"/>
              <w:rPr>
                <w:sz w:val="20"/>
                <w:szCs w:val="20"/>
                <w:color w:val="auto"/>
              </w:rPr>
            </w:pPr>
            <w:r>
              <w:rPr>
                <w:rFonts w:ascii="Calibri" w:cs="Calibri" w:eastAsia="Calibri" w:hAnsi="Calibri"/>
                <w:sz w:val="10"/>
                <w:szCs w:val="10"/>
                <w:color w:val="auto"/>
              </w:rPr>
              <w:t>1,745</w:t>
            </w:r>
          </w:p>
        </w:tc>
        <w:tc>
          <w:tcPr>
            <w:tcW w:w="1260" w:type="dxa"/>
            <w:vAlign w:val="bottom"/>
          </w:tcPr>
          <w:p>
            <w:pPr>
              <w:jc w:val="center"/>
              <w:ind w:left="287"/>
              <w:spacing w:after="0"/>
              <w:rPr>
                <w:sz w:val="20"/>
                <w:szCs w:val="20"/>
                <w:color w:val="auto"/>
              </w:rPr>
            </w:pPr>
            <w:r>
              <w:rPr>
                <w:rFonts w:ascii="Calibri" w:cs="Calibri" w:eastAsia="Calibri" w:hAnsi="Calibri"/>
                <w:sz w:val="10"/>
                <w:szCs w:val="10"/>
                <w:color w:val="auto"/>
              </w:rPr>
              <w:t>1,859</w:t>
            </w:r>
          </w:p>
        </w:tc>
        <w:tc>
          <w:tcPr>
            <w:tcW w:w="980" w:type="dxa"/>
            <w:vAlign w:val="bottom"/>
          </w:tcPr>
          <w:p>
            <w:pPr>
              <w:jc w:val="center"/>
              <w:ind w:left="88"/>
              <w:spacing w:after="0"/>
              <w:rPr>
                <w:sz w:val="20"/>
                <w:szCs w:val="20"/>
                <w:color w:val="auto"/>
              </w:rPr>
            </w:pPr>
            <w:r>
              <w:rPr>
                <w:rFonts w:ascii="Calibri" w:cs="Calibri" w:eastAsia="Calibri" w:hAnsi="Calibri"/>
                <w:sz w:val="10"/>
                <w:szCs w:val="10"/>
                <w:color w:val="auto"/>
              </w:rPr>
              <w:t>1,897</w:t>
            </w:r>
          </w:p>
        </w:tc>
        <w:tc>
          <w:tcPr>
            <w:tcW w:w="100" w:type="dxa"/>
            <w:vAlign w:val="bottom"/>
            <w:tcBorders>
              <w:right w:val="single" w:sz="8" w:color="auto"/>
            </w:tcBorders>
          </w:tcPr>
          <w:p>
            <w:pPr>
              <w:spacing w:after="0"/>
              <w:rPr>
                <w:sz w:val="18"/>
                <w:szCs w:val="18"/>
                <w:color w:val="auto"/>
              </w:rPr>
            </w:pPr>
          </w:p>
        </w:tc>
        <w:tc>
          <w:tcPr>
            <w:tcW w:w="900" w:type="dxa"/>
            <w:vAlign w:val="bottom"/>
          </w:tcPr>
          <w:p>
            <w:pPr>
              <w:jc w:val="center"/>
              <w:ind w:right="48"/>
              <w:spacing w:after="0"/>
              <w:rPr>
                <w:sz w:val="20"/>
                <w:szCs w:val="20"/>
                <w:color w:val="auto"/>
              </w:rPr>
            </w:pPr>
            <w:r>
              <w:rPr>
                <w:rFonts w:ascii="Calibri" w:cs="Calibri" w:eastAsia="Calibri" w:hAnsi="Calibri"/>
                <w:sz w:val="10"/>
                <w:szCs w:val="10"/>
                <w:color w:val="auto"/>
              </w:rPr>
              <w:t>2.0%</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8.7%</w:t>
            </w:r>
          </w:p>
        </w:tc>
        <w:tc>
          <w:tcPr>
            <w:tcW w:w="1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5"/>
        </w:trPr>
        <w:tc>
          <w:tcPr>
            <w:tcW w:w="3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-676910</wp:posOffset>
            </wp:positionV>
            <wp:extent cx="6492875" cy="561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92875" cy="56197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7" w:name="page68"/>
    <w:bookmarkEnd w:id="67"/>
    <w:p>
      <w:pPr>
        <w:ind w:left="2560"/>
        <w:spacing w:after="0"/>
        <w:tabs>
          <w:tab w:leader="none" w:pos="2960" w:val="left"/>
          <w:tab w:leader="none" w:pos="766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4876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7400" cy="4876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210820</wp:posOffset>
            </wp:positionV>
            <wp:extent cx="7137400" cy="1981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7400" cy="198120"/>
                    </a:xfrm>
                    <a:prstGeom prst="rect">
                      <a:avLst/>
                    </a:prstGeom>
                    <a:noFill/>
                  </pic:spPr>
                </pic:pic>
              </a:graphicData>
            </a:graphic>
          </wp:anchor>
        </w:drawing>
      </w:r>
    </w:p>
    <w:p>
      <w:pPr>
        <w:spacing w:after="0" w:line="316"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FFFFFF"/>
        </w:rPr>
        <w:t>12. Appendix</w:t>
      </w:r>
    </w:p>
    <w:p>
      <w:pPr>
        <w:spacing w:after="0" w:line="277"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7"/>
          <w:szCs w:val="17"/>
          <w:b w:val="1"/>
          <w:bCs w:val="1"/>
          <w:color w:val="auto"/>
        </w:rPr>
        <w:t>12.7.6.</w:t>
        <w:tab/>
        <w:t>Mibanco</w:t>
      </w:r>
    </w:p>
    <w:p>
      <w:pPr>
        <w:spacing w:after="0" w:line="19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Financial Positon</w:t>
      </w:r>
    </w:p>
    <w:p>
      <w:pPr>
        <w:jc w:val="center"/>
        <w:spacing w:after="0"/>
        <w:rPr>
          <w:sz w:val="20"/>
          <w:szCs w:val="20"/>
          <w:color w:val="auto"/>
        </w:rPr>
      </w:pPr>
      <w:r>
        <w:rPr>
          <w:rFonts w:ascii="Calibri" w:cs="Calibri" w:eastAsia="Calibri" w:hAnsi="Calibri"/>
          <w:sz w:val="16"/>
          <w:szCs w:val="16"/>
          <w:b w:val="1"/>
          <w:bCs w:val="1"/>
          <w:color w:val="auto"/>
        </w:rPr>
        <w:t>(S/ Thousands, IFRS)</w:t>
      </w:r>
    </w:p>
    <w:p>
      <w:pPr>
        <w:spacing w:after="0" w:line="215" w:lineRule="exact"/>
        <w:rPr>
          <w:sz w:val="20"/>
          <w:szCs w:val="20"/>
          <w:color w:val="auto"/>
        </w:rPr>
      </w:pPr>
    </w:p>
    <w:tbl>
      <w:tblPr>
        <w:tblLayout w:type="fixed"/>
        <w:tblInd w:w="590" w:type="dxa"/>
        <w:tblCellMar>
          <w:top w:w="0" w:type="dxa"/>
          <w:left w:w="0" w:type="dxa"/>
          <w:bottom w:w="0" w:type="dxa"/>
          <w:right w:w="0" w:type="dxa"/>
        </w:tblCellMar>
      </w:tblPr>
      <w:tr>
        <w:trPr>
          <w:trHeight w:val="169"/>
        </w:trPr>
        <w:tc>
          <w:tcPr>
            <w:tcW w:w="4160" w:type="dxa"/>
            <w:vAlign w:val="bottom"/>
            <w:tcBorders>
              <w:top w:val="single" w:sz="8" w:color="auto"/>
              <w:left w:val="single" w:sz="8" w:color="auto"/>
              <w:right w:val="single" w:sz="8" w:color="auto"/>
            </w:tcBorders>
            <w:shd w:val="clear" w:color="auto" w:fill="33CCCC"/>
          </w:tcPr>
          <w:p>
            <w:pPr>
              <w:spacing w:after="0"/>
              <w:rPr>
                <w:sz w:val="14"/>
                <w:szCs w:val="14"/>
                <w:color w:val="auto"/>
              </w:rPr>
            </w:pPr>
          </w:p>
        </w:tc>
        <w:tc>
          <w:tcPr>
            <w:tcW w:w="1260" w:type="dxa"/>
            <w:vAlign w:val="bottom"/>
            <w:tcBorders>
              <w:top w:val="single" w:sz="8" w:color="auto"/>
            </w:tcBorders>
            <w:shd w:val="clear" w:color="auto" w:fill="33CCCC"/>
          </w:tcPr>
          <w:p>
            <w:pPr>
              <w:spacing w:after="0"/>
              <w:rPr>
                <w:sz w:val="14"/>
                <w:szCs w:val="14"/>
                <w:color w:val="auto"/>
              </w:rPr>
            </w:pPr>
          </w:p>
        </w:tc>
        <w:tc>
          <w:tcPr>
            <w:tcW w:w="132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As of</w:t>
            </w:r>
          </w:p>
        </w:tc>
        <w:tc>
          <w:tcPr>
            <w:tcW w:w="1360" w:type="dxa"/>
            <w:vAlign w:val="bottom"/>
            <w:tcBorders>
              <w:top w:val="single" w:sz="8" w:color="auto"/>
              <w:right w:val="single" w:sz="8" w:color="auto"/>
            </w:tcBorders>
            <w:shd w:val="clear" w:color="auto" w:fill="33CCCC"/>
          </w:tcPr>
          <w:p>
            <w:pPr>
              <w:spacing w:after="0"/>
              <w:rPr>
                <w:sz w:val="14"/>
                <w:szCs w:val="14"/>
                <w:color w:val="auto"/>
              </w:rPr>
            </w:pPr>
          </w:p>
        </w:tc>
        <w:tc>
          <w:tcPr>
            <w:tcW w:w="700" w:type="dxa"/>
            <w:vAlign w:val="bottom"/>
            <w:tcBorders>
              <w:top w:val="single" w:sz="8" w:color="auto"/>
            </w:tcBorders>
            <w:shd w:val="clear" w:color="auto" w:fill="33CCCC"/>
          </w:tcPr>
          <w:p>
            <w:pPr>
              <w:spacing w:after="0"/>
              <w:rPr>
                <w:sz w:val="14"/>
                <w:szCs w:val="14"/>
                <w:color w:val="auto"/>
              </w:rPr>
            </w:pPr>
          </w:p>
        </w:tc>
        <w:tc>
          <w:tcPr>
            <w:tcW w:w="132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3"/>
                <w:szCs w:val="13"/>
                <w:b w:val="1"/>
                <w:bCs w:val="1"/>
                <w:color w:val="FFFFFF"/>
              </w:rPr>
              <w:t>% change</w:t>
            </w:r>
          </w:p>
        </w:tc>
      </w:tr>
      <w:tr>
        <w:trPr>
          <w:trHeight w:val="188"/>
        </w:trPr>
        <w:tc>
          <w:tcPr>
            <w:tcW w:w="4160" w:type="dxa"/>
            <w:vAlign w:val="bottom"/>
            <w:tcBorders>
              <w:left w:val="single" w:sz="8" w:color="auto"/>
              <w:bottom w:val="single" w:sz="8" w:color="33CCCC"/>
              <w:right w:val="single" w:sz="8" w:color="auto"/>
            </w:tcBorders>
            <w:shd w:val="clear" w:color="auto" w:fill="33CCCC"/>
          </w:tcPr>
          <w:p>
            <w:pPr>
              <w:spacing w:after="0"/>
              <w:rPr>
                <w:sz w:val="15"/>
                <w:szCs w:val="15"/>
                <w:color w:val="auto"/>
              </w:rPr>
            </w:pPr>
          </w:p>
        </w:tc>
        <w:tc>
          <w:tcPr>
            <w:tcW w:w="1260" w:type="dxa"/>
            <w:vAlign w:val="bottom"/>
            <w:tcBorders>
              <w:bottom w:val="single" w:sz="8" w:color="33CCCC"/>
            </w:tcBorders>
            <w:shd w:val="clear" w:color="auto" w:fill="33CCCC"/>
          </w:tcPr>
          <w:p>
            <w:pPr>
              <w:ind w:left="440"/>
              <w:spacing w:after="0"/>
              <w:rPr>
                <w:sz w:val="20"/>
                <w:szCs w:val="20"/>
                <w:color w:val="auto"/>
              </w:rPr>
            </w:pPr>
            <w:r>
              <w:rPr>
                <w:rFonts w:ascii="Calibri" w:cs="Calibri" w:eastAsia="Calibri" w:hAnsi="Calibri"/>
                <w:sz w:val="13"/>
                <w:szCs w:val="13"/>
                <w:b w:val="1"/>
                <w:bCs w:val="1"/>
                <w:color w:val="FFFFFF"/>
              </w:rPr>
              <w:t>Jun 24</w:t>
            </w:r>
          </w:p>
        </w:tc>
        <w:tc>
          <w:tcPr>
            <w:tcW w:w="132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Mar 25</w:t>
            </w:r>
          </w:p>
        </w:tc>
        <w:tc>
          <w:tcPr>
            <w:tcW w:w="1360" w:type="dxa"/>
            <w:vAlign w:val="bottom"/>
            <w:tcBorders>
              <w:bottom w:val="single" w:sz="8" w:color="33CCCC"/>
              <w:right w:val="single" w:sz="8" w:color="auto"/>
            </w:tcBorders>
            <w:shd w:val="clear" w:color="auto" w:fill="33CCCC"/>
          </w:tcPr>
          <w:p>
            <w:pPr>
              <w:ind w:left="500"/>
              <w:spacing w:after="0"/>
              <w:rPr>
                <w:sz w:val="20"/>
                <w:szCs w:val="20"/>
                <w:color w:val="auto"/>
              </w:rPr>
            </w:pPr>
            <w:r>
              <w:rPr>
                <w:rFonts w:ascii="Calibri" w:cs="Calibri" w:eastAsia="Calibri" w:hAnsi="Calibri"/>
                <w:sz w:val="13"/>
                <w:szCs w:val="13"/>
                <w:b w:val="1"/>
                <w:bCs w:val="1"/>
                <w:color w:val="FFFFFF"/>
              </w:rPr>
              <w:t>Jun 25</w:t>
            </w:r>
          </w:p>
        </w:tc>
        <w:tc>
          <w:tcPr>
            <w:tcW w:w="700" w:type="dxa"/>
            <w:vAlign w:val="bottom"/>
            <w:tcBorders>
              <w:bottom w:val="single" w:sz="8" w:color="33CCCC"/>
            </w:tcBorders>
            <w:shd w:val="clear" w:color="auto" w:fill="33CCCC"/>
          </w:tcPr>
          <w:p>
            <w:pPr>
              <w:ind w:left="360"/>
              <w:spacing w:after="0"/>
              <w:rPr>
                <w:sz w:val="20"/>
                <w:szCs w:val="20"/>
                <w:color w:val="auto"/>
              </w:rPr>
            </w:pPr>
            <w:r>
              <w:rPr>
                <w:rFonts w:ascii="Calibri" w:cs="Calibri" w:eastAsia="Calibri" w:hAnsi="Calibri"/>
                <w:sz w:val="13"/>
                <w:szCs w:val="13"/>
                <w:b w:val="1"/>
                <w:bCs w:val="1"/>
                <w:color w:val="FFFFFF"/>
              </w:rPr>
              <w:t>QoQ</w:t>
            </w:r>
          </w:p>
        </w:tc>
        <w:tc>
          <w:tcPr>
            <w:tcW w:w="1320" w:type="dxa"/>
            <w:vAlign w:val="bottom"/>
            <w:tcBorders>
              <w:bottom w:val="single" w:sz="8" w:color="33CCCC"/>
              <w:right w:val="single" w:sz="8" w:color="auto"/>
            </w:tcBorders>
            <w:shd w:val="clear" w:color="auto" w:fill="33CCCC"/>
          </w:tcPr>
          <w:p>
            <w:pPr>
              <w:ind w:left="680"/>
              <w:spacing w:after="0"/>
              <w:rPr>
                <w:sz w:val="20"/>
                <w:szCs w:val="20"/>
                <w:color w:val="auto"/>
              </w:rPr>
            </w:pPr>
            <w:r>
              <w:rPr>
                <w:rFonts w:ascii="Calibri" w:cs="Calibri" w:eastAsia="Calibri" w:hAnsi="Calibri"/>
                <w:sz w:val="13"/>
                <w:szCs w:val="13"/>
                <w:b w:val="1"/>
                <w:bCs w:val="1"/>
                <w:color w:val="FFFFFF"/>
              </w:rPr>
              <w:t>YoY</w:t>
            </w:r>
          </w:p>
        </w:tc>
      </w:tr>
      <w:tr>
        <w:trPr>
          <w:trHeight w:val="149"/>
        </w:trPr>
        <w:tc>
          <w:tcPr>
            <w:tcW w:w="4160" w:type="dxa"/>
            <w:vAlign w:val="bottom"/>
            <w:tcBorders>
              <w:top w:val="single" w:sz="8" w:color="auto"/>
              <w:left w:val="single" w:sz="8" w:color="auto"/>
              <w:right w:val="single" w:sz="8" w:color="auto"/>
            </w:tcBorders>
          </w:tcPr>
          <w:p>
            <w:pPr>
              <w:spacing w:after="0" w:line="149" w:lineRule="exact"/>
              <w:rPr>
                <w:sz w:val="20"/>
                <w:szCs w:val="20"/>
                <w:color w:val="auto"/>
              </w:rPr>
            </w:pPr>
            <w:r>
              <w:rPr>
                <w:rFonts w:ascii="Calibri" w:cs="Calibri" w:eastAsia="Calibri" w:hAnsi="Calibri"/>
                <w:sz w:val="13"/>
                <w:szCs w:val="13"/>
                <w:b w:val="1"/>
                <w:bCs w:val="1"/>
                <w:color w:val="auto"/>
              </w:rPr>
              <w:t>ASSETS</w:t>
            </w:r>
          </w:p>
        </w:tc>
        <w:tc>
          <w:tcPr>
            <w:tcW w:w="1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r>
      <w:tr>
        <w:trPr>
          <w:trHeight w:val="163"/>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color w:val="auto"/>
              </w:rPr>
              <w:t>Cash and due from banks</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1,017,485</w:t>
            </w:r>
          </w:p>
        </w:tc>
        <w:tc>
          <w:tcPr>
            <w:tcW w:w="1320" w:type="dxa"/>
            <w:vAlign w:val="bottom"/>
          </w:tcPr>
          <w:p>
            <w:pPr>
              <w:jc w:val="center"/>
              <w:spacing w:after="0"/>
              <w:rPr>
                <w:sz w:val="20"/>
                <w:szCs w:val="20"/>
                <w:color w:val="auto"/>
              </w:rPr>
            </w:pPr>
            <w:r>
              <w:rPr>
                <w:rFonts w:ascii="Calibri" w:cs="Calibri" w:eastAsia="Calibri" w:hAnsi="Calibri"/>
                <w:sz w:val="13"/>
                <w:szCs w:val="13"/>
                <w:color w:val="auto"/>
                <w:w w:val="98"/>
              </w:rPr>
              <w:t>1,931,908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1,668,841</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-13.6%</w:t>
            </w:r>
          </w:p>
        </w:tc>
        <w:tc>
          <w:tcPr>
            <w:tcW w:w="1320" w:type="dxa"/>
            <w:vAlign w:val="bottom"/>
            <w:tcBorders>
              <w:right w:val="single" w:sz="8" w:color="auto"/>
            </w:tcBorders>
          </w:tcPr>
          <w:p>
            <w:pPr>
              <w:jc w:val="center"/>
              <w:ind w:left="175"/>
              <w:spacing w:after="0"/>
              <w:rPr>
                <w:sz w:val="20"/>
                <w:szCs w:val="20"/>
                <w:color w:val="auto"/>
              </w:rPr>
            </w:pPr>
            <w:r>
              <w:rPr>
                <w:rFonts w:ascii="Calibri" w:cs="Calibri" w:eastAsia="Calibri" w:hAnsi="Calibri"/>
                <w:sz w:val="13"/>
                <w:szCs w:val="13"/>
                <w:color w:val="auto"/>
                <w:w w:val="98"/>
              </w:rPr>
              <w:t>64.0%</w:t>
            </w: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color w:val="auto"/>
              </w:rPr>
              <w:t>Investments</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3,220,179</w:t>
            </w:r>
          </w:p>
        </w:tc>
        <w:tc>
          <w:tcPr>
            <w:tcW w:w="1320" w:type="dxa"/>
            <w:vAlign w:val="bottom"/>
          </w:tcPr>
          <w:p>
            <w:pPr>
              <w:jc w:val="center"/>
              <w:spacing w:after="0"/>
              <w:rPr>
                <w:sz w:val="20"/>
                <w:szCs w:val="20"/>
                <w:color w:val="auto"/>
              </w:rPr>
            </w:pPr>
            <w:r>
              <w:rPr>
                <w:rFonts w:ascii="Calibri" w:cs="Calibri" w:eastAsia="Calibri" w:hAnsi="Calibri"/>
                <w:sz w:val="13"/>
                <w:szCs w:val="13"/>
                <w:color w:val="auto"/>
                <w:w w:val="98"/>
              </w:rPr>
              <w:t>3,124,911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2,878,335</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-7.9%</w:t>
            </w:r>
          </w:p>
        </w:tc>
        <w:tc>
          <w:tcPr>
            <w:tcW w:w="1320" w:type="dxa"/>
            <w:vAlign w:val="bottom"/>
            <w:tcBorders>
              <w:right w:val="single" w:sz="8" w:color="auto"/>
            </w:tcBorders>
          </w:tcPr>
          <w:p>
            <w:pPr>
              <w:jc w:val="center"/>
              <w:ind w:left="175"/>
              <w:spacing w:after="0"/>
              <w:rPr>
                <w:sz w:val="20"/>
                <w:szCs w:val="20"/>
                <w:color w:val="auto"/>
              </w:rPr>
            </w:pPr>
            <w:r>
              <w:rPr>
                <w:rFonts w:ascii="Calibri" w:cs="Calibri" w:eastAsia="Calibri" w:hAnsi="Calibri"/>
                <w:sz w:val="13"/>
                <w:szCs w:val="13"/>
                <w:color w:val="auto"/>
                <w:w w:val="98"/>
              </w:rPr>
              <w:t>-10.6%</w:t>
            </w: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Total loans</w:t>
            </w:r>
          </w:p>
        </w:tc>
        <w:tc>
          <w:tcPr>
            <w:tcW w:w="1260" w:type="dxa"/>
            <w:vAlign w:val="bottom"/>
          </w:tcPr>
          <w:p>
            <w:pPr>
              <w:jc w:val="center"/>
              <w:spacing w:after="0"/>
              <w:rPr>
                <w:sz w:val="20"/>
                <w:szCs w:val="20"/>
                <w:color w:val="auto"/>
              </w:rPr>
            </w:pPr>
            <w:r>
              <w:rPr>
                <w:rFonts w:ascii="Calibri" w:cs="Calibri" w:eastAsia="Calibri" w:hAnsi="Calibri"/>
                <w:sz w:val="13"/>
                <w:szCs w:val="13"/>
                <w:b w:val="1"/>
                <w:bCs w:val="1"/>
                <w:color w:val="auto"/>
              </w:rPr>
              <w:t>12,705,605</w:t>
            </w:r>
          </w:p>
        </w:tc>
        <w:tc>
          <w:tcPr>
            <w:tcW w:w="1320" w:type="dxa"/>
            <w:vAlign w:val="bottom"/>
          </w:tcPr>
          <w:p>
            <w:pPr>
              <w:jc w:val="center"/>
              <w:spacing w:after="0"/>
              <w:rPr>
                <w:sz w:val="20"/>
                <w:szCs w:val="20"/>
                <w:color w:val="auto"/>
              </w:rPr>
            </w:pPr>
            <w:r>
              <w:rPr>
                <w:rFonts w:ascii="Calibri" w:cs="Calibri" w:eastAsia="Calibri" w:hAnsi="Calibri"/>
                <w:sz w:val="13"/>
                <w:szCs w:val="13"/>
                <w:b w:val="1"/>
                <w:bCs w:val="1"/>
                <w:color w:val="auto"/>
              </w:rPr>
              <w:t>12,525,099</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12,785,249</w:t>
            </w:r>
          </w:p>
        </w:tc>
        <w:tc>
          <w:tcPr>
            <w:tcW w:w="700" w:type="dxa"/>
            <w:vAlign w:val="bottom"/>
          </w:tcPr>
          <w:p>
            <w:pPr>
              <w:jc w:val="center"/>
              <w:ind w:left="215"/>
              <w:spacing w:after="0"/>
              <w:rPr>
                <w:sz w:val="20"/>
                <w:szCs w:val="20"/>
                <w:color w:val="auto"/>
              </w:rPr>
            </w:pPr>
            <w:r>
              <w:rPr>
                <w:rFonts w:ascii="Calibri" w:cs="Calibri" w:eastAsia="Calibri" w:hAnsi="Calibri"/>
                <w:sz w:val="13"/>
                <w:szCs w:val="13"/>
                <w:b w:val="1"/>
                <w:bCs w:val="1"/>
                <w:color w:val="auto"/>
                <w:w w:val="99"/>
              </w:rPr>
              <w:t>2.1%</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b w:val="1"/>
                <w:bCs w:val="1"/>
                <w:color w:val="auto"/>
                <w:w w:val="99"/>
              </w:rPr>
              <w:t>0.6%</w:t>
            </w:r>
          </w:p>
        </w:tc>
      </w:tr>
      <w:tr>
        <w:trPr>
          <w:trHeight w:val="169"/>
        </w:trPr>
        <w:tc>
          <w:tcPr>
            <w:tcW w:w="416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Current</w:t>
            </w:r>
          </w:p>
        </w:tc>
        <w:tc>
          <w:tcPr>
            <w:tcW w:w="1260" w:type="dxa"/>
            <w:vAlign w:val="bottom"/>
          </w:tcPr>
          <w:p>
            <w:pPr>
              <w:jc w:val="center"/>
              <w:spacing w:after="0"/>
              <w:rPr>
                <w:sz w:val="20"/>
                <w:szCs w:val="20"/>
                <w:color w:val="auto"/>
              </w:rPr>
            </w:pPr>
            <w:r>
              <w:rPr>
                <w:rFonts w:ascii="Calibri" w:cs="Calibri" w:eastAsia="Calibri" w:hAnsi="Calibri"/>
                <w:sz w:val="13"/>
                <w:szCs w:val="13"/>
                <w:color w:val="auto"/>
              </w:rPr>
              <w:t>11,672,954</w:t>
            </w:r>
          </w:p>
        </w:tc>
        <w:tc>
          <w:tcPr>
            <w:tcW w:w="1320" w:type="dxa"/>
            <w:vAlign w:val="bottom"/>
          </w:tcPr>
          <w:p>
            <w:pPr>
              <w:jc w:val="center"/>
              <w:spacing w:after="0"/>
              <w:rPr>
                <w:sz w:val="20"/>
                <w:szCs w:val="20"/>
                <w:color w:val="auto"/>
              </w:rPr>
            </w:pPr>
            <w:r>
              <w:rPr>
                <w:rFonts w:ascii="Calibri" w:cs="Calibri" w:eastAsia="Calibri" w:hAnsi="Calibri"/>
                <w:sz w:val="13"/>
                <w:szCs w:val="13"/>
                <w:color w:val="auto"/>
              </w:rPr>
              <w:t>11,719,353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12,004,020</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2.4%</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color w:val="auto"/>
              </w:rPr>
              <w:t>2.8%</w:t>
            </w:r>
          </w:p>
        </w:tc>
      </w:tr>
      <w:tr>
        <w:trPr>
          <w:trHeight w:val="169"/>
        </w:trPr>
        <w:tc>
          <w:tcPr>
            <w:tcW w:w="416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Internal overdue loans</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934,676</w:t>
            </w:r>
          </w:p>
        </w:tc>
        <w:tc>
          <w:tcPr>
            <w:tcW w:w="1320" w:type="dxa"/>
            <w:vAlign w:val="bottom"/>
          </w:tcPr>
          <w:p>
            <w:pPr>
              <w:jc w:val="center"/>
              <w:spacing w:after="0"/>
              <w:rPr>
                <w:sz w:val="20"/>
                <w:szCs w:val="20"/>
                <w:color w:val="auto"/>
              </w:rPr>
            </w:pPr>
            <w:r>
              <w:rPr>
                <w:rFonts w:ascii="Calibri" w:cs="Calibri" w:eastAsia="Calibri" w:hAnsi="Calibri"/>
                <w:sz w:val="13"/>
                <w:szCs w:val="13"/>
                <w:color w:val="auto"/>
              </w:rPr>
              <w:t>698,528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659,287</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-5.6%</w:t>
            </w:r>
          </w:p>
        </w:tc>
        <w:tc>
          <w:tcPr>
            <w:tcW w:w="1320" w:type="dxa"/>
            <w:vAlign w:val="bottom"/>
            <w:tcBorders>
              <w:right w:val="single" w:sz="8" w:color="auto"/>
            </w:tcBorders>
          </w:tcPr>
          <w:p>
            <w:pPr>
              <w:jc w:val="center"/>
              <w:ind w:left="175"/>
              <w:spacing w:after="0"/>
              <w:rPr>
                <w:sz w:val="20"/>
                <w:szCs w:val="20"/>
                <w:color w:val="auto"/>
              </w:rPr>
            </w:pPr>
            <w:r>
              <w:rPr>
                <w:rFonts w:ascii="Calibri" w:cs="Calibri" w:eastAsia="Calibri" w:hAnsi="Calibri"/>
                <w:sz w:val="13"/>
                <w:szCs w:val="13"/>
                <w:color w:val="auto"/>
                <w:w w:val="98"/>
              </w:rPr>
              <w:t>-29.5%</w:t>
            </w:r>
          </w:p>
        </w:tc>
      </w:tr>
      <w:tr>
        <w:trPr>
          <w:trHeight w:val="169"/>
        </w:trPr>
        <w:tc>
          <w:tcPr>
            <w:tcW w:w="416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Refnanced</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9"/>
              </w:rPr>
              <w:t>97,975</w:t>
            </w:r>
          </w:p>
        </w:tc>
        <w:tc>
          <w:tcPr>
            <w:tcW w:w="1320" w:type="dxa"/>
            <w:vAlign w:val="bottom"/>
          </w:tcPr>
          <w:p>
            <w:pPr>
              <w:jc w:val="center"/>
              <w:spacing w:after="0"/>
              <w:rPr>
                <w:sz w:val="20"/>
                <w:szCs w:val="20"/>
                <w:color w:val="auto"/>
              </w:rPr>
            </w:pPr>
            <w:r>
              <w:rPr>
                <w:rFonts w:ascii="Calibri" w:cs="Calibri" w:eastAsia="Calibri" w:hAnsi="Calibri"/>
                <w:sz w:val="13"/>
                <w:szCs w:val="13"/>
                <w:color w:val="auto"/>
              </w:rPr>
              <w:t>107,218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121,942</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13.7%</w:t>
            </w:r>
          </w:p>
        </w:tc>
        <w:tc>
          <w:tcPr>
            <w:tcW w:w="1320" w:type="dxa"/>
            <w:vAlign w:val="bottom"/>
            <w:tcBorders>
              <w:right w:val="single" w:sz="8" w:color="auto"/>
            </w:tcBorders>
          </w:tcPr>
          <w:p>
            <w:pPr>
              <w:jc w:val="center"/>
              <w:ind w:left="175"/>
              <w:spacing w:after="0"/>
              <w:rPr>
                <w:sz w:val="20"/>
                <w:szCs w:val="20"/>
                <w:color w:val="auto"/>
              </w:rPr>
            </w:pPr>
            <w:r>
              <w:rPr>
                <w:rFonts w:ascii="Calibri" w:cs="Calibri" w:eastAsia="Calibri" w:hAnsi="Calibri"/>
                <w:sz w:val="13"/>
                <w:szCs w:val="13"/>
                <w:color w:val="auto"/>
                <w:w w:val="98"/>
              </w:rPr>
              <w:t>24.5%</w:t>
            </w:r>
          </w:p>
        </w:tc>
      </w:tr>
      <w:tr>
        <w:trPr>
          <w:trHeight w:val="169"/>
        </w:trPr>
        <w:tc>
          <w:tcPr>
            <w:tcW w:w="416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Allowance for loan losses</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(984,286)</w:t>
            </w:r>
          </w:p>
        </w:tc>
        <w:tc>
          <w:tcPr>
            <w:tcW w:w="1320" w:type="dxa"/>
            <w:vAlign w:val="bottom"/>
          </w:tcPr>
          <w:p>
            <w:pPr>
              <w:jc w:val="center"/>
              <w:spacing w:after="0"/>
              <w:rPr>
                <w:sz w:val="20"/>
                <w:szCs w:val="20"/>
                <w:color w:val="auto"/>
              </w:rPr>
            </w:pPr>
            <w:r>
              <w:rPr>
                <w:rFonts w:ascii="Calibri" w:cs="Calibri" w:eastAsia="Calibri" w:hAnsi="Calibri"/>
                <w:sz w:val="13"/>
                <w:szCs w:val="13"/>
                <w:color w:val="auto"/>
              </w:rPr>
              <w:t>(864,812)</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(887,976)</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2.7%</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color w:val="auto"/>
              </w:rPr>
              <w:t>-9.8%</w:t>
            </w: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Net loans</w:t>
            </w:r>
          </w:p>
        </w:tc>
        <w:tc>
          <w:tcPr>
            <w:tcW w:w="1260" w:type="dxa"/>
            <w:vAlign w:val="bottom"/>
          </w:tcPr>
          <w:p>
            <w:pPr>
              <w:jc w:val="center"/>
              <w:spacing w:after="0"/>
              <w:rPr>
                <w:sz w:val="20"/>
                <w:szCs w:val="20"/>
                <w:color w:val="auto"/>
              </w:rPr>
            </w:pPr>
            <w:r>
              <w:rPr>
                <w:rFonts w:ascii="Calibri" w:cs="Calibri" w:eastAsia="Calibri" w:hAnsi="Calibri"/>
                <w:sz w:val="13"/>
                <w:szCs w:val="13"/>
                <w:b w:val="1"/>
                <w:bCs w:val="1"/>
                <w:color w:val="auto"/>
              </w:rPr>
              <w:t>11,721,319</w:t>
            </w:r>
          </w:p>
        </w:tc>
        <w:tc>
          <w:tcPr>
            <w:tcW w:w="1320" w:type="dxa"/>
            <w:vAlign w:val="bottom"/>
          </w:tcPr>
          <w:p>
            <w:pPr>
              <w:jc w:val="center"/>
              <w:spacing w:after="0"/>
              <w:rPr>
                <w:sz w:val="20"/>
                <w:szCs w:val="20"/>
                <w:color w:val="auto"/>
              </w:rPr>
            </w:pPr>
            <w:r>
              <w:rPr>
                <w:rFonts w:ascii="Calibri" w:cs="Calibri" w:eastAsia="Calibri" w:hAnsi="Calibri"/>
                <w:sz w:val="13"/>
                <w:szCs w:val="13"/>
                <w:b w:val="1"/>
                <w:bCs w:val="1"/>
                <w:color w:val="auto"/>
              </w:rPr>
              <w:t>11,660,287</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11,897,273</w:t>
            </w:r>
          </w:p>
        </w:tc>
        <w:tc>
          <w:tcPr>
            <w:tcW w:w="700" w:type="dxa"/>
            <w:vAlign w:val="bottom"/>
          </w:tcPr>
          <w:p>
            <w:pPr>
              <w:jc w:val="center"/>
              <w:ind w:left="215"/>
              <w:spacing w:after="0"/>
              <w:rPr>
                <w:sz w:val="20"/>
                <w:szCs w:val="20"/>
                <w:color w:val="auto"/>
              </w:rPr>
            </w:pPr>
            <w:r>
              <w:rPr>
                <w:rFonts w:ascii="Calibri" w:cs="Calibri" w:eastAsia="Calibri" w:hAnsi="Calibri"/>
                <w:sz w:val="13"/>
                <w:szCs w:val="13"/>
                <w:b w:val="1"/>
                <w:bCs w:val="1"/>
                <w:color w:val="auto"/>
                <w:w w:val="99"/>
              </w:rPr>
              <w:t>2.0%</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b w:val="1"/>
                <w:bCs w:val="1"/>
                <w:color w:val="auto"/>
                <w:w w:val="99"/>
              </w:rPr>
              <w:t>1.5%</w:t>
            </w: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color w:val="auto"/>
              </w:rPr>
              <w:t>Property, plant and equipment, net</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132,122</w:t>
            </w:r>
          </w:p>
        </w:tc>
        <w:tc>
          <w:tcPr>
            <w:tcW w:w="1320" w:type="dxa"/>
            <w:vAlign w:val="bottom"/>
          </w:tcPr>
          <w:p>
            <w:pPr>
              <w:jc w:val="center"/>
              <w:spacing w:after="0"/>
              <w:rPr>
                <w:sz w:val="20"/>
                <w:szCs w:val="20"/>
                <w:color w:val="auto"/>
              </w:rPr>
            </w:pPr>
            <w:r>
              <w:rPr>
                <w:rFonts w:ascii="Calibri" w:cs="Calibri" w:eastAsia="Calibri" w:hAnsi="Calibri"/>
                <w:sz w:val="13"/>
                <w:szCs w:val="13"/>
                <w:color w:val="auto"/>
              </w:rPr>
              <w:t>127,401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126,975</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-0.3%</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color w:val="auto"/>
              </w:rPr>
              <w:t>-3.9%</w:t>
            </w: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color w:val="auto"/>
              </w:rPr>
              <w:t>Other assets</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890,770</w:t>
            </w:r>
          </w:p>
        </w:tc>
        <w:tc>
          <w:tcPr>
            <w:tcW w:w="1320" w:type="dxa"/>
            <w:vAlign w:val="bottom"/>
          </w:tcPr>
          <w:p>
            <w:pPr>
              <w:jc w:val="center"/>
              <w:spacing w:after="0"/>
              <w:rPr>
                <w:sz w:val="20"/>
                <w:szCs w:val="20"/>
                <w:color w:val="auto"/>
              </w:rPr>
            </w:pPr>
            <w:r>
              <w:rPr>
                <w:rFonts w:ascii="Calibri" w:cs="Calibri" w:eastAsia="Calibri" w:hAnsi="Calibri"/>
                <w:sz w:val="13"/>
                <w:szCs w:val="13"/>
                <w:color w:val="auto"/>
              </w:rPr>
              <w:t>719,368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715,448</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-0.5%</w:t>
            </w:r>
          </w:p>
        </w:tc>
        <w:tc>
          <w:tcPr>
            <w:tcW w:w="1320" w:type="dxa"/>
            <w:vAlign w:val="bottom"/>
            <w:tcBorders>
              <w:right w:val="single" w:sz="8" w:color="auto"/>
            </w:tcBorders>
          </w:tcPr>
          <w:p>
            <w:pPr>
              <w:jc w:val="center"/>
              <w:ind w:left="175"/>
              <w:spacing w:after="0"/>
              <w:rPr>
                <w:sz w:val="20"/>
                <w:szCs w:val="20"/>
                <w:color w:val="auto"/>
              </w:rPr>
            </w:pPr>
            <w:r>
              <w:rPr>
                <w:rFonts w:ascii="Calibri" w:cs="Calibri" w:eastAsia="Calibri" w:hAnsi="Calibri"/>
                <w:sz w:val="13"/>
                <w:szCs w:val="13"/>
                <w:color w:val="auto"/>
                <w:w w:val="98"/>
              </w:rPr>
              <w:t>-19.7%</w:t>
            </w:r>
          </w:p>
        </w:tc>
      </w:tr>
      <w:tr>
        <w:trPr>
          <w:trHeight w:val="169"/>
        </w:trPr>
        <w:tc>
          <w:tcPr>
            <w:tcW w:w="4160" w:type="dxa"/>
            <w:vAlign w:val="bottom"/>
            <w:tcBorders>
              <w:left w:val="single" w:sz="8" w:color="auto"/>
              <w:right w:val="single" w:sz="8" w:color="auto"/>
            </w:tcBorders>
          </w:tcPr>
          <w:p>
            <w:pPr>
              <w:ind w:left="1760"/>
              <w:spacing w:after="0"/>
              <w:rPr>
                <w:sz w:val="20"/>
                <w:szCs w:val="20"/>
                <w:color w:val="auto"/>
              </w:rPr>
            </w:pPr>
            <w:r>
              <w:rPr>
                <w:rFonts w:ascii="Calibri" w:cs="Calibri" w:eastAsia="Calibri" w:hAnsi="Calibri"/>
                <w:sz w:val="13"/>
                <w:szCs w:val="13"/>
                <w:b w:val="1"/>
                <w:bCs w:val="1"/>
                <w:color w:val="auto"/>
              </w:rPr>
              <w:t>Total assets</w:t>
            </w:r>
          </w:p>
        </w:tc>
        <w:tc>
          <w:tcPr>
            <w:tcW w:w="1260" w:type="dxa"/>
            <w:vAlign w:val="bottom"/>
          </w:tcPr>
          <w:p>
            <w:pPr>
              <w:jc w:val="center"/>
              <w:spacing w:after="0"/>
              <w:rPr>
                <w:sz w:val="20"/>
                <w:szCs w:val="20"/>
                <w:color w:val="auto"/>
              </w:rPr>
            </w:pPr>
            <w:r>
              <w:rPr>
                <w:rFonts w:ascii="Calibri" w:cs="Calibri" w:eastAsia="Calibri" w:hAnsi="Calibri"/>
                <w:sz w:val="13"/>
                <w:szCs w:val="13"/>
                <w:b w:val="1"/>
                <w:bCs w:val="1"/>
                <w:color w:val="auto"/>
              </w:rPr>
              <w:t>16,981,875</w:t>
            </w:r>
          </w:p>
        </w:tc>
        <w:tc>
          <w:tcPr>
            <w:tcW w:w="1320" w:type="dxa"/>
            <w:vAlign w:val="bottom"/>
          </w:tcPr>
          <w:p>
            <w:pPr>
              <w:jc w:val="center"/>
              <w:spacing w:after="0"/>
              <w:rPr>
                <w:sz w:val="20"/>
                <w:szCs w:val="20"/>
                <w:color w:val="auto"/>
              </w:rPr>
            </w:pPr>
            <w:r>
              <w:rPr>
                <w:rFonts w:ascii="Calibri" w:cs="Calibri" w:eastAsia="Calibri" w:hAnsi="Calibri"/>
                <w:sz w:val="13"/>
                <w:szCs w:val="13"/>
                <w:b w:val="1"/>
                <w:bCs w:val="1"/>
                <w:color w:val="auto"/>
              </w:rPr>
              <w:t>17,563,875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17,286,872</w:t>
            </w:r>
          </w:p>
        </w:tc>
        <w:tc>
          <w:tcPr>
            <w:tcW w:w="700" w:type="dxa"/>
            <w:vAlign w:val="bottom"/>
          </w:tcPr>
          <w:p>
            <w:pPr>
              <w:jc w:val="center"/>
              <w:ind w:left="215"/>
              <w:spacing w:after="0"/>
              <w:rPr>
                <w:sz w:val="20"/>
                <w:szCs w:val="20"/>
                <w:color w:val="auto"/>
              </w:rPr>
            </w:pPr>
            <w:r>
              <w:rPr>
                <w:rFonts w:ascii="Calibri" w:cs="Calibri" w:eastAsia="Calibri" w:hAnsi="Calibri"/>
                <w:sz w:val="13"/>
                <w:szCs w:val="13"/>
                <w:b w:val="1"/>
                <w:bCs w:val="1"/>
                <w:color w:val="auto"/>
                <w:w w:val="99"/>
              </w:rPr>
              <w:t>-1.6%</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b w:val="1"/>
                <w:bCs w:val="1"/>
                <w:color w:val="auto"/>
                <w:w w:val="99"/>
              </w:rPr>
              <w:t>1.8%</w:t>
            </w:r>
          </w:p>
        </w:tc>
      </w:tr>
      <w:tr>
        <w:trPr>
          <w:trHeight w:val="338"/>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LIABILITIES AND NET SHAREHOLDERS' EQUITY</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color w:val="auto"/>
              </w:rPr>
              <w:t>Deposits and obligatons</w:t>
            </w:r>
          </w:p>
        </w:tc>
        <w:tc>
          <w:tcPr>
            <w:tcW w:w="1260" w:type="dxa"/>
            <w:vAlign w:val="bottom"/>
          </w:tcPr>
          <w:p>
            <w:pPr>
              <w:jc w:val="center"/>
              <w:spacing w:after="0"/>
              <w:rPr>
                <w:sz w:val="20"/>
                <w:szCs w:val="20"/>
                <w:color w:val="auto"/>
              </w:rPr>
            </w:pPr>
            <w:r>
              <w:rPr>
                <w:rFonts w:ascii="Calibri" w:cs="Calibri" w:eastAsia="Calibri" w:hAnsi="Calibri"/>
                <w:sz w:val="13"/>
                <w:szCs w:val="13"/>
                <w:color w:val="auto"/>
              </w:rPr>
              <w:t>10,531,506</w:t>
            </w:r>
          </w:p>
        </w:tc>
        <w:tc>
          <w:tcPr>
            <w:tcW w:w="1320" w:type="dxa"/>
            <w:vAlign w:val="bottom"/>
          </w:tcPr>
          <w:p>
            <w:pPr>
              <w:jc w:val="center"/>
              <w:spacing w:after="0"/>
              <w:rPr>
                <w:sz w:val="20"/>
                <w:szCs w:val="20"/>
                <w:color w:val="auto"/>
              </w:rPr>
            </w:pPr>
            <w:r>
              <w:rPr>
                <w:rFonts w:ascii="Calibri" w:cs="Calibri" w:eastAsia="Calibri" w:hAnsi="Calibri"/>
                <w:sz w:val="13"/>
                <w:szCs w:val="13"/>
                <w:color w:val="auto"/>
              </w:rPr>
              <w:t>11,330,151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10,836,660</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-4.4%</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color w:val="auto"/>
              </w:rPr>
              <w:t>2.9%</w:t>
            </w: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color w:val="auto"/>
              </w:rPr>
              <w:t>Due to banks and correspondents</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2,107,877</w:t>
            </w:r>
          </w:p>
        </w:tc>
        <w:tc>
          <w:tcPr>
            <w:tcW w:w="1320" w:type="dxa"/>
            <w:vAlign w:val="bottom"/>
          </w:tcPr>
          <w:p>
            <w:pPr>
              <w:jc w:val="center"/>
              <w:spacing w:after="0"/>
              <w:rPr>
                <w:sz w:val="20"/>
                <w:szCs w:val="20"/>
                <w:color w:val="auto"/>
              </w:rPr>
            </w:pPr>
            <w:r>
              <w:rPr>
                <w:rFonts w:ascii="Calibri" w:cs="Calibri" w:eastAsia="Calibri" w:hAnsi="Calibri"/>
                <w:sz w:val="13"/>
                <w:szCs w:val="13"/>
                <w:color w:val="auto"/>
                <w:w w:val="98"/>
              </w:rPr>
              <w:t>1,763,462</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2,309,869</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31.0%</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color w:val="auto"/>
              </w:rPr>
              <w:t>9.6%</w:t>
            </w: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color w:val="auto"/>
              </w:rPr>
              <w:t>Bonds and subordinated debt</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572,626</w:t>
            </w:r>
          </w:p>
        </w:tc>
        <w:tc>
          <w:tcPr>
            <w:tcW w:w="1320" w:type="dxa"/>
            <w:vAlign w:val="bottom"/>
          </w:tcPr>
          <w:p>
            <w:pPr>
              <w:jc w:val="center"/>
              <w:spacing w:after="0"/>
              <w:rPr>
                <w:sz w:val="20"/>
                <w:szCs w:val="20"/>
                <w:color w:val="auto"/>
              </w:rPr>
            </w:pPr>
            <w:r>
              <w:rPr>
                <w:rFonts w:ascii="Calibri" w:cs="Calibri" w:eastAsia="Calibri" w:hAnsi="Calibri"/>
                <w:sz w:val="13"/>
                <w:szCs w:val="13"/>
                <w:color w:val="auto"/>
              </w:rPr>
              <w:t>409,454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398,037</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-2.8%</w:t>
            </w:r>
          </w:p>
        </w:tc>
        <w:tc>
          <w:tcPr>
            <w:tcW w:w="1320" w:type="dxa"/>
            <w:vAlign w:val="bottom"/>
            <w:tcBorders>
              <w:right w:val="single" w:sz="8" w:color="auto"/>
            </w:tcBorders>
          </w:tcPr>
          <w:p>
            <w:pPr>
              <w:jc w:val="center"/>
              <w:ind w:left="175"/>
              <w:spacing w:after="0"/>
              <w:rPr>
                <w:sz w:val="20"/>
                <w:szCs w:val="20"/>
                <w:color w:val="auto"/>
              </w:rPr>
            </w:pPr>
            <w:r>
              <w:rPr>
                <w:rFonts w:ascii="Calibri" w:cs="Calibri" w:eastAsia="Calibri" w:hAnsi="Calibri"/>
                <w:sz w:val="13"/>
                <w:szCs w:val="13"/>
                <w:color w:val="auto"/>
                <w:w w:val="98"/>
              </w:rPr>
              <w:t>-30.5%</w:t>
            </w:r>
          </w:p>
        </w:tc>
      </w:tr>
      <w:tr>
        <w:trPr>
          <w:trHeight w:val="169"/>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color w:val="auto"/>
              </w:rPr>
              <w:t>Other liabilites</w:t>
            </w:r>
          </w:p>
        </w:tc>
        <w:tc>
          <w:tcPr>
            <w:tcW w:w="1260" w:type="dxa"/>
            <w:vAlign w:val="bottom"/>
          </w:tcPr>
          <w:p>
            <w:pPr>
              <w:jc w:val="center"/>
              <w:spacing w:after="0"/>
              <w:rPr>
                <w:sz w:val="20"/>
                <w:szCs w:val="20"/>
                <w:color w:val="auto"/>
              </w:rPr>
            </w:pPr>
            <w:r>
              <w:rPr>
                <w:rFonts w:ascii="Calibri" w:cs="Calibri" w:eastAsia="Calibri" w:hAnsi="Calibri"/>
                <w:sz w:val="13"/>
                <w:szCs w:val="13"/>
                <w:color w:val="auto"/>
                <w:w w:val="98"/>
              </w:rPr>
              <w:t>1,097,220</w:t>
            </w:r>
          </w:p>
        </w:tc>
        <w:tc>
          <w:tcPr>
            <w:tcW w:w="1320" w:type="dxa"/>
            <w:vAlign w:val="bottom"/>
          </w:tcPr>
          <w:p>
            <w:pPr>
              <w:jc w:val="center"/>
              <w:spacing w:after="0"/>
              <w:rPr>
                <w:sz w:val="20"/>
                <w:szCs w:val="20"/>
                <w:color w:val="auto"/>
              </w:rPr>
            </w:pPr>
            <w:r>
              <w:rPr>
                <w:rFonts w:ascii="Calibri" w:cs="Calibri" w:eastAsia="Calibri" w:hAnsi="Calibri"/>
                <w:sz w:val="13"/>
                <w:szCs w:val="13"/>
                <w:color w:val="auto"/>
                <w:w w:val="98"/>
              </w:rPr>
              <w:t>1,577,966</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1,207,564</w:t>
            </w:r>
          </w:p>
        </w:tc>
        <w:tc>
          <w:tcPr>
            <w:tcW w:w="700" w:type="dxa"/>
            <w:vAlign w:val="bottom"/>
          </w:tcPr>
          <w:p>
            <w:pPr>
              <w:jc w:val="center"/>
              <w:ind w:left="215"/>
              <w:spacing w:after="0"/>
              <w:rPr>
                <w:sz w:val="20"/>
                <w:szCs w:val="20"/>
                <w:color w:val="auto"/>
              </w:rPr>
            </w:pPr>
            <w:r>
              <w:rPr>
                <w:rFonts w:ascii="Calibri" w:cs="Calibri" w:eastAsia="Calibri" w:hAnsi="Calibri"/>
                <w:sz w:val="13"/>
                <w:szCs w:val="13"/>
                <w:color w:val="auto"/>
              </w:rPr>
              <w:t>-23.5%</w:t>
            </w:r>
          </w:p>
        </w:tc>
        <w:tc>
          <w:tcPr>
            <w:tcW w:w="1320" w:type="dxa"/>
            <w:vAlign w:val="bottom"/>
            <w:tcBorders>
              <w:right w:val="single" w:sz="8" w:color="auto"/>
            </w:tcBorders>
          </w:tcPr>
          <w:p>
            <w:pPr>
              <w:jc w:val="center"/>
              <w:ind w:left="175"/>
              <w:spacing w:after="0"/>
              <w:rPr>
                <w:sz w:val="20"/>
                <w:szCs w:val="20"/>
                <w:color w:val="auto"/>
              </w:rPr>
            </w:pPr>
            <w:r>
              <w:rPr>
                <w:rFonts w:ascii="Calibri" w:cs="Calibri" w:eastAsia="Calibri" w:hAnsi="Calibri"/>
                <w:sz w:val="13"/>
                <w:szCs w:val="13"/>
                <w:color w:val="auto"/>
                <w:w w:val="98"/>
              </w:rPr>
              <w:t>10.1%</w:t>
            </w:r>
          </w:p>
        </w:tc>
      </w:tr>
      <w:tr>
        <w:trPr>
          <w:trHeight w:val="169"/>
        </w:trPr>
        <w:tc>
          <w:tcPr>
            <w:tcW w:w="4160" w:type="dxa"/>
            <w:vAlign w:val="bottom"/>
            <w:tcBorders>
              <w:left w:val="single" w:sz="8" w:color="auto"/>
              <w:right w:val="single" w:sz="8" w:color="auto"/>
            </w:tcBorders>
          </w:tcPr>
          <w:p>
            <w:pPr>
              <w:ind w:left="1680"/>
              <w:spacing w:after="0"/>
              <w:rPr>
                <w:sz w:val="20"/>
                <w:szCs w:val="20"/>
                <w:color w:val="auto"/>
              </w:rPr>
            </w:pPr>
            <w:r>
              <w:rPr>
                <w:rFonts w:ascii="Calibri" w:cs="Calibri" w:eastAsia="Calibri" w:hAnsi="Calibri"/>
                <w:sz w:val="13"/>
                <w:szCs w:val="13"/>
                <w:b w:val="1"/>
                <w:bCs w:val="1"/>
                <w:color w:val="auto"/>
              </w:rPr>
              <w:t>Total liabilites</w:t>
            </w:r>
          </w:p>
        </w:tc>
        <w:tc>
          <w:tcPr>
            <w:tcW w:w="1260" w:type="dxa"/>
            <w:vAlign w:val="bottom"/>
          </w:tcPr>
          <w:p>
            <w:pPr>
              <w:jc w:val="center"/>
              <w:spacing w:after="0"/>
              <w:rPr>
                <w:sz w:val="20"/>
                <w:szCs w:val="20"/>
                <w:color w:val="auto"/>
              </w:rPr>
            </w:pPr>
            <w:r>
              <w:rPr>
                <w:rFonts w:ascii="Calibri" w:cs="Calibri" w:eastAsia="Calibri" w:hAnsi="Calibri"/>
                <w:sz w:val="13"/>
                <w:szCs w:val="13"/>
                <w:b w:val="1"/>
                <w:bCs w:val="1"/>
                <w:color w:val="auto"/>
              </w:rPr>
              <w:t>14,309,229</w:t>
            </w:r>
          </w:p>
        </w:tc>
        <w:tc>
          <w:tcPr>
            <w:tcW w:w="1320" w:type="dxa"/>
            <w:vAlign w:val="bottom"/>
          </w:tcPr>
          <w:p>
            <w:pPr>
              <w:jc w:val="center"/>
              <w:spacing w:after="0"/>
              <w:rPr>
                <w:sz w:val="20"/>
                <w:szCs w:val="20"/>
                <w:color w:val="auto"/>
              </w:rPr>
            </w:pPr>
            <w:r>
              <w:rPr>
                <w:rFonts w:ascii="Calibri" w:cs="Calibri" w:eastAsia="Calibri" w:hAnsi="Calibri"/>
                <w:sz w:val="13"/>
                <w:szCs w:val="13"/>
                <w:b w:val="1"/>
                <w:bCs w:val="1"/>
                <w:color w:val="auto"/>
              </w:rPr>
              <w:t>15,081,033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14,752,130</w:t>
            </w:r>
          </w:p>
        </w:tc>
        <w:tc>
          <w:tcPr>
            <w:tcW w:w="700" w:type="dxa"/>
            <w:vAlign w:val="bottom"/>
          </w:tcPr>
          <w:p>
            <w:pPr>
              <w:jc w:val="center"/>
              <w:ind w:left="215"/>
              <w:spacing w:after="0"/>
              <w:rPr>
                <w:sz w:val="20"/>
                <w:szCs w:val="20"/>
                <w:color w:val="auto"/>
              </w:rPr>
            </w:pPr>
            <w:r>
              <w:rPr>
                <w:rFonts w:ascii="Calibri" w:cs="Calibri" w:eastAsia="Calibri" w:hAnsi="Calibri"/>
                <w:sz w:val="13"/>
                <w:szCs w:val="13"/>
                <w:b w:val="1"/>
                <w:bCs w:val="1"/>
                <w:color w:val="auto"/>
                <w:w w:val="99"/>
              </w:rPr>
              <w:t>-2.2%</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b w:val="1"/>
                <w:bCs w:val="1"/>
                <w:color w:val="auto"/>
                <w:w w:val="99"/>
              </w:rPr>
              <w:t>3.1%</w:t>
            </w:r>
          </w:p>
        </w:tc>
      </w:tr>
      <w:tr>
        <w:trPr>
          <w:trHeight w:val="338"/>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Net equity</w:t>
            </w:r>
          </w:p>
        </w:tc>
        <w:tc>
          <w:tcPr>
            <w:tcW w:w="1260" w:type="dxa"/>
            <w:vAlign w:val="bottom"/>
          </w:tcPr>
          <w:p>
            <w:pPr>
              <w:jc w:val="center"/>
              <w:spacing w:after="0"/>
              <w:rPr>
                <w:sz w:val="20"/>
                <w:szCs w:val="20"/>
                <w:color w:val="auto"/>
              </w:rPr>
            </w:pPr>
            <w:r>
              <w:rPr>
                <w:rFonts w:ascii="Calibri" w:cs="Calibri" w:eastAsia="Calibri" w:hAnsi="Calibri"/>
                <w:sz w:val="13"/>
                <w:szCs w:val="13"/>
                <w:b w:val="1"/>
                <w:bCs w:val="1"/>
                <w:color w:val="auto"/>
                <w:w w:val="98"/>
              </w:rPr>
              <w:t>2,672,646</w:t>
            </w:r>
          </w:p>
        </w:tc>
        <w:tc>
          <w:tcPr>
            <w:tcW w:w="1320" w:type="dxa"/>
            <w:vAlign w:val="bottom"/>
          </w:tcPr>
          <w:p>
            <w:pPr>
              <w:jc w:val="center"/>
              <w:spacing w:after="0"/>
              <w:rPr>
                <w:sz w:val="20"/>
                <w:szCs w:val="20"/>
                <w:color w:val="auto"/>
              </w:rPr>
            </w:pPr>
            <w:r>
              <w:rPr>
                <w:rFonts w:ascii="Calibri" w:cs="Calibri" w:eastAsia="Calibri" w:hAnsi="Calibri"/>
                <w:sz w:val="13"/>
                <w:szCs w:val="13"/>
                <w:b w:val="1"/>
                <w:bCs w:val="1"/>
                <w:color w:val="auto"/>
                <w:w w:val="98"/>
              </w:rPr>
              <w:t>2,482,842</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8"/>
              </w:rPr>
              <w:t>2,534,742</w:t>
            </w:r>
          </w:p>
        </w:tc>
        <w:tc>
          <w:tcPr>
            <w:tcW w:w="700" w:type="dxa"/>
            <w:vAlign w:val="bottom"/>
          </w:tcPr>
          <w:p>
            <w:pPr>
              <w:jc w:val="center"/>
              <w:ind w:left="215"/>
              <w:spacing w:after="0"/>
              <w:rPr>
                <w:sz w:val="20"/>
                <w:szCs w:val="20"/>
                <w:color w:val="auto"/>
              </w:rPr>
            </w:pPr>
            <w:r>
              <w:rPr>
                <w:rFonts w:ascii="Calibri" w:cs="Calibri" w:eastAsia="Calibri" w:hAnsi="Calibri"/>
                <w:sz w:val="13"/>
                <w:szCs w:val="13"/>
                <w:b w:val="1"/>
                <w:bCs w:val="1"/>
                <w:color w:val="auto"/>
                <w:w w:val="99"/>
              </w:rPr>
              <w:t>2.1%</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b w:val="1"/>
                <w:bCs w:val="1"/>
                <w:color w:val="auto"/>
                <w:w w:val="99"/>
              </w:rPr>
              <w:t>-5.2%</w:t>
            </w:r>
          </w:p>
        </w:tc>
      </w:tr>
      <w:tr>
        <w:trPr>
          <w:trHeight w:val="338"/>
        </w:trPr>
        <w:tc>
          <w:tcPr>
            <w:tcW w:w="41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TOTAL LIABILITIES AND NET SHAREHOLDERS' EQUITY</w:t>
            </w:r>
          </w:p>
        </w:tc>
        <w:tc>
          <w:tcPr>
            <w:tcW w:w="1260" w:type="dxa"/>
            <w:vAlign w:val="bottom"/>
          </w:tcPr>
          <w:p>
            <w:pPr>
              <w:jc w:val="center"/>
              <w:spacing w:after="0"/>
              <w:rPr>
                <w:sz w:val="20"/>
                <w:szCs w:val="20"/>
                <w:color w:val="auto"/>
              </w:rPr>
            </w:pPr>
            <w:r>
              <w:rPr>
                <w:rFonts w:ascii="Calibri" w:cs="Calibri" w:eastAsia="Calibri" w:hAnsi="Calibri"/>
                <w:sz w:val="13"/>
                <w:szCs w:val="13"/>
                <w:b w:val="1"/>
                <w:bCs w:val="1"/>
                <w:color w:val="auto"/>
              </w:rPr>
              <w:t>16,981,875</w:t>
            </w:r>
          </w:p>
        </w:tc>
        <w:tc>
          <w:tcPr>
            <w:tcW w:w="1320" w:type="dxa"/>
            <w:vAlign w:val="bottom"/>
          </w:tcPr>
          <w:p>
            <w:pPr>
              <w:jc w:val="center"/>
              <w:spacing w:after="0"/>
              <w:rPr>
                <w:sz w:val="20"/>
                <w:szCs w:val="20"/>
                <w:color w:val="auto"/>
              </w:rPr>
            </w:pPr>
            <w:r>
              <w:rPr>
                <w:rFonts w:ascii="Calibri" w:cs="Calibri" w:eastAsia="Calibri" w:hAnsi="Calibri"/>
                <w:sz w:val="13"/>
                <w:szCs w:val="13"/>
                <w:b w:val="1"/>
                <w:bCs w:val="1"/>
                <w:color w:val="auto"/>
              </w:rPr>
              <w:t>17,563,875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17,286,872</w:t>
            </w:r>
          </w:p>
        </w:tc>
        <w:tc>
          <w:tcPr>
            <w:tcW w:w="700" w:type="dxa"/>
            <w:vAlign w:val="bottom"/>
          </w:tcPr>
          <w:p>
            <w:pPr>
              <w:jc w:val="center"/>
              <w:ind w:left="215"/>
              <w:spacing w:after="0"/>
              <w:rPr>
                <w:sz w:val="20"/>
                <w:szCs w:val="20"/>
                <w:color w:val="auto"/>
              </w:rPr>
            </w:pPr>
            <w:r>
              <w:rPr>
                <w:rFonts w:ascii="Calibri" w:cs="Calibri" w:eastAsia="Calibri" w:hAnsi="Calibri"/>
                <w:sz w:val="13"/>
                <w:szCs w:val="13"/>
                <w:b w:val="1"/>
                <w:bCs w:val="1"/>
                <w:color w:val="auto"/>
                <w:w w:val="99"/>
              </w:rPr>
              <w:t>-1.6%</w:t>
            </w:r>
          </w:p>
        </w:tc>
        <w:tc>
          <w:tcPr>
            <w:tcW w:w="1320" w:type="dxa"/>
            <w:vAlign w:val="bottom"/>
            <w:tcBorders>
              <w:right w:val="single" w:sz="8" w:color="auto"/>
            </w:tcBorders>
          </w:tcPr>
          <w:p>
            <w:pPr>
              <w:jc w:val="center"/>
              <w:ind w:left="195"/>
              <w:spacing w:after="0"/>
              <w:rPr>
                <w:sz w:val="20"/>
                <w:szCs w:val="20"/>
                <w:color w:val="auto"/>
              </w:rPr>
            </w:pPr>
            <w:r>
              <w:rPr>
                <w:rFonts w:ascii="Calibri" w:cs="Calibri" w:eastAsia="Calibri" w:hAnsi="Calibri"/>
                <w:sz w:val="13"/>
                <w:szCs w:val="13"/>
                <w:b w:val="1"/>
                <w:bCs w:val="1"/>
                <w:color w:val="auto"/>
                <w:w w:val="99"/>
              </w:rPr>
              <w:t>1.8%</w:t>
            </w:r>
          </w:p>
        </w:tc>
      </w:tr>
      <w:tr>
        <w:trPr>
          <w:trHeight w:val="20"/>
        </w:trPr>
        <w:tc>
          <w:tcPr>
            <w:tcW w:w="4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940"/>
        <w:spacing w:after="0"/>
        <w:rPr>
          <w:sz w:val="20"/>
          <w:szCs w:val="20"/>
          <w:color w:val="auto"/>
        </w:rPr>
      </w:pPr>
      <w:r>
        <w:rPr>
          <w:rFonts w:ascii="Calibri" w:cs="Calibri" w:eastAsia="Calibri" w:hAnsi="Calibri"/>
          <w:sz w:val="16"/>
          <w:szCs w:val="16"/>
          <w:b w:val="1"/>
          <w:bCs w:val="1"/>
          <w:color w:val="auto"/>
        </w:rPr>
        <w:t>Statement of Income</w:t>
      </w:r>
    </w:p>
    <w:p>
      <w:pPr>
        <w:ind w:left="4960"/>
        <w:spacing w:after="0"/>
        <w:rPr>
          <w:sz w:val="20"/>
          <w:szCs w:val="20"/>
          <w:color w:val="auto"/>
        </w:rPr>
      </w:pPr>
      <w:r>
        <w:rPr>
          <w:rFonts w:ascii="Calibri" w:cs="Calibri" w:eastAsia="Calibri" w:hAnsi="Calibri"/>
          <w:sz w:val="16"/>
          <w:szCs w:val="16"/>
          <w:b w:val="1"/>
          <w:bCs w:val="1"/>
          <w:color w:val="auto"/>
        </w:rPr>
        <w:t>(S/ Thousands, IFRS)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414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980" w:type="dxa"/>
            <w:vAlign w:val="bottom"/>
            <w:tcBorders>
              <w:top w:val="single" w:sz="8" w:color="auto"/>
            </w:tcBorders>
            <w:shd w:val="clear" w:color="auto" w:fill="33CCCC"/>
          </w:tcPr>
          <w:p>
            <w:pPr>
              <w:spacing w:after="0"/>
              <w:rPr>
                <w:sz w:val="12"/>
                <w:szCs w:val="12"/>
                <w:color w:val="auto"/>
              </w:rPr>
            </w:pPr>
          </w:p>
        </w:tc>
        <w:tc>
          <w:tcPr>
            <w:tcW w:w="10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Quarter</w:t>
            </w:r>
          </w:p>
        </w:tc>
        <w:tc>
          <w:tcPr>
            <w:tcW w:w="1080" w:type="dxa"/>
            <w:vAlign w:val="bottom"/>
            <w:tcBorders>
              <w:top w:val="single" w:sz="8" w:color="auto"/>
              <w:right w:val="single" w:sz="8" w:color="auto"/>
            </w:tcBorders>
            <w:shd w:val="clear" w:color="auto" w:fill="33CCCC"/>
          </w:tcPr>
          <w:p>
            <w:pPr>
              <w:spacing w:after="0"/>
              <w:rPr>
                <w:sz w:val="12"/>
                <w:szCs w:val="12"/>
                <w:color w:val="auto"/>
              </w:rPr>
            </w:pPr>
          </w:p>
        </w:tc>
        <w:tc>
          <w:tcPr>
            <w:tcW w:w="1560" w:type="dxa"/>
            <w:vAlign w:val="bottom"/>
            <w:tcBorders>
              <w:top w:val="single" w:sz="8" w:color="auto"/>
              <w:right w:val="single" w:sz="8" w:color="auto"/>
            </w:tcBorders>
            <w:gridSpan w:val="2"/>
            <w:shd w:val="clear" w:color="auto" w:fill="33CCCC"/>
          </w:tcPr>
          <w:p>
            <w:pPr>
              <w:ind w:left="560"/>
              <w:spacing w:after="0"/>
              <w:rPr>
                <w:sz w:val="20"/>
                <w:szCs w:val="20"/>
                <w:color w:val="auto"/>
              </w:rPr>
            </w:pPr>
            <w:r>
              <w:rPr>
                <w:rFonts w:ascii="Calibri" w:cs="Calibri" w:eastAsia="Calibri" w:hAnsi="Calibri"/>
                <w:sz w:val="11"/>
                <w:szCs w:val="11"/>
                <w:b w:val="1"/>
                <w:bCs w:val="1"/>
                <w:color w:val="FFFFFF"/>
              </w:rPr>
              <w:t>% change</w:t>
            </w:r>
          </w:p>
        </w:tc>
        <w:tc>
          <w:tcPr>
            <w:tcW w:w="920" w:type="dxa"/>
            <w:vAlign w:val="bottom"/>
            <w:tcBorders>
              <w:top w:val="single" w:sz="8" w:color="auto"/>
            </w:tcBorders>
            <w:shd w:val="clear" w:color="auto" w:fill="33CCCC"/>
          </w:tcPr>
          <w:p>
            <w:pPr>
              <w:jc w:val="right"/>
              <w:spacing w:after="0"/>
              <w:rPr>
                <w:sz w:val="20"/>
                <w:szCs w:val="20"/>
                <w:color w:val="auto"/>
              </w:rPr>
            </w:pPr>
            <w:r>
              <w:rPr>
                <w:rFonts w:ascii="Calibri" w:cs="Calibri" w:eastAsia="Calibri" w:hAnsi="Calibri"/>
                <w:sz w:val="11"/>
                <w:szCs w:val="11"/>
                <w:b w:val="1"/>
                <w:bCs w:val="1"/>
                <w:color w:val="FFFFFF"/>
              </w:rPr>
              <w:t>Up to</w:t>
            </w:r>
          </w:p>
        </w:tc>
        <w:tc>
          <w:tcPr>
            <w:tcW w:w="640" w:type="dxa"/>
            <w:vAlign w:val="bottom"/>
            <w:tcBorders>
              <w:top w:val="single" w:sz="8" w:color="auto"/>
              <w:right w:val="single" w:sz="8" w:color="auto"/>
            </w:tcBorders>
            <w:shd w:val="clear" w:color="auto" w:fill="33CCCC"/>
          </w:tcPr>
          <w:p>
            <w:pPr>
              <w:spacing w:after="0"/>
              <w:rPr>
                <w:sz w:val="12"/>
                <w:szCs w:val="12"/>
                <w:color w:val="auto"/>
              </w:rPr>
            </w:pPr>
          </w:p>
        </w:tc>
        <w:tc>
          <w:tcPr>
            <w:tcW w:w="9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 change</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8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w w:val="98"/>
              </w:rPr>
              <w:t>2Q24</w:t>
            </w:r>
          </w:p>
        </w:tc>
        <w:tc>
          <w:tcPr>
            <w:tcW w:w="104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1Q25</w:t>
            </w:r>
          </w:p>
        </w:tc>
        <w:tc>
          <w:tcPr>
            <w:tcW w:w="108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2Q25</w:t>
            </w:r>
          </w:p>
        </w:tc>
        <w:tc>
          <w:tcPr>
            <w:tcW w:w="76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w w:val="94"/>
              </w:rPr>
              <w:t>QoQ</w:t>
            </w:r>
          </w:p>
        </w:tc>
        <w:tc>
          <w:tcPr>
            <w:tcW w:w="80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w w:val="91"/>
              </w:rPr>
              <w:t>YoY</w:t>
            </w:r>
          </w:p>
        </w:tc>
        <w:tc>
          <w:tcPr>
            <w:tcW w:w="920" w:type="dxa"/>
            <w:vAlign w:val="bottom"/>
            <w:tcBorders>
              <w:bottom w:val="single" w:sz="8" w:color="auto"/>
            </w:tcBorders>
            <w:shd w:val="clear" w:color="auto" w:fill="33CCCC"/>
          </w:tcPr>
          <w:p>
            <w:pPr>
              <w:jc w:val="right"/>
              <w:ind w:right="324"/>
              <w:spacing w:after="0" w:line="130" w:lineRule="exact"/>
              <w:rPr>
                <w:sz w:val="20"/>
                <w:szCs w:val="20"/>
                <w:color w:val="auto"/>
              </w:rPr>
            </w:pPr>
            <w:r>
              <w:rPr>
                <w:rFonts w:ascii="Calibri" w:cs="Calibri" w:eastAsia="Calibri" w:hAnsi="Calibri"/>
                <w:sz w:val="11"/>
                <w:szCs w:val="11"/>
                <w:b w:val="1"/>
                <w:bCs w:val="1"/>
                <w:color w:val="FFFFFF"/>
              </w:rPr>
              <w:t>Jun 24</w:t>
            </w:r>
          </w:p>
        </w:tc>
        <w:tc>
          <w:tcPr>
            <w:tcW w:w="640" w:type="dxa"/>
            <w:vAlign w:val="bottom"/>
            <w:tcBorders>
              <w:bottom w:val="single" w:sz="8" w:color="auto"/>
              <w:right w:val="single" w:sz="8" w:color="auto"/>
            </w:tcBorders>
            <w:shd w:val="clear" w:color="auto" w:fill="33CCCC"/>
          </w:tcPr>
          <w:p>
            <w:pPr>
              <w:jc w:val="right"/>
              <w:ind w:right="204"/>
              <w:spacing w:after="0" w:line="130" w:lineRule="exact"/>
              <w:rPr>
                <w:sz w:val="20"/>
                <w:szCs w:val="20"/>
                <w:color w:val="auto"/>
              </w:rPr>
            </w:pPr>
            <w:r>
              <w:rPr>
                <w:rFonts w:ascii="Calibri" w:cs="Calibri" w:eastAsia="Calibri" w:hAnsi="Calibri"/>
                <w:sz w:val="11"/>
                <w:szCs w:val="11"/>
                <w:b w:val="1"/>
                <w:bCs w:val="1"/>
                <w:color w:val="FFFFFF"/>
              </w:rPr>
              <w:t>Jun 25</w:t>
            </w:r>
          </w:p>
        </w:tc>
        <w:tc>
          <w:tcPr>
            <w:tcW w:w="90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Jun 25 / Jun 24</w:t>
            </w: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tcPr>
          <w:p>
            <w:pPr>
              <w:ind w:left="20"/>
              <w:spacing w:after="0" w:line="108" w:lineRule="exact"/>
              <w:rPr>
                <w:sz w:val="20"/>
                <w:szCs w:val="20"/>
                <w:color w:val="auto"/>
              </w:rPr>
            </w:pPr>
            <w:r>
              <w:rPr>
                <w:rFonts w:ascii="Calibri" w:cs="Calibri" w:eastAsia="Calibri" w:hAnsi="Calibri"/>
                <w:sz w:val="11"/>
                <w:szCs w:val="11"/>
                <w:color w:val="auto"/>
              </w:rPr>
              <w:t>Net interest income</w:t>
            </w:r>
          </w:p>
        </w:tc>
        <w:tc>
          <w:tcPr>
            <w:tcW w:w="980" w:type="dxa"/>
            <w:vAlign w:val="bottom"/>
          </w:tcPr>
          <w:p>
            <w:pPr>
              <w:jc w:val="center"/>
              <w:spacing w:after="0" w:line="108" w:lineRule="exact"/>
              <w:rPr>
                <w:sz w:val="20"/>
                <w:szCs w:val="20"/>
                <w:color w:val="auto"/>
              </w:rPr>
            </w:pPr>
            <w:r>
              <w:rPr>
                <w:rFonts w:ascii="Calibri" w:cs="Calibri" w:eastAsia="Calibri" w:hAnsi="Calibri"/>
                <w:sz w:val="11"/>
                <w:szCs w:val="11"/>
                <w:color w:val="auto"/>
                <w:w w:val="99"/>
              </w:rPr>
              <w:t>556,858</w:t>
            </w:r>
          </w:p>
        </w:tc>
        <w:tc>
          <w:tcPr>
            <w:tcW w:w="1040" w:type="dxa"/>
            <w:vAlign w:val="bottom"/>
          </w:tcPr>
          <w:p>
            <w:pPr>
              <w:jc w:val="center"/>
              <w:spacing w:after="0" w:line="108" w:lineRule="exact"/>
              <w:rPr>
                <w:sz w:val="20"/>
                <w:szCs w:val="20"/>
                <w:color w:val="auto"/>
              </w:rPr>
            </w:pPr>
            <w:r>
              <w:rPr>
                <w:rFonts w:ascii="Calibri" w:cs="Calibri" w:eastAsia="Calibri" w:hAnsi="Calibri"/>
                <w:sz w:val="11"/>
                <w:szCs w:val="11"/>
                <w:color w:val="auto"/>
              </w:rPr>
              <w:t>579,900</w:t>
            </w:r>
          </w:p>
        </w:tc>
        <w:tc>
          <w:tcPr>
            <w:tcW w:w="108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604,031</w:t>
            </w:r>
          </w:p>
        </w:tc>
        <w:tc>
          <w:tcPr>
            <w:tcW w:w="760" w:type="dxa"/>
            <w:vAlign w:val="bottom"/>
          </w:tcPr>
          <w:p>
            <w:pPr>
              <w:jc w:val="center"/>
              <w:spacing w:after="0" w:line="108" w:lineRule="exact"/>
              <w:rPr>
                <w:sz w:val="20"/>
                <w:szCs w:val="20"/>
                <w:color w:val="auto"/>
              </w:rPr>
            </w:pPr>
            <w:r>
              <w:rPr>
                <w:rFonts w:ascii="Calibri" w:cs="Calibri" w:eastAsia="Calibri" w:hAnsi="Calibri"/>
                <w:sz w:val="11"/>
                <w:szCs w:val="11"/>
                <w:color w:val="auto"/>
              </w:rPr>
              <w:t>4.2%</w:t>
            </w:r>
          </w:p>
        </w:tc>
        <w:tc>
          <w:tcPr>
            <w:tcW w:w="80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8.5%</w:t>
            </w:r>
          </w:p>
        </w:tc>
        <w:tc>
          <w:tcPr>
            <w:tcW w:w="920" w:type="dxa"/>
            <w:vAlign w:val="bottom"/>
          </w:tcPr>
          <w:p>
            <w:pPr>
              <w:jc w:val="center"/>
              <w:ind w:right="104"/>
              <w:spacing w:after="0" w:line="108" w:lineRule="exact"/>
              <w:rPr>
                <w:sz w:val="20"/>
                <w:szCs w:val="20"/>
                <w:color w:val="auto"/>
              </w:rPr>
            </w:pPr>
            <w:r>
              <w:rPr>
                <w:rFonts w:ascii="Calibri" w:cs="Calibri" w:eastAsia="Calibri" w:hAnsi="Calibri"/>
                <w:sz w:val="11"/>
                <w:szCs w:val="11"/>
                <w:color w:val="auto"/>
                <w:w w:val="98"/>
              </w:rPr>
              <w:t>1,103,129</w:t>
            </w:r>
          </w:p>
        </w:tc>
        <w:tc>
          <w:tcPr>
            <w:tcW w:w="640" w:type="dxa"/>
            <w:vAlign w:val="bottom"/>
            <w:tcBorders>
              <w:right w:val="single" w:sz="8" w:color="auto"/>
            </w:tcBorders>
          </w:tcPr>
          <w:p>
            <w:pPr>
              <w:jc w:val="center"/>
              <w:ind w:right="124"/>
              <w:spacing w:after="0" w:line="108" w:lineRule="exact"/>
              <w:rPr>
                <w:sz w:val="20"/>
                <w:szCs w:val="20"/>
                <w:color w:val="auto"/>
              </w:rPr>
            </w:pPr>
            <w:r>
              <w:rPr>
                <w:rFonts w:ascii="Calibri" w:cs="Calibri" w:eastAsia="Calibri" w:hAnsi="Calibri"/>
                <w:sz w:val="11"/>
                <w:szCs w:val="11"/>
                <w:color w:val="auto"/>
              </w:rPr>
              <w:t>1,183,931</w:t>
            </w:r>
          </w:p>
        </w:tc>
        <w:tc>
          <w:tcPr>
            <w:tcW w:w="90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7.3%</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Provision for loan losses, net of recoveries</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color w:val="auto"/>
              </w:rPr>
              <w:t>(242,774)</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color w:val="auto"/>
              </w:rPr>
              <w:t>(158,212)</w:t>
            </w:r>
          </w:p>
        </w:tc>
        <w:tc>
          <w:tcPr>
            <w:tcW w:w="10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(169,741)</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7.3%</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-30.1%</w:t>
            </w:r>
          </w:p>
        </w:tc>
        <w:tc>
          <w:tcPr>
            <w:tcW w:w="920" w:type="dxa"/>
            <w:vAlign w:val="bottom"/>
          </w:tcPr>
          <w:p>
            <w:pPr>
              <w:jc w:val="center"/>
              <w:ind w:right="104"/>
              <w:spacing w:after="0" w:line="130" w:lineRule="exact"/>
              <w:rPr>
                <w:sz w:val="20"/>
                <w:szCs w:val="20"/>
                <w:color w:val="auto"/>
              </w:rPr>
            </w:pPr>
            <w:r>
              <w:rPr>
                <w:rFonts w:ascii="Calibri" w:cs="Calibri" w:eastAsia="Calibri" w:hAnsi="Calibri"/>
                <w:sz w:val="11"/>
                <w:szCs w:val="11"/>
                <w:color w:val="auto"/>
              </w:rPr>
              <w:t>(393,499)</w:t>
            </w:r>
          </w:p>
        </w:tc>
        <w:tc>
          <w:tcPr>
            <w:tcW w:w="640" w:type="dxa"/>
            <w:vAlign w:val="bottom"/>
            <w:tcBorders>
              <w:right w:val="single" w:sz="8" w:color="auto"/>
            </w:tcBorders>
          </w:tcPr>
          <w:p>
            <w:pPr>
              <w:jc w:val="center"/>
              <w:ind w:right="104"/>
              <w:spacing w:after="0" w:line="130" w:lineRule="exact"/>
              <w:rPr>
                <w:sz w:val="20"/>
                <w:szCs w:val="20"/>
                <w:color w:val="auto"/>
              </w:rPr>
            </w:pPr>
            <w:r>
              <w:rPr>
                <w:rFonts w:ascii="Calibri" w:cs="Calibri" w:eastAsia="Calibri" w:hAnsi="Calibri"/>
                <w:sz w:val="11"/>
                <w:szCs w:val="11"/>
                <w:color w:val="auto"/>
              </w:rPr>
              <w:t>(327,953)</w:t>
            </w:r>
          </w:p>
        </w:tc>
        <w:tc>
          <w:tcPr>
            <w:tcW w:w="9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-16.7%</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Net interest income afer provisions</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9"/>
              </w:rPr>
              <w:t>314,084</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421,688</w:t>
            </w:r>
          </w:p>
        </w:tc>
        <w:tc>
          <w:tcPr>
            <w:tcW w:w="10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434,290</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3.0%</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38.3%</w:t>
            </w:r>
          </w:p>
        </w:tc>
        <w:tc>
          <w:tcPr>
            <w:tcW w:w="920" w:type="dxa"/>
            <w:vAlign w:val="bottom"/>
          </w:tcPr>
          <w:p>
            <w:pPr>
              <w:jc w:val="center"/>
              <w:ind w:right="104"/>
              <w:spacing w:after="0" w:line="130" w:lineRule="exact"/>
              <w:rPr>
                <w:sz w:val="20"/>
                <w:szCs w:val="20"/>
                <w:color w:val="auto"/>
              </w:rPr>
            </w:pPr>
            <w:r>
              <w:rPr>
                <w:rFonts w:ascii="Calibri" w:cs="Calibri" w:eastAsia="Calibri" w:hAnsi="Calibri"/>
                <w:sz w:val="11"/>
                <w:szCs w:val="11"/>
                <w:b w:val="1"/>
                <w:bCs w:val="1"/>
                <w:color w:val="auto"/>
                <w:w w:val="99"/>
              </w:rPr>
              <w:t>709,630</w:t>
            </w:r>
          </w:p>
        </w:tc>
        <w:tc>
          <w:tcPr>
            <w:tcW w:w="640" w:type="dxa"/>
            <w:vAlign w:val="bottom"/>
            <w:tcBorders>
              <w:right w:val="single" w:sz="8" w:color="auto"/>
            </w:tcBorders>
          </w:tcPr>
          <w:p>
            <w:pPr>
              <w:jc w:val="center"/>
              <w:ind w:right="104"/>
              <w:spacing w:after="0" w:line="130" w:lineRule="exact"/>
              <w:rPr>
                <w:sz w:val="20"/>
                <w:szCs w:val="20"/>
                <w:color w:val="auto"/>
              </w:rPr>
            </w:pPr>
            <w:r>
              <w:rPr>
                <w:rFonts w:ascii="Calibri" w:cs="Calibri" w:eastAsia="Calibri" w:hAnsi="Calibri"/>
                <w:sz w:val="11"/>
                <w:szCs w:val="11"/>
                <w:b w:val="1"/>
                <w:bCs w:val="1"/>
                <w:color w:val="auto"/>
                <w:w w:val="99"/>
              </w:rPr>
              <w:t>855,978</w:t>
            </w:r>
          </w:p>
        </w:tc>
        <w:tc>
          <w:tcPr>
            <w:tcW w:w="9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20.6%</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Non-fnancial income</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color w:val="auto"/>
              </w:rPr>
              <w:t>26,399</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color w:val="auto"/>
                <w:w w:val="97"/>
              </w:rPr>
              <w:t>32,815</w:t>
            </w:r>
          </w:p>
        </w:tc>
        <w:tc>
          <w:tcPr>
            <w:tcW w:w="10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7"/>
              </w:rPr>
              <w:t>37,492</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14.3%</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42.0%</w:t>
            </w:r>
          </w:p>
        </w:tc>
        <w:tc>
          <w:tcPr>
            <w:tcW w:w="920" w:type="dxa"/>
            <w:vAlign w:val="bottom"/>
          </w:tcPr>
          <w:p>
            <w:pPr>
              <w:jc w:val="center"/>
              <w:ind w:right="104"/>
              <w:spacing w:after="0" w:line="130" w:lineRule="exact"/>
              <w:rPr>
                <w:sz w:val="20"/>
                <w:szCs w:val="20"/>
                <w:color w:val="auto"/>
              </w:rPr>
            </w:pPr>
            <w:r>
              <w:rPr>
                <w:rFonts w:ascii="Calibri" w:cs="Calibri" w:eastAsia="Calibri" w:hAnsi="Calibri"/>
                <w:sz w:val="11"/>
                <w:szCs w:val="11"/>
                <w:color w:val="auto"/>
              </w:rPr>
              <w:t>67,086</w:t>
            </w:r>
          </w:p>
        </w:tc>
        <w:tc>
          <w:tcPr>
            <w:tcW w:w="640" w:type="dxa"/>
            <w:vAlign w:val="bottom"/>
            <w:tcBorders>
              <w:right w:val="single" w:sz="8" w:color="auto"/>
            </w:tcBorders>
          </w:tcPr>
          <w:p>
            <w:pPr>
              <w:jc w:val="center"/>
              <w:ind w:right="104"/>
              <w:spacing w:after="0" w:line="130" w:lineRule="exact"/>
              <w:rPr>
                <w:sz w:val="20"/>
                <w:szCs w:val="20"/>
                <w:color w:val="auto"/>
              </w:rPr>
            </w:pPr>
            <w:r>
              <w:rPr>
                <w:rFonts w:ascii="Calibri" w:cs="Calibri" w:eastAsia="Calibri" w:hAnsi="Calibri"/>
                <w:sz w:val="11"/>
                <w:szCs w:val="11"/>
                <w:color w:val="auto"/>
              </w:rPr>
              <w:t>70,307</w:t>
            </w:r>
          </w:p>
        </w:tc>
        <w:tc>
          <w:tcPr>
            <w:tcW w:w="9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4.8%</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Total expenses</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color w:val="auto"/>
              </w:rPr>
              <w:t>(301,850)</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color w:val="auto"/>
              </w:rPr>
              <w:t>(327,944)</w:t>
            </w:r>
          </w:p>
        </w:tc>
        <w:tc>
          <w:tcPr>
            <w:tcW w:w="10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(335,792)</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2.4%</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11.2%</w:t>
            </w:r>
          </w:p>
        </w:tc>
        <w:tc>
          <w:tcPr>
            <w:tcW w:w="920" w:type="dxa"/>
            <w:vAlign w:val="bottom"/>
          </w:tcPr>
          <w:p>
            <w:pPr>
              <w:jc w:val="center"/>
              <w:ind w:right="104"/>
              <w:spacing w:after="0" w:line="130" w:lineRule="exact"/>
              <w:rPr>
                <w:sz w:val="20"/>
                <w:szCs w:val="20"/>
                <w:color w:val="auto"/>
              </w:rPr>
            </w:pPr>
            <w:r>
              <w:rPr>
                <w:rFonts w:ascii="Calibri" w:cs="Calibri" w:eastAsia="Calibri" w:hAnsi="Calibri"/>
                <w:sz w:val="11"/>
                <w:szCs w:val="11"/>
                <w:color w:val="auto"/>
              </w:rPr>
              <w:t>(613,578)</w:t>
            </w:r>
          </w:p>
        </w:tc>
        <w:tc>
          <w:tcPr>
            <w:tcW w:w="640" w:type="dxa"/>
            <w:vAlign w:val="bottom"/>
            <w:tcBorders>
              <w:right w:val="single" w:sz="8" w:color="auto"/>
            </w:tcBorders>
          </w:tcPr>
          <w:p>
            <w:pPr>
              <w:jc w:val="center"/>
              <w:ind w:right="104"/>
              <w:spacing w:after="0" w:line="130" w:lineRule="exact"/>
              <w:rPr>
                <w:sz w:val="20"/>
                <w:szCs w:val="20"/>
                <w:color w:val="auto"/>
              </w:rPr>
            </w:pPr>
            <w:r>
              <w:rPr>
                <w:rFonts w:ascii="Calibri" w:cs="Calibri" w:eastAsia="Calibri" w:hAnsi="Calibri"/>
                <w:sz w:val="11"/>
                <w:szCs w:val="11"/>
                <w:color w:val="auto"/>
              </w:rPr>
              <w:t>(663,736)</w:t>
            </w:r>
          </w:p>
        </w:tc>
        <w:tc>
          <w:tcPr>
            <w:tcW w:w="9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8.2%</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Translaton result</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color w:val="auto"/>
              </w:rPr>
              <w:t>(85)</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color w:val="auto"/>
              </w:rPr>
              <w:t>(749)</w:t>
            </w:r>
          </w:p>
        </w:tc>
        <w:tc>
          <w:tcPr>
            <w:tcW w:w="10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(79)</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-89.5%</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-7.1%</w:t>
            </w:r>
          </w:p>
        </w:tc>
        <w:tc>
          <w:tcPr>
            <w:tcW w:w="920" w:type="dxa"/>
            <w:vAlign w:val="bottom"/>
          </w:tcPr>
          <w:p>
            <w:pPr>
              <w:jc w:val="center"/>
              <w:ind w:right="104"/>
              <w:spacing w:after="0" w:line="130" w:lineRule="exact"/>
              <w:rPr>
                <w:sz w:val="20"/>
                <w:szCs w:val="20"/>
                <w:color w:val="auto"/>
              </w:rPr>
            </w:pPr>
            <w:r>
              <w:rPr>
                <w:rFonts w:ascii="Calibri" w:cs="Calibri" w:eastAsia="Calibri" w:hAnsi="Calibri"/>
                <w:sz w:val="11"/>
                <w:szCs w:val="11"/>
                <w:color w:val="auto"/>
              </w:rPr>
              <w:t>(1,057)</w:t>
            </w:r>
          </w:p>
        </w:tc>
        <w:tc>
          <w:tcPr>
            <w:tcW w:w="640" w:type="dxa"/>
            <w:vAlign w:val="bottom"/>
            <w:tcBorders>
              <w:right w:val="single" w:sz="8" w:color="auto"/>
            </w:tcBorders>
          </w:tcPr>
          <w:p>
            <w:pPr>
              <w:jc w:val="center"/>
              <w:ind w:right="104"/>
              <w:spacing w:after="0" w:line="130" w:lineRule="exact"/>
              <w:rPr>
                <w:sz w:val="20"/>
                <w:szCs w:val="20"/>
                <w:color w:val="auto"/>
              </w:rPr>
            </w:pPr>
            <w:r>
              <w:rPr>
                <w:rFonts w:ascii="Calibri" w:cs="Calibri" w:eastAsia="Calibri" w:hAnsi="Calibri"/>
                <w:sz w:val="11"/>
                <w:szCs w:val="11"/>
                <w:color w:val="auto"/>
              </w:rPr>
              <w:t>(828)</w:t>
            </w:r>
          </w:p>
        </w:tc>
        <w:tc>
          <w:tcPr>
            <w:tcW w:w="9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-21.7%</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Income taxes</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color w:val="auto"/>
              </w:rPr>
              <w:t>(2,834)</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color w:val="auto"/>
              </w:rPr>
              <w:t>(31,423)</w:t>
            </w:r>
          </w:p>
        </w:tc>
        <w:tc>
          <w:tcPr>
            <w:tcW w:w="108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(33,369)</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6.2%</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1077.5%</w:t>
            </w:r>
          </w:p>
        </w:tc>
        <w:tc>
          <w:tcPr>
            <w:tcW w:w="920" w:type="dxa"/>
            <w:vAlign w:val="bottom"/>
          </w:tcPr>
          <w:p>
            <w:pPr>
              <w:jc w:val="center"/>
              <w:ind w:right="84"/>
              <w:spacing w:after="0" w:line="130" w:lineRule="exact"/>
              <w:rPr>
                <w:sz w:val="20"/>
                <w:szCs w:val="20"/>
                <w:color w:val="auto"/>
              </w:rPr>
            </w:pPr>
            <w:r>
              <w:rPr>
                <w:rFonts w:ascii="Calibri" w:cs="Calibri" w:eastAsia="Calibri" w:hAnsi="Calibri"/>
                <w:sz w:val="11"/>
                <w:szCs w:val="11"/>
                <w:color w:val="auto"/>
              </w:rPr>
              <w:t>(33,794)</w:t>
            </w:r>
          </w:p>
        </w:tc>
        <w:tc>
          <w:tcPr>
            <w:tcW w:w="640" w:type="dxa"/>
            <w:vAlign w:val="bottom"/>
            <w:tcBorders>
              <w:right w:val="single" w:sz="8" w:color="auto"/>
            </w:tcBorders>
          </w:tcPr>
          <w:p>
            <w:pPr>
              <w:jc w:val="center"/>
              <w:ind w:right="124"/>
              <w:spacing w:after="0" w:line="130" w:lineRule="exact"/>
              <w:rPr>
                <w:sz w:val="20"/>
                <w:szCs w:val="20"/>
                <w:color w:val="auto"/>
              </w:rPr>
            </w:pPr>
            <w:r>
              <w:rPr>
                <w:rFonts w:ascii="Calibri" w:cs="Calibri" w:eastAsia="Calibri" w:hAnsi="Calibri"/>
                <w:sz w:val="11"/>
                <w:szCs w:val="11"/>
                <w:color w:val="auto"/>
              </w:rPr>
              <w:t>(64,792)</w:t>
            </w:r>
          </w:p>
        </w:tc>
        <w:tc>
          <w:tcPr>
            <w:tcW w:w="9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91.7%</w:t>
            </w:r>
          </w:p>
        </w:tc>
        <w:tc>
          <w:tcPr>
            <w:tcW w:w="0" w:type="dxa"/>
            <w:vAlign w:val="bottom"/>
          </w:tcPr>
          <w:p>
            <w:pPr>
              <w:spacing w:after="0"/>
              <w:rPr>
                <w:sz w:val="1"/>
                <w:szCs w:val="1"/>
                <w:color w:val="auto"/>
              </w:rPr>
            </w:pPr>
          </w:p>
        </w:tc>
      </w:tr>
      <w:tr>
        <w:trPr>
          <w:trHeight w:val="140"/>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income</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35,714</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7"/>
              </w:rPr>
              <w:t>94,387</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102,542</w:t>
            </w:r>
          </w:p>
        </w:tc>
        <w:tc>
          <w:tcPr>
            <w:tcW w:w="76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8.6%</w:t>
            </w:r>
          </w:p>
        </w:tc>
        <w:tc>
          <w:tcPr>
            <w:tcW w:w="8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187.1%</w:t>
            </w:r>
          </w:p>
        </w:tc>
        <w:tc>
          <w:tcPr>
            <w:tcW w:w="920" w:type="dxa"/>
            <w:vAlign w:val="bottom"/>
            <w:tcBorders>
              <w:bottom w:val="single" w:sz="8" w:color="auto"/>
            </w:tcBorders>
          </w:tcPr>
          <w:p>
            <w:pPr>
              <w:jc w:val="center"/>
              <w:ind w:right="104"/>
              <w:spacing w:after="0"/>
              <w:rPr>
                <w:sz w:val="20"/>
                <w:szCs w:val="20"/>
                <w:color w:val="auto"/>
              </w:rPr>
            </w:pPr>
            <w:r>
              <w:rPr>
                <w:rFonts w:ascii="Calibri" w:cs="Calibri" w:eastAsia="Calibri" w:hAnsi="Calibri"/>
                <w:sz w:val="11"/>
                <w:szCs w:val="11"/>
                <w:b w:val="1"/>
                <w:bCs w:val="1"/>
                <w:color w:val="auto"/>
                <w:w w:val="99"/>
              </w:rPr>
              <w:t>128,287</w:t>
            </w:r>
          </w:p>
        </w:tc>
        <w:tc>
          <w:tcPr>
            <w:tcW w:w="640" w:type="dxa"/>
            <w:vAlign w:val="bottom"/>
            <w:tcBorders>
              <w:bottom w:val="single" w:sz="8" w:color="auto"/>
              <w:right w:val="single" w:sz="8" w:color="auto"/>
            </w:tcBorders>
          </w:tcPr>
          <w:p>
            <w:pPr>
              <w:jc w:val="center"/>
              <w:ind w:right="104"/>
              <w:spacing w:after="0"/>
              <w:rPr>
                <w:sz w:val="20"/>
                <w:szCs w:val="20"/>
                <w:color w:val="auto"/>
              </w:rPr>
            </w:pPr>
            <w:r>
              <w:rPr>
                <w:rFonts w:ascii="Calibri" w:cs="Calibri" w:eastAsia="Calibri" w:hAnsi="Calibri"/>
                <w:sz w:val="11"/>
                <w:szCs w:val="11"/>
                <w:b w:val="1"/>
                <w:bCs w:val="1"/>
                <w:color w:val="auto"/>
                <w:w w:val="99"/>
              </w:rPr>
              <w:t>196,929</w:t>
            </w:r>
          </w:p>
        </w:tc>
        <w:tc>
          <w:tcPr>
            <w:tcW w:w="9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53.5%</w:t>
            </w:r>
          </w:p>
        </w:tc>
        <w:tc>
          <w:tcPr>
            <w:tcW w:w="0" w:type="dxa"/>
            <w:vAlign w:val="bottom"/>
          </w:tcPr>
          <w:p>
            <w:pPr>
              <w:spacing w:after="0"/>
              <w:rPr>
                <w:sz w:val="1"/>
                <w:szCs w:val="1"/>
                <w:color w:val="auto"/>
              </w:rPr>
            </w:pPr>
          </w:p>
        </w:tc>
      </w:tr>
      <w:tr>
        <w:trPr>
          <w:trHeight w:val="375"/>
        </w:trPr>
        <w:tc>
          <w:tcPr>
            <w:tcW w:w="4140" w:type="dxa"/>
            <w:vAlign w:val="bottom"/>
          </w:tcPr>
          <w:p>
            <w:pPr>
              <w:spacing w:after="0"/>
              <w:rPr>
                <w:sz w:val="24"/>
                <w:szCs w:val="24"/>
                <w:color w:val="auto"/>
              </w:rPr>
            </w:pPr>
          </w:p>
        </w:tc>
        <w:tc>
          <w:tcPr>
            <w:tcW w:w="3100" w:type="dxa"/>
            <w:vAlign w:val="bottom"/>
            <w:gridSpan w:val="3"/>
          </w:tcPr>
          <w:p>
            <w:pPr>
              <w:jc w:val="center"/>
              <w:ind w:right="84"/>
              <w:spacing w:after="0"/>
              <w:rPr>
                <w:sz w:val="20"/>
                <w:szCs w:val="20"/>
                <w:color w:val="auto"/>
              </w:rPr>
            </w:pPr>
            <w:r>
              <w:rPr>
                <w:rFonts w:ascii="Calibri" w:cs="Calibri" w:eastAsia="Calibri" w:hAnsi="Calibri"/>
                <w:sz w:val="16"/>
                <w:szCs w:val="16"/>
                <w:b w:val="1"/>
                <w:bCs w:val="1"/>
                <w:color w:val="auto"/>
                <w:w w:val="97"/>
              </w:rPr>
              <w:t>Selected Financial Indicators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4140" w:type="dxa"/>
            <w:vAlign w:val="bottom"/>
            <w:tcBorders>
              <w:left w:val="single" w:sz="8" w:color="auto"/>
              <w:right w:val="single" w:sz="8" w:color="33CCCC"/>
            </w:tcBorders>
            <w:shd w:val="clear" w:color="auto" w:fill="33CCCC"/>
          </w:tcPr>
          <w:p>
            <w:pPr>
              <w:spacing w:after="0"/>
              <w:rPr>
                <w:sz w:val="10"/>
                <w:szCs w:val="10"/>
                <w:color w:val="auto"/>
              </w:rPr>
            </w:pPr>
          </w:p>
        </w:tc>
        <w:tc>
          <w:tcPr>
            <w:tcW w:w="980" w:type="dxa"/>
            <w:vAlign w:val="bottom"/>
            <w:shd w:val="clear" w:color="auto" w:fill="33CCCC"/>
          </w:tcPr>
          <w:p>
            <w:pPr>
              <w:spacing w:after="0"/>
              <w:rPr>
                <w:sz w:val="10"/>
                <w:szCs w:val="10"/>
                <w:color w:val="auto"/>
              </w:rPr>
            </w:pPr>
          </w:p>
        </w:tc>
        <w:tc>
          <w:tcPr>
            <w:tcW w:w="1040" w:type="dxa"/>
            <w:vAlign w:val="bottom"/>
            <w:shd w:val="clear" w:color="auto" w:fill="33CCCC"/>
          </w:tcPr>
          <w:p>
            <w:pPr>
              <w:jc w:val="center"/>
              <w:spacing w:after="0" w:line="124" w:lineRule="exact"/>
              <w:rPr>
                <w:sz w:val="20"/>
                <w:szCs w:val="20"/>
                <w:color w:val="auto"/>
              </w:rPr>
            </w:pPr>
            <w:r>
              <w:rPr>
                <w:rFonts w:ascii="Calibri" w:cs="Calibri" w:eastAsia="Calibri" w:hAnsi="Calibri"/>
                <w:sz w:val="11"/>
                <w:szCs w:val="11"/>
                <w:b w:val="1"/>
                <w:bCs w:val="1"/>
                <w:color w:val="FFFFFF"/>
              </w:rPr>
              <w:t>Quarter</w:t>
            </w:r>
          </w:p>
        </w:tc>
        <w:tc>
          <w:tcPr>
            <w:tcW w:w="1080" w:type="dxa"/>
            <w:vAlign w:val="bottom"/>
            <w:tcBorders>
              <w:right w:val="single" w:sz="8" w:color="33CCCC"/>
            </w:tcBorders>
            <w:shd w:val="clear" w:color="auto" w:fill="33CCCC"/>
          </w:tcPr>
          <w:p>
            <w:pPr>
              <w:spacing w:after="0"/>
              <w:rPr>
                <w:sz w:val="10"/>
                <w:szCs w:val="10"/>
                <w:color w:val="auto"/>
              </w:rPr>
            </w:pPr>
          </w:p>
        </w:tc>
        <w:tc>
          <w:tcPr>
            <w:tcW w:w="1560" w:type="dxa"/>
            <w:vAlign w:val="bottom"/>
            <w:tcBorders>
              <w:right w:val="single" w:sz="8" w:color="auto"/>
            </w:tcBorders>
            <w:gridSpan w:val="2"/>
            <w:shd w:val="clear" w:color="auto" w:fill="33CCCC"/>
          </w:tcPr>
          <w:p>
            <w:pPr>
              <w:ind w:left="540"/>
              <w:spacing w:after="0" w:line="124" w:lineRule="exact"/>
              <w:rPr>
                <w:sz w:val="20"/>
                <w:szCs w:val="20"/>
                <w:color w:val="auto"/>
              </w:rPr>
            </w:pPr>
            <w:r>
              <w:rPr>
                <w:rFonts w:ascii="Calibri" w:cs="Calibri" w:eastAsia="Calibri" w:hAnsi="Calibri"/>
                <w:sz w:val="11"/>
                <w:szCs w:val="11"/>
                <w:b w:val="1"/>
                <w:bCs w:val="1"/>
                <w:color w:val="FFFFFF"/>
              </w:rPr>
              <w:t>% change</w:t>
            </w:r>
          </w:p>
        </w:tc>
        <w:tc>
          <w:tcPr>
            <w:tcW w:w="920" w:type="dxa"/>
            <w:vAlign w:val="bottom"/>
            <w:shd w:val="clear" w:color="auto" w:fill="33CCCC"/>
          </w:tcPr>
          <w:p>
            <w:pPr>
              <w:jc w:val="right"/>
              <w:spacing w:after="0" w:line="124" w:lineRule="exact"/>
              <w:rPr>
                <w:sz w:val="20"/>
                <w:szCs w:val="20"/>
                <w:color w:val="auto"/>
              </w:rPr>
            </w:pPr>
            <w:r>
              <w:rPr>
                <w:rFonts w:ascii="Calibri" w:cs="Calibri" w:eastAsia="Calibri" w:hAnsi="Calibri"/>
                <w:sz w:val="11"/>
                <w:szCs w:val="11"/>
                <w:b w:val="1"/>
                <w:bCs w:val="1"/>
                <w:color w:val="FFFFFF"/>
              </w:rPr>
              <w:t>Up to</w:t>
            </w:r>
          </w:p>
        </w:tc>
        <w:tc>
          <w:tcPr>
            <w:tcW w:w="640" w:type="dxa"/>
            <w:vAlign w:val="bottom"/>
            <w:tcBorders>
              <w:right w:val="single" w:sz="8" w:color="auto"/>
            </w:tcBorders>
            <w:shd w:val="clear" w:color="auto" w:fill="33CCCC"/>
          </w:tcPr>
          <w:p>
            <w:pPr>
              <w:spacing w:after="0"/>
              <w:rPr>
                <w:sz w:val="10"/>
                <w:szCs w:val="10"/>
                <w:color w:val="auto"/>
              </w:rPr>
            </w:pPr>
          </w:p>
        </w:tc>
        <w:tc>
          <w:tcPr>
            <w:tcW w:w="900" w:type="dxa"/>
            <w:vAlign w:val="bottom"/>
            <w:tcBorders>
              <w:right w:val="single" w:sz="8" w:color="auto"/>
            </w:tcBorders>
            <w:shd w:val="clear" w:color="auto" w:fill="33CCCC"/>
          </w:tcPr>
          <w:p>
            <w:pPr>
              <w:jc w:val="center"/>
              <w:spacing w:after="0" w:line="124" w:lineRule="exact"/>
              <w:rPr>
                <w:sz w:val="20"/>
                <w:szCs w:val="20"/>
                <w:color w:val="auto"/>
              </w:rPr>
            </w:pPr>
            <w:r>
              <w:rPr>
                <w:rFonts w:ascii="Calibri" w:cs="Calibri" w:eastAsia="Calibri" w:hAnsi="Calibri"/>
                <w:sz w:val="11"/>
                <w:szCs w:val="11"/>
                <w:b w:val="1"/>
                <w:bCs w:val="1"/>
                <w:color w:val="FFFFFF"/>
              </w:rPr>
              <w:t>% change</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bottom w:val="single" w:sz="8" w:color="auto"/>
              <w:right w:val="single" w:sz="8" w:color="33CCCC"/>
            </w:tcBorders>
            <w:shd w:val="clear" w:color="auto" w:fill="33CCCC"/>
          </w:tcPr>
          <w:p>
            <w:pPr>
              <w:spacing w:after="0"/>
              <w:rPr>
                <w:sz w:val="11"/>
                <w:szCs w:val="11"/>
                <w:color w:val="auto"/>
              </w:rPr>
            </w:pPr>
          </w:p>
        </w:tc>
        <w:tc>
          <w:tcPr>
            <w:tcW w:w="98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2Q24</w:t>
            </w:r>
          </w:p>
        </w:tc>
        <w:tc>
          <w:tcPr>
            <w:tcW w:w="104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1Q25</w:t>
            </w:r>
          </w:p>
        </w:tc>
        <w:tc>
          <w:tcPr>
            <w:tcW w:w="1080" w:type="dxa"/>
            <w:vAlign w:val="bottom"/>
            <w:tcBorders>
              <w:bottom w:val="single" w:sz="8" w:color="auto"/>
              <w:right w:val="single" w:sz="8" w:color="33CCCC"/>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2Q25</w:t>
            </w:r>
          </w:p>
        </w:tc>
        <w:tc>
          <w:tcPr>
            <w:tcW w:w="76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QoQ</w:t>
            </w:r>
          </w:p>
        </w:tc>
        <w:tc>
          <w:tcPr>
            <w:tcW w:w="80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w w:val="91"/>
              </w:rPr>
              <w:t>YoY</w:t>
            </w:r>
          </w:p>
        </w:tc>
        <w:tc>
          <w:tcPr>
            <w:tcW w:w="920" w:type="dxa"/>
            <w:vAlign w:val="bottom"/>
            <w:tcBorders>
              <w:bottom w:val="single" w:sz="8" w:color="auto"/>
            </w:tcBorders>
            <w:shd w:val="clear" w:color="auto" w:fill="33CCCC"/>
          </w:tcPr>
          <w:p>
            <w:pPr>
              <w:jc w:val="right"/>
              <w:ind w:right="104"/>
              <w:spacing w:after="0" w:line="130" w:lineRule="exact"/>
              <w:rPr>
                <w:sz w:val="20"/>
                <w:szCs w:val="20"/>
                <w:color w:val="auto"/>
              </w:rPr>
            </w:pPr>
            <w:r>
              <w:rPr>
                <w:rFonts w:ascii="Calibri" w:cs="Calibri" w:eastAsia="Calibri" w:hAnsi="Calibri"/>
                <w:sz w:val="11"/>
                <w:szCs w:val="11"/>
                <w:b w:val="1"/>
                <w:bCs w:val="1"/>
                <w:color w:val="FFFFFF"/>
              </w:rPr>
              <w:t>Jun 24</w:t>
            </w:r>
          </w:p>
        </w:tc>
        <w:tc>
          <w:tcPr>
            <w:tcW w:w="640" w:type="dxa"/>
            <w:vAlign w:val="bottom"/>
            <w:tcBorders>
              <w:bottom w:val="single" w:sz="8" w:color="auto"/>
              <w:right w:val="single" w:sz="8" w:color="auto"/>
            </w:tcBorders>
            <w:shd w:val="clear" w:color="auto" w:fill="33CCCC"/>
          </w:tcPr>
          <w:p>
            <w:pPr>
              <w:jc w:val="right"/>
              <w:spacing w:after="0" w:line="130" w:lineRule="exact"/>
              <w:rPr>
                <w:sz w:val="20"/>
                <w:szCs w:val="20"/>
                <w:color w:val="auto"/>
              </w:rPr>
            </w:pPr>
            <w:r>
              <w:rPr>
                <w:rFonts w:ascii="Calibri" w:cs="Calibri" w:eastAsia="Calibri" w:hAnsi="Calibri"/>
                <w:sz w:val="11"/>
                <w:szCs w:val="11"/>
                <w:b w:val="1"/>
                <w:bCs w:val="1"/>
                <w:color w:val="FFFFFF"/>
              </w:rPr>
              <w:t>Jun 25</w:t>
            </w:r>
          </w:p>
        </w:tc>
        <w:tc>
          <w:tcPr>
            <w:tcW w:w="90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Jun 25 / Jun 24</w:t>
            </w: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tcBorders>
          </w:tcPr>
          <w:p>
            <w:pPr>
              <w:ind w:left="20"/>
              <w:spacing w:after="0" w:line="108" w:lineRule="exact"/>
              <w:rPr>
                <w:sz w:val="20"/>
                <w:szCs w:val="20"/>
                <w:color w:val="auto"/>
              </w:rPr>
            </w:pPr>
            <w:r>
              <w:rPr>
                <w:rFonts w:ascii="Calibri" w:cs="Calibri" w:eastAsia="Calibri" w:hAnsi="Calibri"/>
                <w:sz w:val="11"/>
                <w:szCs w:val="11"/>
                <w:color w:val="auto"/>
              </w:rPr>
              <w:t>Efciency rato</w:t>
            </w:r>
          </w:p>
        </w:tc>
        <w:tc>
          <w:tcPr>
            <w:tcW w:w="980" w:type="dxa"/>
            <w:vAlign w:val="bottom"/>
          </w:tcPr>
          <w:p>
            <w:pPr>
              <w:jc w:val="center"/>
              <w:ind w:right="3"/>
              <w:spacing w:after="0" w:line="108" w:lineRule="exact"/>
              <w:rPr>
                <w:sz w:val="20"/>
                <w:szCs w:val="20"/>
                <w:color w:val="auto"/>
              </w:rPr>
            </w:pPr>
            <w:r>
              <w:rPr>
                <w:rFonts w:ascii="Calibri" w:cs="Calibri" w:eastAsia="Calibri" w:hAnsi="Calibri"/>
                <w:sz w:val="11"/>
                <w:szCs w:val="11"/>
                <w:color w:val="auto"/>
              </w:rPr>
              <w:t>51.0%</w:t>
            </w:r>
          </w:p>
        </w:tc>
        <w:tc>
          <w:tcPr>
            <w:tcW w:w="1040" w:type="dxa"/>
            <w:vAlign w:val="bottom"/>
          </w:tcPr>
          <w:p>
            <w:pPr>
              <w:jc w:val="center"/>
              <w:spacing w:after="0" w:line="108" w:lineRule="exact"/>
              <w:rPr>
                <w:sz w:val="20"/>
                <w:szCs w:val="20"/>
                <w:color w:val="auto"/>
              </w:rPr>
            </w:pPr>
            <w:r>
              <w:rPr>
                <w:rFonts w:ascii="Calibri" w:cs="Calibri" w:eastAsia="Calibri" w:hAnsi="Calibri"/>
                <w:sz w:val="11"/>
                <w:szCs w:val="11"/>
                <w:color w:val="auto"/>
              </w:rPr>
              <w:t>52.9%</w:t>
            </w:r>
          </w:p>
        </w:tc>
        <w:tc>
          <w:tcPr>
            <w:tcW w:w="1080" w:type="dxa"/>
            <w:vAlign w:val="bottom"/>
          </w:tcPr>
          <w:p>
            <w:pPr>
              <w:jc w:val="center"/>
              <w:spacing w:after="0" w:line="108" w:lineRule="exact"/>
              <w:rPr>
                <w:sz w:val="20"/>
                <w:szCs w:val="20"/>
                <w:color w:val="auto"/>
              </w:rPr>
            </w:pPr>
            <w:r>
              <w:rPr>
                <w:rFonts w:ascii="Calibri" w:cs="Calibri" w:eastAsia="Calibri" w:hAnsi="Calibri"/>
                <w:sz w:val="11"/>
                <w:szCs w:val="11"/>
                <w:color w:val="auto"/>
              </w:rPr>
              <w:t>52.0%</w:t>
            </w:r>
          </w:p>
        </w:tc>
        <w:tc>
          <w:tcPr>
            <w:tcW w:w="760" w:type="dxa"/>
            <w:vAlign w:val="bottom"/>
          </w:tcPr>
          <w:p>
            <w:pPr>
              <w:jc w:val="center"/>
              <w:spacing w:after="0" w:line="108" w:lineRule="exact"/>
              <w:rPr>
                <w:sz w:val="20"/>
                <w:szCs w:val="20"/>
                <w:color w:val="auto"/>
              </w:rPr>
            </w:pPr>
            <w:r>
              <w:rPr>
                <w:rFonts w:ascii="Calibri" w:cs="Calibri" w:eastAsia="Calibri" w:hAnsi="Calibri"/>
                <w:sz w:val="11"/>
                <w:szCs w:val="11"/>
                <w:color w:val="auto"/>
              </w:rPr>
              <w:t>-88 bps</w:t>
            </w:r>
          </w:p>
        </w:tc>
        <w:tc>
          <w:tcPr>
            <w:tcW w:w="80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98 bps</w:t>
            </w:r>
          </w:p>
        </w:tc>
        <w:tc>
          <w:tcPr>
            <w:tcW w:w="920" w:type="dxa"/>
            <w:vAlign w:val="bottom"/>
          </w:tcPr>
          <w:p>
            <w:pPr>
              <w:jc w:val="right"/>
              <w:ind w:right="104"/>
              <w:spacing w:after="0" w:line="108" w:lineRule="exact"/>
              <w:rPr>
                <w:sz w:val="20"/>
                <w:szCs w:val="20"/>
                <w:color w:val="auto"/>
              </w:rPr>
            </w:pPr>
            <w:r>
              <w:rPr>
                <w:rFonts w:ascii="Calibri" w:cs="Calibri" w:eastAsia="Calibri" w:hAnsi="Calibri"/>
                <w:sz w:val="11"/>
                <w:szCs w:val="11"/>
                <w:color w:val="auto"/>
              </w:rPr>
              <w:t>52.1%</w:t>
            </w:r>
          </w:p>
        </w:tc>
        <w:tc>
          <w:tcPr>
            <w:tcW w:w="640" w:type="dxa"/>
            <w:vAlign w:val="bottom"/>
            <w:tcBorders>
              <w:right w:val="single" w:sz="8" w:color="auto"/>
            </w:tcBorders>
          </w:tcPr>
          <w:p>
            <w:pPr>
              <w:jc w:val="right"/>
              <w:spacing w:after="0" w:line="108" w:lineRule="exact"/>
              <w:rPr>
                <w:sz w:val="20"/>
                <w:szCs w:val="20"/>
                <w:color w:val="auto"/>
              </w:rPr>
            </w:pPr>
            <w:r>
              <w:rPr>
                <w:rFonts w:ascii="Calibri" w:cs="Calibri" w:eastAsia="Calibri" w:hAnsi="Calibri"/>
                <w:sz w:val="11"/>
                <w:szCs w:val="11"/>
                <w:color w:val="auto"/>
              </w:rPr>
              <w:t>52.4%</w:t>
            </w:r>
          </w:p>
        </w:tc>
        <w:tc>
          <w:tcPr>
            <w:tcW w:w="90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30 bps</w:t>
            </w: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ROAE</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color w:val="auto"/>
              </w:rPr>
              <w:t>5.4%</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color w:val="auto"/>
              </w:rPr>
              <w:t>14.7%</w:t>
            </w:r>
          </w:p>
        </w:tc>
        <w:tc>
          <w:tcPr>
            <w:tcW w:w="1080" w:type="dxa"/>
            <w:vAlign w:val="bottom"/>
          </w:tcPr>
          <w:p>
            <w:pPr>
              <w:jc w:val="center"/>
              <w:spacing w:after="0" w:line="130" w:lineRule="exact"/>
              <w:rPr>
                <w:sz w:val="20"/>
                <w:szCs w:val="20"/>
                <w:color w:val="auto"/>
              </w:rPr>
            </w:pPr>
            <w:r>
              <w:rPr>
                <w:rFonts w:ascii="Calibri" w:cs="Calibri" w:eastAsia="Calibri" w:hAnsi="Calibri"/>
                <w:sz w:val="11"/>
                <w:szCs w:val="11"/>
                <w:color w:val="auto"/>
              </w:rPr>
              <w:t>16.3%</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169 bps</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1096 bps</w:t>
            </w:r>
          </w:p>
        </w:tc>
        <w:tc>
          <w:tcPr>
            <w:tcW w:w="920" w:type="dxa"/>
            <w:vAlign w:val="bottom"/>
          </w:tcPr>
          <w:p>
            <w:pPr>
              <w:jc w:val="right"/>
              <w:ind w:right="104"/>
              <w:spacing w:after="0" w:line="130" w:lineRule="exact"/>
              <w:rPr>
                <w:sz w:val="20"/>
                <w:szCs w:val="20"/>
                <w:color w:val="auto"/>
              </w:rPr>
            </w:pPr>
            <w:r>
              <w:rPr>
                <w:rFonts w:ascii="Calibri" w:cs="Calibri" w:eastAsia="Calibri" w:hAnsi="Calibri"/>
                <w:sz w:val="11"/>
                <w:szCs w:val="11"/>
                <w:color w:val="auto"/>
              </w:rPr>
              <w:t>9.1%</w:t>
            </w:r>
          </w:p>
        </w:tc>
        <w:tc>
          <w:tcPr>
            <w:tcW w:w="640" w:type="dxa"/>
            <w:vAlign w:val="bottom"/>
            <w:tcBorders>
              <w:right w:val="single" w:sz="8" w:color="auto"/>
            </w:tcBorders>
          </w:tcPr>
          <w:p>
            <w:pPr>
              <w:jc w:val="right"/>
              <w:spacing w:after="0" w:line="130" w:lineRule="exact"/>
              <w:rPr>
                <w:sz w:val="20"/>
                <w:szCs w:val="20"/>
                <w:color w:val="auto"/>
              </w:rPr>
            </w:pPr>
            <w:r>
              <w:rPr>
                <w:rFonts w:ascii="Calibri" w:cs="Calibri" w:eastAsia="Calibri" w:hAnsi="Calibri"/>
                <w:sz w:val="11"/>
                <w:szCs w:val="11"/>
                <w:color w:val="auto"/>
              </w:rPr>
              <w:t>15.1%</w:t>
            </w:r>
          </w:p>
        </w:tc>
        <w:tc>
          <w:tcPr>
            <w:tcW w:w="9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609 bps</w:t>
            </w:r>
          </w:p>
        </w:tc>
        <w:tc>
          <w:tcPr>
            <w:tcW w:w="0" w:type="dxa"/>
            <w:vAlign w:val="bottom"/>
          </w:tcPr>
          <w:p>
            <w:pPr>
              <w:spacing w:after="0"/>
              <w:rPr>
                <w:sz w:val="1"/>
                <w:szCs w:val="1"/>
                <w:color w:val="auto"/>
              </w:rPr>
            </w:pPr>
          </w:p>
        </w:tc>
      </w:tr>
      <w:tr>
        <w:trPr>
          <w:trHeight w:val="134"/>
        </w:trPr>
        <w:tc>
          <w:tcPr>
            <w:tcW w:w="414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ROAE incl. Goowdill</w:t>
            </w:r>
          </w:p>
        </w:tc>
        <w:tc>
          <w:tcPr>
            <w:tcW w:w="980" w:type="dxa"/>
            <w:vAlign w:val="bottom"/>
          </w:tcPr>
          <w:p>
            <w:pPr>
              <w:jc w:val="center"/>
              <w:spacing w:after="0"/>
              <w:rPr>
                <w:sz w:val="20"/>
                <w:szCs w:val="20"/>
                <w:color w:val="auto"/>
              </w:rPr>
            </w:pPr>
            <w:r>
              <w:rPr>
                <w:rFonts w:ascii="Calibri" w:cs="Calibri" w:eastAsia="Calibri" w:hAnsi="Calibri"/>
                <w:sz w:val="11"/>
                <w:szCs w:val="11"/>
                <w:color w:val="auto"/>
              </w:rPr>
              <w:t>5.1%</w:t>
            </w:r>
          </w:p>
        </w:tc>
        <w:tc>
          <w:tcPr>
            <w:tcW w:w="1040" w:type="dxa"/>
            <w:vAlign w:val="bottom"/>
          </w:tcPr>
          <w:p>
            <w:pPr>
              <w:jc w:val="center"/>
              <w:spacing w:after="0"/>
              <w:rPr>
                <w:sz w:val="20"/>
                <w:szCs w:val="20"/>
                <w:color w:val="auto"/>
              </w:rPr>
            </w:pPr>
            <w:r>
              <w:rPr>
                <w:rFonts w:ascii="Calibri" w:cs="Calibri" w:eastAsia="Calibri" w:hAnsi="Calibri"/>
                <w:sz w:val="11"/>
                <w:szCs w:val="11"/>
                <w:color w:val="auto"/>
              </w:rPr>
              <w:t>13.9%</w:t>
            </w:r>
          </w:p>
        </w:tc>
        <w:tc>
          <w:tcPr>
            <w:tcW w:w="1080" w:type="dxa"/>
            <w:vAlign w:val="bottom"/>
          </w:tcPr>
          <w:p>
            <w:pPr>
              <w:jc w:val="center"/>
              <w:spacing w:after="0"/>
              <w:rPr>
                <w:sz w:val="20"/>
                <w:szCs w:val="20"/>
                <w:color w:val="auto"/>
              </w:rPr>
            </w:pPr>
            <w:r>
              <w:rPr>
                <w:rFonts w:ascii="Calibri" w:cs="Calibri" w:eastAsia="Calibri" w:hAnsi="Calibri"/>
                <w:sz w:val="11"/>
                <w:szCs w:val="11"/>
                <w:color w:val="auto"/>
              </w:rPr>
              <w:t>15.5%</w:t>
            </w:r>
          </w:p>
        </w:tc>
        <w:tc>
          <w:tcPr>
            <w:tcW w:w="760" w:type="dxa"/>
            <w:vAlign w:val="bottom"/>
          </w:tcPr>
          <w:p>
            <w:pPr>
              <w:jc w:val="center"/>
              <w:spacing w:after="0"/>
              <w:rPr>
                <w:sz w:val="20"/>
                <w:szCs w:val="20"/>
                <w:color w:val="auto"/>
              </w:rPr>
            </w:pPr>
            <w:r>
              <w:rPr>
                <w:rFonts w:ascii="Calibri" w:cs="Calibri" w:eastAsia="Calibri" w:hAnsi="Calibri"/>
                <w:sz w:val="11"/>
                <w:szCs w:val="11"/>
                <w:color w:val="auto"/>
              </w:rPr>
              <w:t>158 bps</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1036 bps</w:t>
            </w:r>
          </w:p>
        </w:tc>
        <w:tc>
          <w:tcPr>
            <w:tcW w:w="920" w:type="dxa"/>
            <w:vAlign w:val="bottom"/>
          </w:tcPr>
          <w:p>
            <w:pPr>
              <w:jc w:val="right"/>
              <w:ind w:right="104"/>
              <w:spacing w:after="0"/>
              <w:rPr>
                <w:sz w:val="20"/>
                <w:szCs w:val="20"/>
                <w:color w:val="auto"/>
              </w:rPr>
            </w:pPr>
            <w:r>
              <w:rPr>
                <w:rFonts w:ascii="Calibri" w:cs="Calibri" w:eastAsia="Calibri" w:hAnsi="Calibri"/>
                <w:sz w:val="11"/>
                <w:szCs w:val="11"/>
                <w:color w:val="auto"/>
              </w:rPr>
              <w:t>8.6%</w:t>
            </w:r>
          </w:p>
        </w:tc>
        <w:tc>
          <w:tcPr>
            <w:tcW w:w="6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14.4%</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574 bps</w:t>
            </w:r>
          </w:p>
        </w:tc>
        <w:tc>
          <w:tcPr>
            <w:tcW w:w="0" w:type="dxa"/>
            <w:vAlign w:val="bottom"/>
          </w:tcPr>
          <w:p>
            <w:pPr>
              <w:spacing w:after="0"/>
              <w:rPr>
                <w:sz w:val="1"/>
                <w:szCs w:val="1"/>
                <w:color w:val="auto"/>
              </w:rPr>
            </w:pPr>
          </w:p>
        </w:tc>
      </w:tr>
      <w:tr>
        <w:trPr>
          <w:trHeight w:val="24"/>
        </w:trPr>
        <w:tc>
          <w:tcPr>
            <w:tcW w:w="4140" w:type="dxa"/>
            <w:vAlign w:val="bottom"/>
            <w:tcBorders>
              <w:left w:val="single" w:sz="8" w:color="auto"/>
            </w:tcBorders>
            <w:vMerge w:val="restart"/>
          </w:tcPr>
          <w:p>
            <w:pPr>
              <w:ind w:left="20"/>
              <w:spacing w:after="0"/>
              <w:rPr>
                <w:sz w:val="20"/>
                <w:szCs w:val="20"/>
                <w:color w:val="auto"/>
              </w:rPr>
            </w:pPr>
            <w:r>
              <w:rPr>
                <w:rFonts w:ascii="Calibri" w:cs="Calibri" w:eastAsia="Calibri" w:hAnsi="Calibri"/>
                <w:sz w:val="11"/>
                <w:szCs w:val="11"/>
                <w:color w:val="auto"/>
              </w:rPr>
              <w:t>L/D rato</w:t>
            </w:r>
          </w:p>
        </w:tc>
        <w:tc>
          <w:tcPr>
            <w:tcW w:w="980" w:type="dxa"/>
            <w:vAlign w:val="bottom"/>
            <w:vMerge w:val="restart"/>
          </w:tcPr>
          <w:p>
            <w:pPr>
              <w:jc w:val="center"/>
              <w:spacing w:after="0"/>
              <w:rPr>
                <w:sz w:val="20"/>
                <w:szCs w:val="20"/>
                <w:color w:val="auto"/>
              </w:rPr>
            </w:pPr>
            <w:r>
              <w:rPr>
                <w:rFonts w:ascii="Calibri" w:cs="Calibri" w:eastAsia="Calibri" w:hAnsi="Calibri"/>
                <w:sz w:val="11"/>
                <w:szCs w:val="11"/>
                <w:color w:val="auto"/>
              </w:rPr>
              <w:t>120.6%</w:t>
            </w:r>
          </w:p>
        </w:tc>
        <w:tc>
          <w:tcPr>
            <w:tcW w:w="1040" w:type="dxa"/>
            <w:vAlign w:val="bottom"/>
            <w:vMerge w:val="restart"/>
          </w:tcPr>
          <w:p>
            <w:pPr>
              <w:jc w:val="center"/>
              <w:spacing w:after="0"/>
              <w:rPr>
                <w:sz w:val="20"/>
                <w:szCs w:val="20"/>
                <w:color w:val="auto"/>
              </w:rPr>
            </w:pPr>
            <w:r>
              <w:rPr>
                <w:rFonts w:ascii="Calibri" w:cs="Calibri" w:eastAsia="Calibri" w:hAnsi="Calibri"/>
                <w:sz w:val="11"/>
                <w:szCs w:val="11"/>
                <w:color w:val="auto"/>
              </w:rPr>
              <w:t>110.5%</w:t>
            </w:r>
          </w:p>
        </w:tc>
        <w:tc>
          <w:tcPr>
            <w:tcW w:w="1080" w:type="dxa"/>
            <w:vAlign w:val="bottom"/>
            <w:vMerge w:val="restart"/>
          </w:tcPr>
          <w:p>
            <w:pPr>
              <w:jc w:val="center"/>
              <w:spacing w:after="0"/>
              <w:rPr>
                <w:sz w:val="20"/>
                <w:szCs w:val="20"/>
                <w:color w:val="auto"/>
              </w:rPr>
            </w:pPr>
            <w:r>
              <w:rPr>
                <w:rFonts w:ascii="Calibri" w:cs="Calibri" w:eastAsia="Calibri" w:hAnsi="Calibri"/>
                <w:sz w:val="11"/>
                <w:szCs w:val="11"/>
                <w:color w:val="auto"/>
              </w:rPr>
              <w:t>118.0%</w:t>
            </w:r>
          </w:p>
        </w:tc>
        <w:tc>
          <w:tcPr>
            <w:tcW w:w="760" w:type="dxa"/>
            <w:vAlign w:val="bottom"/>
            <w:vMerge w:val="restart"/>
          </w:tcPr>
          <w:p>
            <w:pPr>
              <w:jc w:val="center"/>
              <w:spacing w:after="0"/>
              <w:rPr>
                <w:sz w:val="20"/>
                <w:szCs w:val="20"/>
                <w:color w:val="auto"/>
              </w:rPr>
            </w:pPr>
            <w:r>
              <w:rPr>
                <w:rFonts w:ascii="Calibri" w:cs="Calibri" w:eastAsia="Calibri" w:hAnsi="Calibri"/>
                <w:sz w:val="11"/>
                <w:szCs w:val="11"/>
                <w:color w:val="auto"/>
              </w:rPr>
              <w:t>743 bps</w:t>
            </w:r>
          </w:p>
        </w:tc>
        <w:tc>
          <w:tcPr>
            <w:tcW w:w="8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-266 bps</w:t>
            </w: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4140" w:type="dxa"/>
            <w:vAlign w:val="bottom"/>
            <w:tcBorders>
              <w:left w:val="single" w:sz="8" w:color="auto"/>
            </w:tcBorders>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14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IOL rato</w:t>
            </w:r>
          </w:p>
        </w:tc>
        <w:tc>
          <w:tcPr>
            <w:tcW w:w="980" w:type="dxa"/>
            <w:vAlign w:val="bottom"/>
          </w:tcPr>
          <w:p>
            <w:pPr>
              <w:jc w:val="center"/>
              <w:spacing w:after="0"/>
              <w:rPr>
                <w:sz w:val="20"/>
                <w:szCs w:val="20"/>
                <w:color w:val="auto"/>
              </w:rPr>
            </w:pPr>
            <w:r>
              <w:rPr>
                <w:rFonts w:ascii="Calibri" w:cs="Calibri" w:eastAsia="Calibri" w:hAnsi="Calibri"/>
                <w:sz w:val="11"/>
                <w:szCs w:val="11"/>
                <w:color w:val="auto"/>
              </w:rPr>
              <w:t>7.4%</w:t>
            </w:r>
          </w:p>
        </w:tc>
        <w:tc>
          <w:tcPr>
            <w:tcW w:w="1040" w:type="dxa"/>
            <w:vAlign w:val="bottom"/>
          </w:tcPr>
          <w:p>
            <w:pPr>
              <w:jc w:val="center"/>
              <w:spacing w:after="0"/>
              <w:rPr>
                <w:sz w:val="20"/>
                <w:szCs w:val="20"/>
                <w:color w:val="auto"/>
              </w:rPr>
            </w:pPr>
            <w:r>
              <w:rPr>
                <w:rFonts w:ascii="Calibri" w:cs="Calibri" w:eastAsia="Calibri" w:hAnsi="Calibri"/>
                <w:sz w:val="11"/>
                <w:szCs w:val="11"/>
                <w:color w:val="auto"/>
              </w:rPr>
              <w:t>5.6%</w:t>
            </w:r>
          </w:p>
        </w:tc>
        <w:tc>
          <w:tcPr>
            <w:tcW w:w="1080" w:type="dxa"/>
            <w:vAlign w:val="bottom"/>
          </w:tcPr>
          <w:p>
            <w:pPr>
              <w:jc w:val="center"/>
              <w:spacing w:after="0"/>
              <w:rPr>
                <w:sz w:val="20"/>
                <w:szCs w:val="20"/>
                <w:color w:val="auto"/>
              </w:rPr>
            </w:pPr>
            <w:r>
              <w:rPr>
                <w:rFonts w:ascii="Calibri" w:cs="Calibri" w:eastAsia="Calibri" w:hAnsi="Calibri"/>
                <w:sz w:val="11"/>
                <w:szCs w:val="11"/>
                <w:color w:val="auto"/>
              </w:rPr>
              <w:t>5.2%</w:t>
            </w:r>
          </w:p>
        </w:tc>
        <w:tc>
          <w:tcPr>
            <w:tcW w:w="760" w:type="dxa"/>
            <w:vAlign w:val="bottom"/>
          </w:tcPr>
          <w:p>
            <w:pPr>
              <w:jc w:val="center"/>
              <w:spacing w:after="0"/>
              <w:rPr>
                <w:sz w:val="20"/>
                <w:szCs w:val="20"/>
                <w:color w:val="auto"/>
              </w:rPr>
            </w:pPr>
            <w:r>
              <w:rPr>
                <w:rFonts w:ascii="Calibri" w:cs="Calibri" w:eastAsia="Calibri" w:hAnsi="Calibri"/>
                <w:sz w:val="11"/>
                <w:szCs w:val="11"/>
                <w:color w:val="auto"/>
              </w:rPr>
              <w:t>-42 bps</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-220 bps</w:t>
            </w: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NPL rato</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color w:val="auto"/>
              </w:rPr>
              <w:t>8.1%</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color w:val="auto"/>
              </w:rPr>
              <w:t>6.4%</w:t>
            </w:r>
          </w:p>
        </w:tc>
        <w:tc>
          <w:tcPr>
            <w:tcW w:w="1080" w:type="dxa"/>
            <w:vAlign w:val="bottom"/>
          </w:tcPr>
          <w:p>
            <w:pPr>
              <w:jc w:val="center"/>
              <w:spacing w:after="0" w:line="130" w:lineRule="exact"/>
              <w:rPr>
                <w:sz w:val="20"/>
                <w:szCs w:val="20"/>
                <w:color w:val="auto"/>
              </w:rPr>
            </w:pPr>
            <w:r>
              <w:rPr>
                <w:rFonts w:ascii="Calibri" w:cs="Calibri" w:eastAsia="Calibri" w:hAnsi="Calibri"/>
                <w:sz w:val="11"/>
                <w:szCs w:val="11"/>
                <w:color w:val="auto"/>
              </w:rPr>
              <w:t>6.1%</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-32 bps</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-202 bps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40" w:type="dxa"/>
            <w:vAlign w:val="bottom"/>
            <w:tcBorders>
              <w:left w:val="single" w:sz="8" w:color="auto"/>
            </w:tcBorders>
          </w:tcPr>
          <w:p>
            <w:pPr>
              <w:ind w:left="20"/>
              <w:spacing w:after="0" w:line="130" w:lineRule="exact"/>
              <w:rPr>
                <w:sz w:val="20"/>
                <w:szCs w:val="20"/>
                <w:color w:val="auto"/>
              </w:rPr>
            </w:pPr>
            <w:r>
              <w:rPr>
                <w:rFonts w:ascii="Calibri" w:cs="Calibri" w:eastAsia="Calibri" w:hAnsi="Calibri"/>
                <w:sz w:val="11"/>
                <w:szCs w:val="11"/>
                <w:color w:val="auto"/>
              </w:rPr>
              <w:t>Coverage of IOLs</w:t>
            </w:r>
          </w:p>
        </w:tc>
        <w:tc>
          <w:tcPr>
            <w:tcW w:w="980" w:type="dxa"/>
            <w:vAlign w:val="bottom"/>
          </w:tcPr>
          <w:p>
            <w:pPr>
              <w:jc w:val="center"/>
              <w:spacing w:after="0" w:line="130" w:lineRule="exact"/>
              <w:rPr>
                <w:sz w:val="20"/>
                <w:szCs w:val="20"/>
                <w:color w:val="auto"/>
              </w:rPr>
            </w:pPr>
            <w:r>
              <w:rPr>
                <w:rFonts w:ascii="Calibri" w:cs="Calibri" w:eastAsia="Calibri" w:hAnsi="Calibri"/>
                <w:sz w:val="11"/>
                <w:szCs w:val="11"/>
                <w:color w:val="auto"/>
              </w:rPr>
              <w:t>105.3%</w:t>
            </w:r>
          </w:p>
        </w:tc>
        <w:tc>
          <w:tcPr>
            <w:tcW w:w="1040" w:type="dxa"/>
            <w:vAlign w:val="bottom"/>
          </w:tcPr>
          <w:p>
            <w:pPr>
              <w:jc w:val="center"/>
              <w:spacing w:after="0" w:line="130" w:lineRule="exact"/>
              <w:rPr>
                <w:sz w:val="20"/>
                <w:szCs w:val="20"/>
                <w:color w:val="auto"/>
              </w:rPr>
            </w:pPr>
            <w:r>
              <w:rPr>
                <w:rFonts w:ascii="Calibri" w:cs="Calibri" w:eastAsia="Calibri" w:hAnsi="Calibri"/>
                <w:sz w:val="11"/>
                <w:szCs w:val="11"/>
                <w:color w:val="auto"/>
              </w:rPr>
              <w:t>123.8%</w:t>
            </w:r>
          </w:p>
        </w:tc>
        <w:tc>
          <w:tcPr>
            <w:tcW w:w="1080" w:type="dxa"/>
            <w:vAlign w:val="bottom"/>
          </w:tcPr>
          <w:p>
            <w:pPr>
              <w:jc w:val="center"/>
              <w:spacing w:after="0" w:line="130" w:lineRule="exact"/>
              <w:rPr>
                <w:sz w:val="20"/>
                <w:szCs w:val="20"/>
                <w:color w:val="auto"/>
              </w:rPr>
            </w:pPr>
            <w:r>
              <w:rPr>
                <w:rFonts w:ascii="Calibri" w:cs="Calibri" w:eastAsia="Calibri" w:hAnsi="Calibri"/>
                <w:sz w:val="11"/>
                <w:szCs w:val="11"/>
                <w:color w:val="auto"/>
              </w:rPr>
              <w:t>134.7%</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1088 bps</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2938 bps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14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Coverage of NPLs</w:t>
            </w:r>
          </w:p>
        </w:tc>
        <w:tc>
          <w:tcPr>
            <w:tcW w:w="980" w:type="dxa"/>
            <w:vAlign w:val="bottom"/>
          </w:tcPr>
          <w:p>
            <w:pPr>
              <w:jc w:val="center"/>
              <w:ind w:right="3"/>
              <w:spacing w:after="0"/>
              <w:rPr>
                <w:sz w:val="20"/>
                <w:szCs w:val="20"/>
                <w:color w:val="auto"/>
              </w:rPr>
            </w:pPr>
            <w:r>
              <w:rPr>
                <w:rFonts w:ascii="Calibri" w:cs="Calibri" w:eastAsia="Calibri" w:hAnsi="Calibri"/>
                <w:sz w:val="11"/>
                <w:szCs w:val="11"/>
                <w:color w:val="auto"/>
              </w:rPr>
              <w:t>95.3%</w:t>
            </w:r>
          </w:p>
        </w:tc>
        <w:tc>
          <w:tcPr>
            <w:tcW w:w="1040" w:type="dxa"/>
            <w:vAlign w:val="bottom"/>
          </w:tcPr>
          <w:p>
            <w:pPr>
              <w:jc w:val="center"/>
              <w:spacing w:after="0"/>
              <w:rPr>
                <w:sz w:val="20"/>
                <w:szCs w:val="20"/>
                <w:color w:val="auto"/>
              </w:rPr>
            </w:pPr>
            <w:r>
              <w:rPr>
                <w:rFonts w:ascii="Calibri" w:cs="Calibri" w:eastAsia="Calibri" w:hAnsi="Calibri"/>
                <w:sz w:val="11"/>
                <w:szCs w:val="11"/>
                <w:color w:val="auto"/>
              </w:rPr>
              <w:t>107.3%</w:t>
            </w:r>
          </w:p>
        </w:tc>
        <w:tc>
          <w:tcPr>
            <w:tcW w:w="1080" w:type="dxa"/>
            <w:vAlign w:val="bottom"/>
          </w:tcPr>
          <w:p>
            <w:pPr>
              <w:jc w:val="center"/>
              <w:spacing w:after="0"/>
              <w:rPr>
                <w:sz w:val="20"/>
                <w:szCs w:val="20"/>
                <w:color w:val="auto"/>
              </w:rPr>
            </w:pPr>
            <w:r>
              <w:rPr>
                <w:rFonts w:ascii="Calibri" w:cs="Calibri" w:eastAsia="Calibri" w:hAnsi="Calibri"/>
                <w:sz w:val="11"/>
                <w:szCs w:val="11"/>
                <w:color w:val="auto"/>
              </w:rPr>
              <w:t>113.7%</w:t>
            </w:r>
          </w:p>
        </w:tc>
        <w:tc>
          <w:tcPr>
            <w:tcW w:w="760" w:type="dxa"/>
            <w:vAlign w:val="bottom"/>
          </w:tcPr>
          <w:p>
            <w:pPr>
              <w:jc w:val="center"/>
              <w:spacing w:after="0"/>
              <w:rPr>
                <w:sz w:val="20"/>
                <w:szCs w:val="20"/>
                <w:color w:val="auto"/>
              </w:rPr>
            </w:pPr>
            <w:r>
              <w:rPr>
                <w:rFonts w:ascii="Calibri" w:cs="Calibri" w:eastAsia="Calibri" w:hAnsi="Calibri"/>
                <w:sz w:val="11"/>
                <w:szCs w:val="11"/>
                <w:color w:val="auto"/>
              </w:rPr>
              <w:t>633 bps</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1835 bps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414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tcBorders>
          </w:tcPr>
          <w:p>
            <w:pPr>
              <w:ind w:left="20"/>
              <w:spacing w:after="0" w:line="108" w:lineRule="exact"/>
              <w:rPr>
                <w:sz w:val="20"/>
                <w:szCs w:val="20"/>
                <w:color w:val="auto"/>
              </w:rPr>
            </w:pPr>
            <w:r>
              <w:rPr>
                <w:rFonts w:ascii="Calibri" w:cs="Calibri" w:eastAsia="Calibri" w:hAnsi="Calibri"/>
                <w:sz w:val="11"/>
                <w:szCs w:val="11"/>
                <w:color w:val="auto"/>
              </w:rPr>
              <w:t xml:space="preserve">Branches </w:t>
            </w:r>
            <w:r>
              <w:rPr>
                <w:rFonts w:ascii="Calibri" w:cs="Calibri" w:eastAsia="Calibri" w:hAnsi="Calibri"/>
                <w:sz w:val="9"/>
                <w:szCs w:val="9"/>
                <w:color w:val="auto"/>
              </w:rPr>
              <w:t>(1)</w:t>
            </w:r>
          </w:p>
        </w:tc>
        <w:tc>
          <w:tcPr>
            <w:tcW w:w="980" w:type="dxa"/>
            <w:vAlign w:val="bottom"/>
          </w:tcPr>
          <w:p>
            <w:pPr>
              <w:jc w:val="center"/>
              <w:spacing w:after="0" w:line="108" w:lineRule="exact"/>
              <w:rPr>
                <w:sz w:val="20"/>
                <w:szCs w:val="20"/>
                <w:color w:val="auto"/>
              </w:rPr>
            </w:pPr>
            <w:r>
              <w:rPr>
                <w:rFonts w:ascii="Calibri" w:cs="Calibri" w:eastAsia="Calibri" w:hAnsi="Calibri"/>
                <w:sz w:val="11"/>
                <w:szCs w:val="11"/>
                <w:color w:val="auto"/>
              </w:rPr>
              <w:t>285</w:t>
            </w:r>
          </w:p>
        </w:tc>
        <w:tc>
          <w:tcPr>
            <w:tcW w:w="1040" w:type="dxa"/>
            <w:vAlign w:val="bottom"/>
          </w:tcPr>
          <w:p>
            <w:pPr>
              <w:jc w:val="center"/>
              <w:spacing w:after="0" w:line="108" w:lineRule="exact"/>
              <w:rPr>
                <w:sz w:val="20"/>
                <w:szCs w:val="20"/>
                <w:color w:val="auto"/>
              </w:rPr>
            </w:pPr>
            <w:r>
              <w:rPr>
                <w:rFonts w:ascii="Calibri" w:cs="Calibri" w:eastAsia="Calibri" w:hAnsi="Calibri"/>
                <w:sz w:val="11"/>
                <w:szCs w:val="11"/>
                <w:color w:val="auto"/>
              </w:rPr>
              <w:t>283</w:t>
            </w:r>
          </w:p>
        </w:tc>
        <w:tc>
          <w:tcPr>
            <w:tcW w:w="1080" w:type="dxa"/>
            <w:vAlign w:val="bottom"/>
          </w:tcPr>
          <w:p>
            <w:pPr>
              <w:jc w:val="center"/>
              <w:spacing w:after="0" w:line="108" w:lineRule="exact"/>
              <w:rPr>
                <w:sz w:val="20"/>
                <w:szCs w:val="20"/>
                <w:color w:val="auto"/>
              </w:rPr>
            </w:pPr>
            <w:r>
              <w:rPr>
                <w:rFonts w:ascii="Calibri" w:cs="Calibri" w:eastAsia="Calibri" w:hAnsi="Calibri"/>
                <w:sz w:val="11"/>
                <w:szCs w:val="11"/>
                <w:color w:val="auto"/>
              </w:rPr>
              <w:t>284</w:t>
            </w:r>
          </w:p>
        </w:tc>
        <w:tc>
          <w:tcPr>
            <w:tcW w:w="760" w:type="dxa"/>
            <w:vAlign w:val="bottom"/>
          </w:tcPr>
          <w:p>
            <w:pPr>
              <w:jc w:val="right"/>
              <w:ind w:right="304"/>
              <w:spacing w:after="0" w:line="108" w:lineRule="exact"/>
              <w:rPr>
                <w:sz w:val="20"/>
                <w:szCs w:val="20"/>
                <w:color w:val="auto"/>
              </w:rPr>
            </w:pPr>
            <w:r>
              <w:rPr>
                <w:rFonts w:ascii="Calibri" w:cs="Calibri" w:eastAsia="Calibri" w:hAnsi="Calibri"/>
                <w:sz w:val="11"/>
                <w:szCs w:val="11"/>
                <w:color w:val="auto"/>
              </w:rPr>
              <w:t>1</w:t>
            </w:r>
          </w:p>
        </w:tc>
        <w:tc>
          <w:tcPr>
            <w:tcW w:w="80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-1</w:t>
            </w: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14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Employees</w:t>
            </w:r>
          </w:p>
        </w:tc>
        <w:tc>
          <w:tcPr>
            <w:tcW w:w="980" w:type="dxa"/>
            <w:vAlign w:val="bottom"/>
          </w:tcPr>
          <w:p>
            <w:pPr>
              <w:jc w:val="center"/>
              <w:spacing w:after="0"/>
              <w:rPr>
                <w:sz w:val="20"/>
                <w:szCs w:val="20"/>
                <w:color w:val="auto"/>
              </w:rPr>
            </w:pPr>
            <w:r>
              <w:rPr>
                <w:rFonts w:ascii="Calibri" w:cs="Calibri" w:eastAsia="Calibri" w:hAnsi="Calibri"/>
                <w:sz w:val="11"/>
                <w:szCs w:val="11"/>
                <w:color w:val="auto"/>
                <w:w w:val="97"/>
              </w:rPr>
              <w:t>10,107</w:t>
            </w:r>
          </w:p>
        </w:tc>
        <w:tc>
          <w:tcPr>
            <w:tcW w:w="1040" w:type="dxa"/>
            <w:vAlign w:val="bottom"/>
          </w:tcPr>
          <w:p>
            <w:pPr>
              <w:jc w:val="center"/>
              <w:spacing w:after="0"/>
              <w:rPr>
                <w:sz w:val="20"/>
                <w:szCs w:val="20"/>
                <w:color w:val="auto"/>
              </w:rPr>
            </w:pPr>
            <w:r>
              <w:rPr>
                <w:rFonts w:ascii="Calibri" w:cs="Calibri" w:eastAsia="Calibri" w:hAnsi="Calibri"/>
                <w:sz w:val="11"/>
                <w:szCs w:val="11"/>
                <w:color w:val="auto"/>
              </w:rPr>
              <w:t>9,679</w:t>
            </w:r>
          </w:p>
        </w:tc>
        <w:tc>
          <w:tcPr>
            <w:tcW w:w="1080" w:type="dxa"/>
            <w:vAlign w:val="bottom"/>
          </w:tcPr>
          <w:p>
            <w:pPr>
              <w:jc w:val="center"/>
              <w:spacing w:after="0"/>
              <w:rPr>
                <w:sz w:val="20"/>
                <w:szCs w:val="20"/>
                <w:color w:val="auto"/>
              </w:rPr>
            </w:pPr>
            <w:r>
              <w:rPr>
                <w:rFonts w:ascii="Calibri" w:cs="Calibri" w:eastAsia="Calibri" w:hAnsi="Calibri"/>
                <w:sz w:val="11"/>
                <w:szCs w:val="11"/>
                <w:color w:val="auto"/>
              </w:rPr>
              <w:t>9,756</w:t>
            </w:r>
          </w:p>
        </w:tc>
        <w:tc>
          <w:tcPr>
            <w:tcW w:w="760" w:type="dxa"/>
            <w:vAlign w:val="bottom"/>
          </w:tcPr>
          <w:p>
            <w:pPr>
              <w:jc w:val="right"/>
              <w:ind w:right="264"/>
              <w:spacing w:after="0"/>
              <w:rPr>
                <w:sz w:val="20"/>
                <w:szCs w:val="20"/>
                <w:color w:val="auto"/>
              </w:rPr>
            </w:pPr>
            <w:r>
              <w:rPr>
                <w:rFonts w:ascii="Calibri" w:cs="Calibri" w:eastAsia="Calibri" w:hAnsi="Calibri"/>
                <w:sz w:val="11"/>
                <w:szCs w:val="11"/>
                <w:color w:val="auto"/>
              </w:rPr>
              <w:t>77</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9"/>
              </w:rPr>
              <w:t>-351</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414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Calibri" w:cs="Calibri" w:eastAsia="Calibri" w:hAnsi="Calibri"/>
          <w:sz w:val="11"/>
          <w:szCs w:val="11"/>
          <w:color w:val="auto"/>
        </w:rPr>
        <w:t>(1) Includes Banco de la Nacion branches, which in June 24 were 36, in March 25 were 36 and in June 25 were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874395</wp:posOffset>
            </wp:positionV>
            <wp:extent cx="7137400"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139065</wp:posOffset>
            </wp:positionV>
            <wp:extent cx="7198360" cy="6362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98360" cy="636270"/>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68" w:name="page69"/>
    <w:bookmarkEnd w:id="68"/>
    <w:p>
      <w:pPr>
        <w:jc w:val="both"/>
        <w:ind w:left="2560"/>
        <w:spacing w:after="0"/>
        <w:tabs>
          <w:tab w:leader="none" w:pos="2960" w:val="left"/>
          <w:tab w:leader="none" w:pos="766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212725</wp:posOffset>
            </wp:positionV>
            <wp:extent cx="7137400" cy="4876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7400" cy="4876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514C6"/>
        </w:rPr>
        <w:t>Analysis of 2Q25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210820</wp:posOffset>
            </wp:positionV>
            <wp:extent cx="7137400" cy="1981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7400" cy="198120"/>
                    </a:xfrm>
                    <a:prstGeom prst="rect">
                      <a:avLst/>
                    </a:prstGeom>
                    <a:noFill/>
                  </pic:spPr>
                </pic:pic>
              </a:graphicData>
            </a:graphic>
          </wp:anchor>
        </w:drawing>
      </w:r>
    </w:p>
    <w:p>
      <w:pPr>
        <w:spacing w:after="0" w:line="316"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color w:val="FFFFFF"/>
        </w:rPr>
        <w:t>12. Appendix</w:t>
      </w:r>
    </w:p>
    <w:p>
      <w:pPr>
        <w:spacing w:after="0" w:line="277"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7"/>
          <w:szCs w:val="17"/>
          <w:b w:val="1"/>
          <w:bCs w:val="1"/>
          <w:color w:val="auto"/>
        </w:rPr>
        <w:t>12.7.7.</w:t>
        <w:tab/>
        <w:t>Prima AFP</w:t>
      </w:r>
    </w:p>
    <w:p>
      <w:pPr>
        <w:spacing w:after="0" w:line="19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Financial Positon</w:t>
      </w:r>
    </w:p>
    <w:p>
      <w:pPr>
        <w:jc w:val="center"/>
        <w:spacing w:after="0"/>
        <w:rPr>
          <w:sz w:val="20"/>
          <w:szCs w:val="20"/>
          <w:color w:val="auto"/>
        </w:rPr>
      </w:pPr>
      <w:r>
        <w:rPr>
          <w:rFonts w:ascii="Calibri" w:cs="Calibri" w:eastAsia="Calibri" w:hAnsi="Calibri"/>
          <w:sz w:val="16"/>
          <w:szCs w:val="16"/>
          <w:b w:val="1"/>
          <w:bCs w:val="1"/>
          <w:color w:val="auto"/>
        </w:rPr>
        <w:t>(S/ Thousands, IFRS)</w:t>
      </w:r>
    </w:p>
    <w:p>
      <w:pPr>
        <w:spacing w:after="0" w:line="215" w:lineRule="exact"/>
        <w:rPr>
          <w:sz w:val="20"/>
          <w:szCs w:val="20"/>
          <w:color w:val="auto"/>
        </w:rPr>
      </w:pPr>
    </w:p>
    <w:tbl>
      <w:tblPr>
        <w:tblLayout w:type="fixed"/>
        <w:tblInd w:w="1150" w:type="dxa"/>
        <w:tblCellMar>
          <w:top w:w="0" w:type="dxa"/>
          <w:left w:w="0" w:type="dxa"/>
          <w:bottom w:w="0" w:type="dxa"/>
          <w:right w:w="0" w:type="dxa"/>
        </w:tblCellMar>
      </w:tblPr>
      <w:tr>
        <w:trPr>
          <w:trHeight w:val="156"/>
        </w:trPr>
        <w:tc>
          <w:tcPr>
            <w:tcW w:w="3040" w:type="dxa"/>
            <w:vAlign w:val="bottom"/>
            <w:tcBorders>
              <w:top w:val="single" w:sz="8" w:color="auto"/>
              <w:left w:val="single" w:sz="8" w:color="auto"/>
              <w:right w:val="single" w:sz="8" w:color="auto"/>
            </w:tcBorders>
            <w:shd w:val="clear" w:color="auto" w:fill="33CCCC"/>
          </w:tcPr>
          <w:p>
            <w:pPr>
              <w:spacing w:after="0"/>
              <w:rPr>
                <w:sz w:val="13"/>
                <w:szCs w:val="13"/>
                <w:color w:val="auto"/>
              </w:rPr>
            </w:pPr>
          </w:p>
        </w:tc>
        <w:tc>
          <w:tcPr>
            <w:tcW w:w="1260" w:type="dxa"/>
            <w:vAlign w:val="bottom"/>
            <w:tcBorders>
              <w:top w:val="single" w:sz="8" w:color="auto"/>
            </w:tcBorders>
            <w:shd w:val="clear" w:color="auto" w:fill="33CCCC"/>
          </w:tcPr>
          <w:p>
            <w:pPr>
              <w:spacing w:after="0"/>
              <w:rPr>
                <w:sz w:val="13"/>
                <w:szCs w:val="13"/>
                <w:color w:val="auto"/>
              </w:rPr>
            </w:pPr>
          </w:p>
        </w:tc>
        <w:tc>
          <w:tcPr>
            <w:tcW w:w="132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w w:val="95"/>
              </w:rPr>
              <w:t>As of</w:t>
            </w:r>
          </w:p>
        </w:tc>
        <w:tc>
          <w:tcPr>
            <w:tcW w:w="1360" w:type="dxa"/>
            <w:vAlign w:val="bottom"/>
            <w:tcBorders>
              <w:top w:val="single" w:sz="8" w:color="auto"/>
              <w:right w:val="single" w:sz="8" w:color="auto"/>
            </w:tcBorders>
            <w:shd w:val="clear" w:color="auto" w:fill="33CCCC"/>
          </w:tcPr>
          <w:p>
            <w:pPr>
              <w:spacing w:after="0"/>
              <w:rPr>
                <w:sz w:val="13"/>
                <w:szCs w:val="13"/>
                <w:color w:val="auto"/>
              </w:rPr>
            </w:pPr>
          </w:p>
        </w:tc>
        <w:tc>
          <w:tcPr>
            <w:tcW w:w="102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w w:val="97"/>
              </w:rPr>
              <w:t>% change</w:t>
            </w:r>
          </w:p>
        </w:tc>
        <w:tc>
          <w:tcPr>
            <w:tcW w:w="1000" w:type="dxa"/>
            <w:vAlign w:val="bottom"/>
            <w:tcBorders>
              <w:top w:val="single" w:sz="8" w:color="auto"/>
              <w:right w:val="single" w:sz="8" w:color="auto"/>
            </w:tcBorders>
            <w:shd w:val="clear" w:color="auto" w:fill="33CCCC"/>
          </w:tcPr>
          <w:p>
            <w:pPr>
              <w:spacing w:after="0"/>
              <w:rPr>
                <w:sz w:val="13"/>
                <w:szCs w:val="13"/>
                <w:color w:val="auto"/>
              </w:rPr>
            </w:pPr>
          </w:p>
        </w:tc>
      </w:tr>
      <w:tr>
        <w:trPr>
          <w:trHeight w:val="143"/>
        </w:trPr>
        <w:tc>
          <w:tcPr>
            <w:tcW w:w="304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1260" w:type="dxa"/>
            <w:vAlign w:val="bottom"/>
            <w:tcBorders>
              <w:bottom w:val="single" w:sz="8" w:color="auto"/>
            </w:tcBorders>
            <w:shd w:val="clear" w:color="auto" w:fill="33CCCC"/>
          </w:tcPr>
          <w:p>
            <w:pPr>
              <w:ind w:left="440"/>
              <w:spacing w:after="0" w:line="143" w:lineRule="exact"/>
              <w:rPr>
                <w:sz w:val="20"/>
                <w:szCs w:val="20"/>
                <w:color w:val="auto"/>
              </w:rPr>
            </w:pPr>
            <w:r>
              <w:rPr>
                <w:rFonts w:ascii="Calibri" w:cs="Calibri" w:eastAsia="Calibri" w:hAnsi="Calibri"/>
                <w:sz w:val="12"/>
                <w:szCs w:val="12"/>
                <w:b w:val="1"/>
                <w:bCs w:val="1"/>
                <w:color w:val="FFFFFF"/>
              </w:rPr>
              <w:t>Jun 24</w:t>
            </w:r>
          </w:p>
        </w:tc>
        <w:tc>
          <w:tcPr>
            <w:tcW w:w="132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rPr>
              <w:t>Mar 25</w:t>
            </w:r>
          </w:p>
        </w:tc>
        <w:tc>
          <w:tcPr>
            <w:tcW w:w="1360" w:type="dxa"/>
            <w:vAlign w:val="bottom"/>
            <w:tcBorders>
              <w:bottom w:val="single" w:sz="8" w:color="auto"/>
              <w:right w:val="single" w:sz="8" w:color="auto"/>
            </w:tcBorders>
            <w:shd w:val="clear" w:color="auto" w:fill="33CCCC"/>
          </w:tcPr>
          <w:p>
            <w:pPr>
              <w:ind w:left="500"/>
              <w:spacing w:after="0" w:line="143" w:lineRule="exact"/>
              <w:rPr>
                <w:sz w:val="20"/>
                <w:szCs w:val="20"/>
                <w:color w:val="auto"/>
              </w:rPr>
            </w:pPr>
            <w:r>
              <w:rPr>
                <w:rFonts w:ascii="Calibri" w:cs="Calibri" w:eastAsia="Calibri" w:hAnsi="Calibri"/>
                <w:sz w:val="12"/>
                <w:szCs w:val="12"/>
                <w:b w:val="1"/>
                <w:bCs w:val="1"/>
                <w:color w:val="FFFFFF"/>
              </w:rPr>
              <w:t>Jun 25</w:t>
            </w:r>
          </w:p>
        </w:tc>
        <w:tc>
          <w:tcPr>
            <w:tcW w:w="102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5"/>
              </w:rPr>
              <w:t>QoQ</w:t>
            </w:r>
          </w:p>
        </w:tc>
        <w:tc>
          <w:tcPr>
            <w:tcW w:w="1000" w:type="dxa"/>
            <w:vAlign w:val="bottom"/>
            <w:tcBorders>
              <w:bottom w:val="single" w:sz="8" w:color="auto"/>
              <w:right w:val="single" w:sz="8" w:color="auto"/>
            </w:tcBorders>
            <w:shd w:val="clear" w:color="auto" w:fill="33CCCC"/>
          </w:tcPr>
          <w:p>
            <w:pPr>
              <w:ind w:left="380"/>
              <w:spacing w:after="0" w:line="143" w:lineRule="exact"/>
              <w:rPr>
                <w:sz w:val="20"/>
                <w:szCs w:val="20"/>
                <w:color w:val="auto"/>
              </w:rPr>
            </w:pPr>
            <w:r>
              <w:rPr>
                <w:rFonts w:ascii="Calibri" w:cs="Calibri" w:eastAsia="Calibri" w:hAnsi="Calibri"/>
                <w:sz w:val="12"/>
                <w:szCs w:val="12"/>
                <w:b w:val="1"/>
                <w:bCs w:val="1"/>
                <w:color w:val="FFFFFF"/>
              </w:rPr>
              <w:t>YoY</w:t>
            </w:r>
          </w:p>
        </w:tc>
      </w:tr>
      <w:tr>
        <w:trPr>
          <w:trHeight w:val="125"/>
        </w:trPr>
        <w:tc>
          <w:tcPr>
            <w:tcW w:w="3040" w:type="dxa"/>
            <w:vAlign w:val="bottom"/>
            <w:tcBorders>
              <w:left w:val="single" w:sz="8" w:color="auto"/>
              <w:right w:val="single" w:sz="8" w:color="auto"/>
            </w:tcBorders>
          </w:tcPr>
          <w:p>
            <w:pPr>
              <w:ind w:left="160"/>
              <w:spacing w:after="0" w:line="126" w:lineRule="exact"/>
              <w:rPr>
                <w:sz w:val="20"/>
                <w:szCs w:val="20"/>
                <w:color w:val="auto"/>
              </w:rPr>
            </w:pPr>
            <w:r>
              <w:rPr>
                <w:rFonts w:ascii="Calibri" w:cs="Calibri" w:eastAsia="Calibri" w:hAnsi="Calibri"/>
                <w:sz w:val="12"/>
                <w:szCs w:val="12"/>
                <w:b w:val="1"/>
                <w:bCs w:val="1"/>
                <w:color w:val="auto"/>
              </w:rPr>
              <w:t>Cash and due from banks</w:t>
            </w:r>
          </w:p>
        </w:tc>
        <w:tc>
          <w:tcPr>
            <w:tcW w:w="1260" w:type="dxa"/>
            <w:vAlign w:val="bottom"/>
          </w:tcPr>
          <w:p>
            <w:pPr>
              <w:jc w:val="center"/>
              <w:spacing w:after="0" w:line="126" w:lineRule="exact"/>
              <w:rPr>
                <w:sz w:val="20"/>
                <w:szCs w:val="20"/>
                <w:color w:val="auto"/>
              </w:rPr>
            </w:pPr>
            <w:r>
              <w:rPr>
                <w:rFonts w:ascii="Calibri" w:cs="Calibri" w:eastAsia="Calibri" w:hAnsi="Calibri"/>
                <w:sz w:val="12"/>
                <w:szCs w:val="12"/>
                <w:b w:val="1"/>
                <w:bCs w:val="1"/>
                <w:color w:val="auto"/>
              </w:rPr>
              <w:t>55,243</w:t>
            </w:r>
          </w:p>
        </w:tc>
        <w:tc>
          <w:tcPr>
            <w:tcW w:w="1320" w:type="dxa"/>
            <w:vAlign w:val="bottom"/>
          </w:tcPr>
          <w:p>
            <w:pPr>
              <w:jc w:val="center"/>
              <w:spacing w:after="0" w:line="126" w:lineRule="exact"/>
              <w:rPr>
                <w:sz w:val="20"/>
                <w:szCs w:val="20"/>
                <w:color w:val="auto"/>
              </w:rPr>
            </w:pPr>
            <w:r>
              <w:rPr>
                <w:rFonts w:ascii="Calibri" w:cs="Calibri" w:eastAsia="Calibri" w:hAnsi="Calibri"/>
                <w:sz w:val="12"/>
                <w:szCs w:val="12"/>
                <w:b w:val="1"/>
                <w:bCs w:val="1"/>
                <w:color w:val="auto"/>
              </w:rPr>
              <w:t>132,293</w:t>
            </w:r>
          </w:p>
        </w:tc>
        <w:tc>
          <w:tcPr>
            <w:tcW w:w="1360" w:type="dxa"/>
            <w:vAlign w:val="bottom"/>
            <w:tcBorders>
              <w:right w:val="single" w:sz="8" w:color="auto"/>
            </w:tcBorders>
          </w:tcPr>
          <w:p>
            <w:pPr>
              <w:jc w:val="center"/>
              <w:spacing w:after="0" w:line="126" w:lineRule="exact"/>
              <w:rPr>
                <w:sz w:val="20"/>
                <w:szCs w:val="20"/>
                <w:color w:val="auto"/>
              </w:rPr>
            </w:pPr>
            <w:r>
              <w:rPr>
                <w:rFonts w:ascii="Calibri" w:cs="Calibri" w:eastAsia="Calibri" w:hAnsi="Calibri"/>
                <w:sz w:val="12"/>
                <w:szCs w:val="12"/>
                <w:b w:val="1"/>
                <w:bCs w:val="1"/>
                <w:color w:val="auto"/>
              </w:rPr>
              <w:t>5,582</w:t>
            </w:r>
          </w:p>
        </w:tc>
        <w:tc>
          <w:tcPr>
            <w:tcW w:w="1020" w:type="dxa"/>
            <w:vAlign w:val="bottom"/>
          </w:tcPr>
          <w:p>
            <w:pPr>
              <w:jc w:val="center"/>
              <w:spacing w:after="0" w:line="126" w:lineRule="exact"/>
              <w:rPr>
                <w:sz w:val="20"/>
                <w:szCs w:val="20"/>
                <w:color w:val="auto"/>
              </w:rPr>
            </w:pPr>
            <w:r>
              <w:rPr>
                <w:rFonts w:ascii="Calibri" w:cs="Calibri" w:eastAsia="Calibri" w:hAnsi="Calibri"/>
                <w:sz w:val="12"/>
                <w:szCs w:val="12"/>
                <w:b w:val="1"/>
                <w:bCs w:val="1"/>
                <w:color w:val="auto"/>
              </w:rPr>
              <w:t>-95.8%</w:t>
            </w:r>
          </w:p>
        </w:tc>
        <w:tc>
          <w:tcPr>
            <w:tcW w:w="1000" w:type="dxa"/>
            <w:vAlign w:val="bottom"/>
            <w:tcBorders>
              <w:right w:val="single" w:sz="8" w:color="auto"/>
            </w:tcBorders>
          </w:tcPr>
          <w:p>
            <w:pPr>
              <w:jc w:val="center"/>
              <w:spacing w:after="0" w:line="126" w:lineRule="exact"/>
              <w:rPr>
                <w:sz w:val="20"/>
                <w:szCs w:val="20"/>
                <w:color w:val="auto"/>
              </w:rPr>
            </w:pPr>
            <w:r>
              <w:rPr>
                <w:rFonts w:ascii="Calibri" w:cs="Calibri" w:eastAsia="Calibri" w:hAnsi="Calibri"/>
                <w:sz w:val="12"/>
                <w:szCs w:val="12"/>
                <w:b w:val="1"/>
                <w:bCs w:val="1"/>
                <w:color w:val="auto"/>
              </w:rPr>
              <w:t>-89.9%</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Non-interest bearing</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8,333</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rPr>
              <w:t>2,244</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3,876</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72.7%</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-53.5%</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Interest bearing</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46,910</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rPr>
              <w:t>130,049</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1,706</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-98.7%</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-96.4%</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Fair value through proft or loss investments</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374,810</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rPr>
              <w:t>302,482</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361,646</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19.6%</w:t>
            </w:r>
          </w:p>
        </w:tc>
        <w:tc>
          <w:tcPr>
            <w:tcW w:w="1000" w:type="dxa"/>
            <w:vAlign w:val="bottom"/>
            <w:tcBorders>
              <w:right w:val="single" w:sz="8" w:color="auto"/>
            </w:tcBorders>
          </w:tcPr>
          <w:p>
            <w:pPr>
              <w:jc w:val="center"/>
              <w:ind w:right="19"/>
              <w:spacing w:after="0" w:line="143" w:lineRule="exact"/>
              <w:rPr>
                <w:sz w:val="20"/>
                <w:szCs w:val="20"/>
                <w:color w:val="auto"/>
              </w:rPr>
            </w:pPr>
            <w:r>
              <w:rPr>
                <w:rFonts w:ascii="Calibri" w:cs="Calibri" w:eastAsia="Calibri" w:hAnsi="Calibri"/>
                <w:sz w:val="12"/>
                <w:szCs w:val="12"/>
                <w:color w:val="auto"/>
              </w:rPr>
              <w:t>-3.5%</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Fair value through other comprehensive income</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1,035</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rPr>
              <w:t>1,968</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1,405</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-28.6%</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35.7%</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investments</w:t>
            </w: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43"/>
        </w:trPr>
        <w:tc>
          <w:tcPr>
            <w:tcW w:w="304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2"/>
                <w:szCs w:val="12"/>
                <w:color w:val="auto"/>
              </w:rPr>
              <w:t>Property, plant and equipment, net</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8,704</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rPr>
              <w:t>6,233</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5,751</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w w:val="94"/>
              </w:rPr>
              <w:t>-7.7%</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-33.9%</w:t>
            </w:r>
          </w:p>
        </w:tc>
      </w:tr>
      <w:tr>
        <w:trPr>
          <w:trHeight w:val="143"/>
        </w:trPr>
        <w:tc>
          <w:tcPr>
            <w:tcW w:w="3040" w:type="dxa"/>
            <w:vAlign w:val="bottom"/>
            <w:tcBorders>
              <w:left w:val="single" w:sz="8" w:color="auto"/>
              <w:right w:val="single" w:sz="8" w:color="auto"/>
            </w:tcBorders>
          </w:tcPr>
          <w:p>
            <w:pPr>
              <w:ind w:left="160"/>
              <w:spacing w:after="0" w:line="143" w:lineRule="exact"/>
              <w:rPr>
                <w:sz w:val="20"/>
                <w:szCs w:val="20"/>
                <w:color w:val="auto"/>
              </w:rPr>
            </w:pPr>
            <w:r>
              <w:rPr>
                <w:rFonts w:ascii="Calibri" w:cs="Calibri" w:eastAsia="Calibri" w:hAnsi="Calibri"/>
                <w:sz w:val="12"/>
                <w:szCs w:val="12"/>
                <w:color w:val="auto"/>
              </w:rPr>
              <w:t>Other Assets</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227,174</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rPr>
              <w:t>214,822</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212,969</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w w:val="94"/>
              </w:rPr>
              <w:t>-0.9%</w:t>
            </w:r>
          </w:p>
        </w:tc>
        <w:tc>
          <w:tcPr>
            <w:tcW w:w="1000" w:type="dxa"/>
            <w:vAlign w:val="bottom"/>
            <w:tcBorders>
              <w:right w:val="single" w:sz="8" w:color="auto"/>
            </w:tcBorders>
          </w:tcPr>
          <w:p>
            <w:pPr>
              <w:jc w:val="center"/>
              <w:ind w:right="19"/>
              <w:spacing w:after="0" w:line="143" w:lineRule="exact"/>
              <w:rPr>
                <w:sz w:val="20"/>
                <w:szCs w:val="20"/>
                <w:color w:val="auto"/>
              </w:rPr>
            </w:pPr>
            <w:r>
              <w:rPr>
                <w:rFonts w:ascii="Calibri" w:cs="Calibri" w:eastAsia="Calibri" w:hAnsi="Calibri"/>
                <w:sz w:val="12"/>
                <w:szCs w:val="12"/>
                <w:color w:val="auto"/>
              </w:rPr>
              <w:t>-6.3%</w:t>
            </w:r>
          </w:p>
        </w:tc>
      </w:tr>
      <w:tr>
        <w:trPr>
          <w:trHeight w:val="143"/>
        </w:trPr>
        <w:tc>
          <w:tcPr>
            <w:tcW w:w="3040" w:type="dxa"/>
            <w:vAlign w:val="bottom"/>
            <w:tcBorders>
              <w:left w:val="single" w:sz="8" w:color="auto"/>
              <w:right w:val="single" w:sz="8" w:color="auto"/>
            </w:tcBorders>
          </w:tcPr>
          <w:p>
            <w:pPr>
              <w:spacing w:after="0" w:line="143" w:lineRule="exact"/>
              <w:rPr>
                <w:sz w:val="20"/>
                <w:szCs w:val="20"/>
                <w:color w:val="auto"/>
              </w:rPr>
            </w:pPr>
            <w:r>
              <w:rPr>
                <w:rFonts w:ascii="Calibri" w:cs="Calibri" w:eastAsia="Calibri" w:hAnsi="Calibri"/>
                <w:sz w:val="12"/>
                <w:szCs w:val="12"/>
                <w:b w:val="1"/>
                <w:bCs w:val="1"/>
                <w:color w:val="auto"/>
              </w:rPr>
              <w:t>Total Assets</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666,966</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657,798</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587,353</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-10.7%</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-11.9%</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Due to banks and correspondents</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w w:val="97"/>
              </w:rPr>
              <w:t>6</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29</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11</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-62.1%</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83.3%</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Lease payable</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5,172</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rPr>
              <w:t>2,745</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2,401</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-12.5%</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-53.6%</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Other liabilites</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182,283</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rPr>
              <w:t>265,049</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153,573</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-42.1%</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-15.8%</w:t>
            </w:r>
          </w:p>
        </w:tc>
      </w:tr>
      <w:tr>
        <w:trPr>
          <w:trHeight w:val="145"/>
        </w:trPr>
        <w:tc>
          <w:tcPr>
            <w:tcW w:w="3040" w:type="dxa"/>
            <w:vAlign w:val="bottom"/>
            <w:tcBorders>
              <w:left w:val="single" w:sz="8" w:color="auto"/>
              <w:right w:val="single" w:sz="8" w:color="auto"/>
            </w:tcBorders>
          </w:tcPr>
          <w:p>
            <w:pPr>
              <w:spacing w:after="0" w:line="145" w:lineRule="exact"/>
              <w:rPr>
                <w:sz w:val="20"/>
                <w:szCs w:val="20"/>
                <w:color w:val="auto"/>
              </w:rPr>
            </w:pPr>
            <w:r>
              <w:rPr>
                <w:rFonts w:ascii="Calibri" w:cs="Calibri" w:eastAsia="Calibri" w:hAnsi="Calibri"/>
                <w:sz w:val="12"/>
                <w:szCs w:val="12"/>
                <w:b w:val="1"/>
                <w:bCs w:val="1"/>
                <w:color w:val="auto"/>
              </w:rPr>
              <w:t>Total Liabilites</w:t>
            </w:r>
          </w:p>
        </w:tc>
        <w:tc>
          <w:tcPr>
            <w:tcW w:w="126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187,461</w:t>
            </w:r>
          </w:p>
        </w:tc>
        <w:tc>
          <w:tcPr>
            <w:tcW w:w="13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267,823</w:t>
            </w:r>
          </w:p>
        </w:tc>
        <w:tc>
          <w:tcPr>
            <w:tcW w:w="13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155,985</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-41.8%</w:t>
            </w:r>
          </w:p>
        </w:tc>
        <w:tc>
          <w:tcPr>
            <w:tcW w:w="100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-16.8%</w:t>
            </w:r>
          </w:p>
        </w:tc>
      </w:tr>
      <w:tr>
        <w:trPr>
          <w:trHeight w:val="284"/>
        </w:trPr>
        <w:tc>
          <w:tcPr>
            <w:tcW w:w="3040" w:type="dxa"/>
            <w:vAlign w:val="bottom"/>
            <w:tcBorders>
              <w:left w:val="single" w:sz="8" w:color="auto"/>
              <w:right w:val="single" w:sz="8" w:color="auto"/>
            </w:tcBorders>
          </w:tcPr>
          <w:p>
            <w:pPr>
              <w:ind w:left="320"/>
              <w:spacing w:after="0"/>
              <w:rPr>
                <w:sz w:val="20"/>
                <w:szCs w:val="20"/>
                <w:color w:val="auto"/>
              </w:rPr>
            </w:pPr>
            <w:r>
              <w:rPr>
                <w:rFonts w:ascii="Calibri" w:cs="Calibri" w:eastAsia="Calibri" w:hAnsi="Calibri"/>
                <w:sz w:val="12"/>
                <w:szCs w:val="12"/>
                <w:color w:val="auto"/>
              </w:rPr>
              <w:t>Capital stock</w:t>
            </w:r>
          </w:p>
        </w:tc>
        <w:tc>
          <w:tcPr>
            <w:tcW w:w="1260" w:type="dxa"/>
            <w:vAlign w:val="bottom"/>
          </w:tcPr>
          <w:p>
            <w:pPr>
              <w:jc w:val="center"/>
              <w:spacing w:after="0"/>
              <w:rPr>
                <w:sz w:val="20"/>
                <w:szCs w:val="20"/>
                <w:color w:val="auto"/>
              </w:rPr>
            </w:pPr>
            <w:r>
              <w:rPr>
                <w:rFonts w:ascii="Calibri" w:cs="Calibri" w:eastAsia="Calibri" w:hAnsi="Calibri"/>
                <w:sz w:val="12"/>
                <w:szCs w:val="12"/>
                <w:color w:val="auto"/>
              </w:rPr>
              <w:t>40,505</w:t>
            </w:r>
          </w:p>
        </w:tc>
        <w:tc>
          <w:tcPr>
            <w:tcW w:w="1320" w:type="dxa"/>
            <w:vAlign w:val="bottom"/>
          </w:tcPr>
          <w:p>
            <w:pPr>
              <w:jc w:val="center"/>
              <w:spacing w:after="0"/>
              <w:rPr>
                <w:sz w:val="20"/>
                <w:szCs w:val="20"/>
                <w:color w:val="auto"/>
              </w:rPr>
            </w:pPr>
            <w:r>
              <w:rPr>
                <w:rFonts w:ascii="Calibri" w:cs="Calibri" w:eastAsia="Calibri" w:hAnsi="Calibri"/>
                <w:sz w:val="12"/>
                <w:szCs w:val="12"/>
                <w:color w:val="auto"/>
                <w:w w:val="95"/>
              </w:rPr>
              <w:t>40,505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40,505</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0.0%</w:t>
            </w:r>
          </w:p>
        </w:tc>
        <w:tc>
          <w:tcPr>
            <w:tcW w:w="1000" w:type="dxa"/>
            <w:vAlign w:val="bottom"/>
            <w:tcBorders>
              <w:right w:val="single" w:sz="8" w:color="auto"/>
            </w:tcBorders>
          </w:tcPr>
          <w:p>
            <w:pPr>
              <w:jc w:val="center"/>
              <w:ind w:right="19"/>
              <w:spacing w:after="0"/>
              <w:rPr>
                <w:sz w:val="20"/>
                <w:szCs w:val="20"/>
                <w:color w:val="auto"/>
              </w:rPr>
            </w:pPr>
            <w:r>
              <w:rPr>
                <w:rFonts w:ascii="Calibri" w:cs="Calibri" w:eastAsia="Calibri" w:hAnsi="Calibri"/>
                <w:sz w:val="12"/>
                <w:szCs w:val="12"/>
                <w:color w:val="auto"/>
              </w:rPr>
              <w:t>0.0%</w:t>
            </w:r>
          </w:p>
        </w:tc>
      </w:tr>
      <w:tr>
        <w:trPr>
          <w:trHeight w:val="143"/>
        </w:trPr>
        <w:tc>
          <w:tcPr>
            <w:tcW w:w="3040" w:type="dxa"/>
            <w:vAlign w:val="bottom"/>
            <w:tcBorders>
              <w:left w:val="single" w:sz="8" w:color="auto"/>
              <w:right w:val="single" w:sz="8" w:color="auto"/>
            </w:tcBorders>
          </w:tcPr>
          <w:p>
            <w:pPr>
              <w:ind w:left="320"/>
              <w:spacing w:after="0" w:line="143" w:lineRule="exact"/>
              <w:rPr>
                <w:sz w:val="20"/>
                <w:szCs w:val="20"/>
                <w:color w:val="auto"/>
              </w:rPr>
            </w:pPr>
            <w:r>
              <w:rPr>
                <w:rFonts w:ascii="Calibri" w:cs="Calibri" w:eastAsia="Calibri" w:hAnsi="Calibri"/>
                <w:sz w:val="12"/>
                <w:szCs w:val="12"/>
                <w:color w:val="auto"/>
              </w:rPr>
              <w:t>Reserves</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20,243</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w w:val="95"/>
              </w:rPr>
              <w:t>20,243</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20,243</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0.0%</w:t>
            </w:r>
          </w:p>
        </w:tc>
        <w:tc>
          <w:tcPr>
            <w:tcW w:w="1000" w:type="dxa"/>
            <w:vAlign w:val="bottom"/>
            <w:tcBorders>
              <w:right w:val="single" w:sz="8" w:color="auto"/>
            </w:tcBorders>
          </w:tcPr>
          <w:p>
            <w:pPr>
              <w:jc w:val="center"/>
              <w:ind w:right="19"/>
              <w:spacing w:after="0" w:line="143" w:lineRule="exact"/>
              <w:rPr>
                <w:sz w:val="20"/>
                <w:szCs w:val="20"/>
                <w:color w:val="auto"/>
              </w:rPr>
            </w:pPr>
            <w:r>
              <w:rPr>
                <w:rFonts w:ascii="Calibri" w:cs="Calibri" w:eastAsia="Calibri" w:hAnsi="Calibri"/>
                <w:sz w:val="12"/>
                <w:szCs w:val="12"/>
                <w:color w:val="auto"/>
              </w:rPr>
              <w:t>0.0%</w:t>
            </w:r>
          </w:p>
        </w:tc>
      </w:tr>
      <w:tr>
        <w:trPr>
          <w:trHeight w:val="145"/>
        </w:trPr>
        <w:tc>
          <w:tcPr>
            <w:tcW w:w="3040" w:type="dxa"/>
            <w:vAlign w:val="bottom"/>
            <w:tcBorders>
              <w:left w:val="single" w:sz="8" w:color="auto"/>
              <w:right w:val="single" w:sz="8" w:color="auto"/>
            </w:tcBorders>
          </w:tcPr>
          <w:p>
            <w:pPr>
              <w:ind w:left="320"/>
              <w:spacing w:after="0" w:line="145" w:lineRule="exact"/>
              <w:rPr>
                <w:sz w:val="20"/>
                <w:szCs w:val="20"/>
                <w:color w:val="auto"/>
              </w:rPr>
            </w:pPr>
            <w:r>
              <w:rPr>
                <w:rFonts w:ascii="Calibri" w:cs="Calibri" w:eastAsia="Calibri" w:hAnsi="Calibri"/>
                <w:sz w:val="12"/>
                <w:szCs w:val="12"/>
                <w:color w:val="auto"/>
              </w:rPr>
              <w:t>Other reserves</w:t>
            </w:r>
          </w:p>
        </w:tc>
        <w:tc>
          <w:tcPr>
            <w:tcW w:w="126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330</w:t>
            </w:r>
          </w:p>
        </w:tc>
        <w:tc>
          <w:tcPr>
            <w:tcW w:w="1320" w:type="dxa"/>
            <w:vAlign w:val="bottom"/>
          </w:tcPr>
          <w:p>
            <w:pPr>
              <w:jc w:val="center"/>
              <w:spacing w:after="0" w:line="145" w:lineRule="exact"/>
              <w:rPr>
                <w:sz w:val="20"/>
                <w:szCs w:val="20"/>
                <w:color w:val="auto"/>
              </w:rPr>
            </w:pPr>
            <w:r>
              <w:rPr>
                <w:rFonts w:ascii="Calibri" w:cs="Calibri" w:eastAsia="Calibri" w:hAnsi="Calibri"/>
                <w:sz w:val="12"/>
                <w:szCs w:val="12"/>
                <w:color w:val="auto"/>
              </w:rPr>
              <w:t>445</w:t>
            </w:r>
          </w:p>
        </w:tc>
        <w:tc>
          <w:tcPr>
            <w:tcW w:w="13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681</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color w:val="auto"/>
              </w:rPr>
              <w:t>53.0%</w:t>
            </w:r>
          </w:p>
        </w:tc>
        <w:tc>
          <w:tcPr>
            <w:tcW w:w="1000" w:type="dxa"/>
            <w:vAlign w:val="bottom"/>
            <w:tcBorders>
              <w:right w:val="single" w:sz="8" w:color="auto"/>
            </w:tcBorders>
          </w:tcPr>
          <w:p>
            <w:pPr>
              <w:jc w:val="center"/>
              <w:ind w:right="19"/>
              <w:spacing w:after="0" w:line="145" w:lineRule="exact"/>
              <w:rPr>
                <w:sz w:val="20"/>
                <w:szCs w:val="20"/>
                <w:color w:val="auto"/>
              </w:rPr>
            </w:pPr>
            <w:r>
              <w:rPr>
                <w:rFonts w:ascii="Calibri" w:cs="Calibri" w:eastAsia="Calibri" w:hAnsi="Calibri"/>
                <w:sz w:val="12"/>
                <w:szCs w:val="12"/>
                <w:color w:val="auto"/>
              </w:rPr>
              <w:t>106.4%</w:t>
            </w:r>
          </w:p>
        </w:tc>
      </w:tr>
      <w:tr>
        <w:trPr>
          <w:trHeight w:val="284"/>
        </w:trPr>
        <w:tc>
          <w:tcPr>
            <w:tcW w:w="304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2"/>
                <w:szCs w:val="12"/>
                <w:color w:val="auto"/>
              </w:rPr>
              <w:t>Retained earnings</w:t>
            </w:r>
          </w:p>
        </w:tc>
        <w:tc>
          <w:tcPr>
            <w:tcW w:w="1260" w:type="dxa"/>
            <w:vAlign w:val="bottom"/>
          </w:tcPr>
          <w:p>
            <w:pPr>
              <w:jc w:val="center"/>
              <w:spacing w:after="0"/>
              <w:rPr>
                <w:sz w:val="20"/>
                <w:szCs w:val="20"/>
                <w:color w:val="auto"/>
              </w:rPr>
            </w:pPr>
            <w:r>
              <w:rPr>
                <w:rFonts w:ascii="Calibri" w:cs="Calibri" w:eastAsia="Calibri" w:hAnsi="Calibri"/>
                <w:sz w:val="12"/>
                <w:szCs w:val="12"/>
                <w:color w:val="auto"/>
              </w:rPr>
              <w:t>344,510</w:t>
            </w:r>
          </w:p>
        </w:tc>
        <w:tc>
          <w:tcPr>
            <w:tcW w:w="1320" w:type="dxa"/>
            <w:vAlign w:val="bottom"/>
          </w:tcPr>
          <w:p>
            <w:pPr>
              <w:jc w:val="center"/>
              <w:spacing w:after="0"/>
              <w:rPr>
                <w:sz w:val="20"/>
                <w:szCs w:val="20"/>
                <w:color w:val="auto"/>
              </w:rPr>
            </w:pPr>
            <w:r>
              <w:rPr>
                <w:rFonts w:ascii="Calibri" w:cs="Calibri" w:eastAsia="Calibri" w:hAnsi="Calibri"/>
                <w:sz w:val="12"/>
                <w:szCs w:val="12"/>
                <w:color w:val="auto"/>
              </w:rPr>
              <w:t>304,310</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304,309</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0.0%</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-11.7%</w:t>
            </w:r>
          </w:p>
        </w:tc>
      </w:tr>
      <w:tr>
        <w:trPr>
          <w:trHeight w:val="143"/>
        </w:trPr>
        <w:tc>
          <w:tcPr>
            <w:tcW w:w="3040" w:type="dxa"/>
            <w:vAlign w:val="bottom"/>
            <w:tcBorders>
              <w:left w:val="single" w:sz="8" w:color="auto"/>
              <w:right w:val="single" w:sz="8" w:color="auto"/>
            </w:tcBorders>
          </w:tcPr>
          <w:p>
            <w:pPr>
              <w:spacing w:after="0" w:line="143" w:lineRule="exact"/>
              <w:rPr>
                <w:sz w:val="20"/>
                <w:szCs w:val="20"/>
                <w:color w:val="auto"/>
              </w:rPr>
            </w:pPr>
            <w:r>
              <w:rPr>
                <w:rFonts w:ascii="Calibri" w:cs="Calibri" w:eastAsia="Calibri" w:hAnsi="Calibri"/>
                <w:sz w:val="12"/>
                <w:szCs w:val="12"/>
                <w:color w:val="auto"/>
              </w:rPr>
              <w:t>Net Income for the Period</w:t>
            </w:r>
          </w:p>
        </w:tc>
        <w:tc>
          <w:tcPr>
            <w:tcW w:w="1260" w:type="dxa"/>
            <w:vAlign w:val="bottom"/>
          </w:tcPr>
          <w:p>
            <w:pPr>
              <w:jc w:val="center"/>
              <w:spacing w:after="0" w:line="143" w:lineRule="exact"/>
              <w:rPr>
                <w:sz w:val="20"/>
                <w:szCs w:val="20"/>
                <w:color w:val="auto"/>
              </w:rPr>
            </w:pPr>
            <w:r>
              <w:rPr>
                <w:rFonts w:ascii="Calibri" w:cs="Calibri" w:eastAsia="Calibri" w:hAnsi="Calibri"/>
                <w:sz w:val="12"/>
                <w:szCs w:val="12"/>
                <w:color w:val="auto"/>
              </w:rPr>
              <w:t>73,917</w:t>
            </w:r>
          </w:p>
        </w:tc>
        <w:tc>
          <w:tcPr>
            <w:tcW w:w="1320" w:type="dxa"/>
            <w:vAlign w:val="bottom"/>
          </w:tcPr>
          <w:p>
            <w:pPr>
              <w:jc w:val="center"/>
              <w:spacing w:after="0" w:line="143" w:lineRule="exact"/>
              <w:rPr>
                <w:sz w:val="20"/>
                <w:szCs w:val="20"/>
                <w:color w:val="auto"/>
              </w:rPr>
            </w:pPr>
            <w:r>
              <w:rPr>
                <w:rFonts w:ascii="Calibri" w:cs="Calibri" w:eastAsia="Calibri" w:hAnsi="Calibri"/>
                <w:sz w:val="12"/>
                <w:szCs w:val="12"/>
                <w:color w:val="auto"/>
                <w:w w:val="95"/>
              </w:rPr>
              <w:t>24,472</w:t>
            </w:r>
          </w:p>
        </w:tc>
        <w:tc>
          <w:tcPr>
            <w:tcW w:w="136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65,630</w:t>
            </w:r>
          </w:p>
        </w:tc>
        <w:tc>
          <w:tcPr>
            <w:tcW w:w="1020" w:type="dxa"/>
            <w:vAlign w:val="bottom"/>
          </w:tcPr>
          <w:p>
            <w:pPr>
              <w:jc w:val="center"/>
              <w:spacing w:after="0" w:line="143" w:lineRule="exact"/>
              <w:rPr>
                <w:sz w:val="20"/>
                <w:szCs w:val="20"/>
                <w:color w:val="auto"/>
              </w:rPr>
            </w:pPr>
            <w:r>
              <w:rPr>
                <w:rFonts w:ascii="Calibri" w:cs="Calibri" w:eastAsia="Calibri" w:hAnsi="Calibri"/>
                <w:sz w:val="12"/>
                <w:szCs w:val="12"/>
                <w:color w:val="auto"/>
              </w:rPr>
              <w:t>168.2%</w:t>
            </w:r>
          </w:p>
        </w:tc>
        <w:tc>
          <w:tcPr>
            <w:tcW w:w="10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-11.2%</w:t>
            </w:r>
          </w:p>
        </w:tc>
      </w:tr>
      <w:tr>
        <w:trPr>
          <w:trHeight w:val="150"/>
        </w:trPr>
        <w:tc>
          <w:tcPr>
            <w:tcW w:w="3040" w:type="dxa"/>
            <w:vAlign w:val="bottom"/>
            <w:tcBorders>
              <w:left w:val="single" w:sz="8" w:color="auto"/>
              <w:bottom w:val="single" w:sz="8" w:color="auto"/>
              <w:right w:val="single" w:sz="8" w:color="auto"/>
            </w:tcBorders>
          </w:tcPr>
          <w:p>
            <w:pPr>
              <w:spacing w:after="0" w:line="145" w:lineRule="exact"/>
              <w:rPr>
                <w:sz w:val="20"/>
                <w:szCs w:val="20"/>
                <w:color w:val="auto"/>
              </w:rPr>
            </w:pPr>
            <w:r>
              <w:rPr>
                <w:rFonts w:ascii="Calibri" w:cs="Calibri" w:eastAsia="Calibri" w:hAnsi="Calibri"/>
                <w:sz w:val="12"/>
                <w:szCs w:val="12"/>
                <w:b w:val="1"/>
                <w:bCs w:val="1"/>
                <w:color w:val="auto"/>
              </w:rPr>
              <w:t>Total Liabilites and Equity</w:t>
            </w:r>
          </w:p>
        </w:tc>
        <w:tc>
          <w:tcPr>
            <w:tcW w:w="126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666,966</w:t>
            </w:r>
          </w:p>
        </w:tc>
        <w:tc>
          <w:tcPr>
            <w:tcW w:w="132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657,798</w:t>
            </w:r>
          </w:p>
        </w:tc>
        <w:tc>
          <w:tcPr>
            <w:tcW w:w="136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587,353</w:t>
            </w:r>
          </w:p>
        </w:tc>
        <w:tc>
          <w:tcPr>
            <w:tcW w:w="102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-10.7%</w:t>
            </w:r>
          </w:p>
        </w:tc>
        <w:tc>
          <w:tcPr>
            <w:tcW w:w="100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-11.9%</w:t>
            </w:r>
          </w:p>
        </w:tc>
      </w:tr>
    </w:tbl>
    <w:p>
      <w:pPr>
        <w:spacing w:after="0" w:line="17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Income</w:t>
      </w:r>
    </w:p>
    <w:p>
      <w:pPr>
        <w:jc w:val="center"/>
        <w:spacing w:after="0" w:line="237" w:lineRule="auto"/>
        <w:rPr>
          <w:sz w:val="20"/>
          <w:szCs w:val="20"/>
          <w:color w:val="auto"/>
        </w:rPr>
      </w:pPr>
      <w:r>
        <w:rPr>
          <w:rFonts w:ascii="Calibri" w:cs="Calibri" w:eastAsia="Calibri" w:hAnsi="Calibri"/>
          <w:sz w:val="16"/>
          <w:szCs w:val="16"/>
          <w:b w:val="1"/>
          <w:bCs w:val="1"/>
          <w:color w:val="auto"/>
        </w:rPr>
        <w:t>(S/ Thousands, IFRS)</w:t>
      </w:r>
    </w:p>
    <w:p>
      <w:pPr>
        <w:spacing w:after="0" w:line="203" w:lineRule="exact"/>
        <w:rPr>
          <w:sz w:val="20"/>
          <w:szCs w:val="20"/>
          <w:color w:val="auto"/>
        </w:rPr>
      </w:pPr>
    </w:p>
    <w:tbl>
      <w:tblPr>
        <w:tblLayout w:type="fixed"/>
        <w:tblInd w:w="310" w:type="dxa"/>
        <w:tblCellMar>
          <w:top w:w="0" w:type="dxa"/>
          <w:left w:w="0" w:type="dxa"/>
          <w:bottom w:w="0" w:type="dxa"/>
          <w:right w:w="0" w:type="dxa"/>
        </w:tblCellMar>
      </w:tblPr>
      <w:tr>
        <w:trPr>
          <w:trHeight w:val="143"/>
        </w:trPr>
        <w:tc>
          <w:tcPr>
            <w:tcW w:w="418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760" w:type="dxa"/>
            <w:vAlign w:val="bottom"/>
            <w:tcBorders>
              <w:top w:val="single" w:sz="8" w:color="auto"/>
            </w:tcBorders>
            <w:shd w:val="clear" w:color="auto" w:fill="33CCCC"/>
          </w:tcPr>
          <w:p>
            <w:pPr>
              <w:spacing w:after="0"/>
              <w:rPr>
                <w:sz w:val="12"/>
                <w:szCs w:val="12"/>
                <w:color w:val="auto"/>
              </w:rPr>
            </w:pPr>
          </w:p>
        </w:tc>
        <w:tc>
          <w:tcPr>
            <w:tcW w:w="780" w:type="dxa"/>
            <w:vAlign w:val="bottom"/>
            <w:tcBorders>
              <w:top w:val="single" w:sz="8" w:color="auto"/>
            </w:tcBorders>
            <w:shd w:val="clear" w:color="auto" w:fill="33CCCC"/>
          </w:tcPr>
          <w:p>
            <w:pPr>
              <w:ind w:left="200"/>
              <w:spacing w:after="0"/>
              <w:rPr>
                <w:sz w:val="20"/>
                <w:szCs w:val="20"/>
                <w:color w:val="auto"/>
              </w:rPr>
            </w:pPr>
            <w:r>
              <w:rPr>
                <w:rFonts w:ascii="Calibri" w:cs="Calibri" w:eastAsia="Calibri" w:hAnsi="Calibri"/>
                <w:sz w:val="11"/>
                <w:szCs w:val="11"/>
                <w:b w:val="1"/>
                <w:bCs w:val="1"/>
                <w:color w:val="FFFFFF"/>
              </w:rPr>
              <w:t>Quarter</w:t>
            </w:r>
          </w:p>
        </w:tc>
        <w:tc>
          <w:tcPr>
            <w:tcW w:w="800" w:type="dxa"/>
            <w:vAlign w:val="bottom"/>
            <w:tcBorders>
              <w:top w:val="single" w:sz="8" w:color="auto"/>
              <w:right w:val="single" w:sz="8" w:color="auto"/>
            </w:tcBorders>
            <w:shd w:val="clear" w:color="auto" w:fill="33CCCC"/>
          </w:tcPr>
          <w:p>
            <w:pPr>
              <w:spacing w:after="0"/>
              <w:rPr>
                <w:sz w:val="12"/>
                <w:szCs w:val="12"/>
                <w:color w:val="auto"/>
              </w:rPr>
            </w:pPr>
          </w:p>
        </w:tc>
        <w:tc>
          <w:tcPr>
            <w:tcW w:w="980" w:type="dxa"/>
            <w:vAlign w:val="bottom"/>
            <w:tcBorders>
              <w:top w:val="single" w:sz="8" w:color="auto"/>
            </w:tcBorders>
            <w:shd w:val="clear" w:color="auto" w:fill="33CCCC"/>
          </w:tcPr>
          <w:p>
            <w:pPr>
              <w:ind w:left="540"/>
              <w:spacing w:after="0"/>
              <w:rPr>
                <w:sz w:val="20"/>
                <w:szCs w:val="20"/>
                <w:color w:val="auto"/>
              </w:rPr>
            </w:pPr>
            <w:r>
              <w:rPr>
                <w:rFonts w:ascii="Calibri" w:cs="Calibri" w:eastAsia="Calibri" w:hAnsi="Calibri"/>
                <w:sz w:val="11"/>
                <w:szCs w:val="11"/>
                <w:b w:val="1"/>
                <w:bCs w:val="1"/>
                <w:color w:val="FFFFFF"/>
                <w:w w:val="97"/>
              </w:rPr>
              <w:t>% change</w:t>
            </w:r>
          </w:p>
        </w:tc>
        <w:tc>
          <w:tcPr>
            <w:tcW w:w="580" w:type="dxa"/>
            <w:vAlign w:val="bottom"/>
            <w:tcBorders>
              <w:top w:val="single" w:sz="8" w:color="auto"/>
              <w:right w:val="single" w:sz="8" w:color="auto"/>
            </w:tcBorders>
            <w:shd w:val="clear" w:color="auto" w:fill="33CCCC"/>
          </w:tcPr>
          <w:p>
            <w:pPr>
              <w:spacing w:after="0"/>
              <w:rPr>
                <w:sz w:val="12"/>
                <w:szCs w:val="12"/>
                <w:color w:val="auto"/>
              </w:rPr>
            </w:pPr>
          </w:p>
        </w:tc>
        <w:tc>
          <w:tcPr>
            <w:tcW w:w="600" w:type="dxa"/>
            <w:vAlign w:val="bottom"/>
            <w:tcBorders>
              <w:top w:val="single" w:sz="8" w:color="auto"/>
            </w:tcBorders>
            <w:shd w:val="clear" w:color="auto" w:fill="33CCCC"/>
          </w:tcPr>
          <w:p>
            <w:pPr>
              <w:spacing w:after="0"/>
              <w:rPr>
                <w:sz w:val="12"/>
                <w:szCs w:val="12"/>
                <w:color w:val="auto"/>
              </w:rPr>
            </w:pPr>
          </w:p>
        </w:tc>
        <w:tc>
          <w:tcPr>
            <w:tcW w:w="96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1"/>
                <w:szCs w:val="11"/>
                <w:b w:val="1"/>
                <w:bCs w:val="1"/>
                <w:color w:val="FFFFFF"/>
              </w:rPr>
              <w:t>Up to</w:t>
            </w:r>
          </w:p>
        </w:tc>
        <w:tc>
          <w:tcPr>
            <w:tcW w:w="10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 change</w:t>
            </w:r>
          </w:p>
        </w:tc>
      </w:tr>
      <w:tr>
        <w:trPr>
          <w:trHeight w:val="130"/>
        </w:trPr>
        <w:tc>
          <w:tcPr>
            <w:tcW w:w="418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76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2Q24</w:t>
            </w:r>
          </w:p>
        </w:tc>
        <w:tc>
          <w:tcPr>
            <w:tcW w:w="780" w:type="dxa"/>
            <w:vAlign w:val="bottom"/>
            <w:tcBorders>
              <w:bottom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w w:val="98"/>
              </w:rPr>
              <w:t>1Q25</w:t>
            </w:r>
          </w:p>
        </w:tc>
        <w:tc>
          <w:tcPr>
            <w:tcW w:w="80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w w:val="98"/>
              </w:rPr>
              <w:t>2Q25</w:t>
            </w:r>
          </w:p>
        </w:tc>
        <w:tc>
          <w:tcPr>
            <w:tcW w:w="980" w:type="dxa"/>
            <w:vAlign w:val="bottom"/>
            <w:tcBorders>
              <w:bottom w:val="single" w:sz="8" w:color="auto"/>
            </w:tcBorders>
            <w:shd w:val="clear" w:color="auto" w:fill="33CCCC"/>
          </w:tcPr>
          <w:p>
            <w:pPr>
              <w:jc w:val="center"/>
              <w:ind w:right="184"/>
              <w:spacing w:after="0" w:line="130" w:lineRule="exact"/>
              <w:rPr>
                <w:sz w:val="20"/>
                <w:szCs w:val="20"/>
                <w:color w:val="auto"/>
              </w:rPr>
            </w:pPr>
            <w:r>
              <w:rPr>
                <w:rFonts w:ascii="Calibri" w:cs="Calibri" w:eastAsia="Calibri" w:hAnsi="Calibri"/>
                <w:sz w:val="11"/>
                <w:szCs w:val="11"/>
                <w:b w:val="1"/>
                <w:bCs w:val="1"/>
                <w:color w:val="FFFFFF"/>
              </w:rPr>
              <w:t>QoQ</w:t>
            </w:r>
          </w:p>
        </w:tc>
        <w:tc>
          <w:tcPr>
            <w:tcW w:w="580" w:type="dxa"/>
            <w:vAlign w:val="bottom"/>
            <w:tcBorders>
              <w:bottom w:val="single" w:sz="8" w:color="auto"/>
              <w:right w:val="single" w:sz="8" w:color="auto"/>
            </w:tcBorders>
            <w:shd w:val="clear" w:color="auto" w:fill="33CCCC"/>
          </w:tcPr>
          <w:p>
            <w:pPr>
              <w:ind w:left="80"/>
              <w:spacing w:after="0" w:line="130" w:lineRule="exact"/>
              <w:rPr>
                <w:sz w:val="20"/>
                <w:szCs w:val="20"/>
                <w:color w:val="auto"/>
              </w:rPr>
            </w:pPr>
            <w:r>
              <w:rPr>
                <w:rFonts w:ascii="Calibri" w:cs="Calibri" w:eastAsia="Calibri" w:hAnsi="Calibri"/>
                <w:sz w:val="11"/>
                <w:szCs w:val="11"/>
                <w:b w:val="1"/>
                <w:bCs w:val="1"/>
                <w:color w:val="FFFFFF"/>
              </w:rPr>
              <w:t>YoY</w:t>
            </w:r>
          </w:p>
        </w:tc>
        <w:tc>
          <w:tcPr>
            <w:tcW w:w="600" w:type="dxa"/>
            <w:vAlign w:val="bottom"/>
            <w:tcBorders>
              <w:bottom w:val="single" w:sz="8" w:color="auto"/>
            </w:tcBorders>
            <w:shd w:val="clear" w:color="auto" w:fill="33CCCC"/>
          </w:tcPr>
          <w:p>
            <w:pPr>
              <w:jc w:val="center"/>
              <w:ind w:left="84"/>
              <w:spacing w:after="0" w:line="130" w:lineRule="exact"/>
              <w:rPr>
                <w:sz w:val="20"/>
                <w:szCs w:val="20"/>
                <w:color w:val="auto"/>
              </w:rPr>
            </w:pPr>
            <w:r>
              <w:rPr>
                <w:rFonts w:ascii="Calibri" w:cs="Calibri" w:eastAsia="Calibri" w:hAnsi="Calibri"/>
                <w:sz w:val="11"/>
                <w:szCs w:val="11"/>
                <w:b w:val="1"/>
                <w:bCs w:val="1"/>
                <w:color w:val="FFFFFF"/>
              </w:rPr>
              <w:t>Jun 24</w:t>
            </w:r>
          </w:p>
        </w:tc>
        <w:tc>
          <w:tcPr>
            <w:tcW w:w="960" w:type="dxa"/>
            <w:vAlign w:val="bottom"/>
            <w:tcBorders>
              <w:bottom w:val="single" w:sz="8" w:color="auto"/>
              <w:right w:val="single" w:sz="8" w:color="auto"/>
            </w:tcBorders>
            <w:shd w:val="clear" w:color="auto" w:fill="33CCCC"/>
          </w:tcPr>
          <w:p>
            <w:pPr>
              <w:jc w:val="center"/>
              <w:ind w:left="84"/>
              <w:spacing w:after="0" w:line="130" w:lineRule="exact"/>
              <w:rPr>
                <w:sz w:val="20"/>
                <w:szCs w:val="20"/>
                <w:color w:val="auto"/>
              </w:rPr>
            </w:pPr>
            <w:r>
              <w:rPr>
                <w:rFonts w:ascii="Calibri" w:cs="Calibri" w:eastAsia="Calibri" w:hAnsi="Calibri"/>
                <w:sz w:val="11"/>
                <w:szCs w:val="11"/>
                <w:b w:val="1"/>
                <w:bCs w:val="1"/>
                <w:color w:val="FFFFFF"/>
              </w:rPr>
              <w:t>Jun 25</w:t>
            </w:r>
          </w:p>
        </w:tc>
        <w:tc>
          <w:tcPr>
            <w:tcW w:w="1020" w:type="dxa"/>
            <w:vAlign w:val="bottom"/>
            <w:tcBorders>
              <w:bottom w:val="single" w:sz="8" w:color="auto"/>
              <w:right w:val="single" w:sz="8" w:color="auto"/>
            </w:tcBorders>
            <w:shd w:val="clear" w:color="auto" w:fill="33CCCC"/>
          </w:tcPr>
          <w:p>
            <w:pPr>
              <w:jc w:val="center"/>
              <w:spacing w:after="0" w:line="130" w:lineRule="exact"/>
              <w:rPr>
                <w:sz w:val="20"/>
                <w:szCs w:val="20"/>
                <w:color w:val="auto"/>
              </w:rPr>
            </w:pPr>
            <w:r>
              <w:rPr>
                <w:rFonts w:ascii="Calibri" w:cs="Calibri" w:eastAsia="Calibri" w:hAnsi="Calibri"/>
                <w:sz w:val="11"/>
                <w:szCs w:val="11"/>
                <w:b w:val="1"/>
                <w:bCs w:val="1"/>
                <w:color w:val="FFFFFF"/>
              </w:rPr>
              <w:t>Jun 25 / Jun 24</w:t>
            </w:r>
          </w:p>
        </w:tc>
      </w:tr>
      <w:tr>
        <w:trPr>
          <w:trHeight w:val="108"/>
        </w:trPr>
        <w:tc>
          <w:tcPr>
            <w:tcW w:w="4180" w:type="dxa"/>
            <w:vAlign w:val="bottom"/>
            <w:tcBorders>
              <w:left w:val="single" w:sz="8" w:color="auto"/>
              <w:right w:val="single" w:sz="8" w:color="auto"/>
            </w:tcBorders>
          </w:tcPr>
          <w:p>
            <w:pPr>
              <w:spacing w:after="0" w:line="108" w:lineRule="exact"/>
              <w:rPr>
                <w:sz w:val="20"/>
                <w:szCs w:val="20"/>
                <w:color w:val="auto"/>
              </w:rPr>
            </w:pPr>
            <w:r>
              <w:rPr>
                <w:rFonts w:ascii="Calibri" w:cs="Calibri" w:eastAsia="Calibri" w:hAnsi="Calibri"/>
                <w:sz w:val="11"/>
                <w:szCs w:val="11"/>
                <w:color w:val="auto"/>
              </w:rPr>
              <w:t>Financial income</w:t>
            </w:r>
          </w:p>
        </w:tc>
        <w:tc>
          <w:tcPr>
            <w:tcW w:w="760" w:type="dxa"/>
            <w:vAlign w:val="bottom"/>
          </w:tcPr>
          <w:p>
            <w:pPr>
              <w:jc w:val="center"/>
              <w:spacing w:after="0" w:line="108" w:lineRule="exact"/>
              <w:rPr>
                <w:sz w:val="20"/>
                <w:szCs w:val="20"/>
                <w:color w:val="auto"/>
              </w:rPr>
            </w:pPr>
            <w:r>
              <w:rPr>
                <w:rFonts w:ascii="Calibri" w:cs="Calibri" w:eastAsia="Calibri" w:hAnsi="Calibri"/>
                <w:sz w:val="11"/>
                <w:szCs w:val="11"/>
                <w:color w:val="auto"/>
              </w:rPr>
              <w:t>816</w:t>
            </w:r>
          </w:p>
        </w:tc>
        <w:tc>
          <w:tcPr>
            <w:tcW w:w="780" w:type="dxa"/>
            <w:vAlign w:val="bottom"/>
          </w:tcPr>
          <w:p>
            <w:pPr>
              <w:jc w:val="center"/>
              <w:spacing w:after="0" w:line="108" w:lineRule="exact"/>
              <w:rPr>
                <w:sz w:val="20"/>
                <w:szCs w:val="20"/>
                <w:color w:val="auto"/>
              </w:rPr>
            </w:pPr>
            <w:r>
              <w:rPr>
                <w:rFonts w:ascii="Calibri" w:cs="Calibri" w:eastAsia="Calibri" w:hAnsi="Calibri"/>
                <w:sz w:val="11"/>
                <w:szCs w:val="11"/>
                <w:color w:val="auto"/>
              </w:rPr>
              <w:t>1,481</w:t>
            </w:r>
          </w:p>
        </w:tc>
        <w:tc>
          <w:tcPr>
            <w:tcW w:w="80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557</w:t>
            </w:r>
          </w:p>
        </w:tc>
        <w:tc>
          <w:tcPr>
            <w:tcW w:w="980" w:type="dxa"/>
            <w:vAlign w:val="bottom"/>
          </w:tcPr>
          <w:p>
            <w:pPr>
              <w:jc w:val="center"/>
              <w:ind w:right="184"/>
              <w:spacing w:after="0" w:line="108" w:lineRule="exact"/>
              <w:rPr>
                <w:sz w:val="20"/>
                <w:szCs w:val="20"/>
                <w:color w:val="auto"/>
              </w:rPr>
            </w:pPr>
            <w:r>
              <w:rPr>
                <w:rFonts w:ascii="Calibri" w:cs="Calibri" w:eastAsia="Calibri" w:hAnsi="Calibri"/>
                <w:sz w:val="11"/>
                <w:szCs w:val="11"/>
                <w:color w:val="auto"/>
                <w:w w:val="97"/>
              </w:rPr>
              <w:t>-62.4%</w:t>
            </w:r>
          </w:p>
        </w:tc>
        <w:tc>
          <w:tcPr>
            <w:tcW w:w="580" w:type="dxa"/>
            <w:vAlign w:val="bottom"/>
            <w:tcBorders>
              <w:right w:val="single" w:sz="8" w:color="auto"/>
            </w:tcBorders>
          </w:tcPr>
          <w:p>
            <w:pPr>
              <w:jc w:val="center"/>
              <w:ind w:right="204"/>
              <w:spacing w:after="0" w:line="108" w:lineRule="exact"/>
              <w:rPr>
                <w:sz w:val="20"/>
                <w:szCs w:val="20"/>
                <w:color w:val="auto"/>
              </w:rPr>
            </w:pPr>
            <w:r>
              <w:rPr>
                <w:rFonts w:ascii="Calibri" w:cs="Calibri" w:eastAsia="Calibri" w:hAnsi="Calibri"/>
                <w:sz w:val="11"/>
                <w:szCs w:val="11"/>
                <w:color w:val="auto"/>
              </w:rPr>
              <w:t>-31.7%</w:t>
            </w:r>
          </w:p>
        </w:tc>
        <w:tc>
          <w:tcPr>
            <w:tcW w:w="600" w:type="dxa"/>
            <w:vAlign w:val="bottom"/>
          </w:tcPr>
          <w:p>
            <w:pPr>
              <w:jc w:val="center"/>
              <w:ind w:left="84"/>
              <w:spacing w:after="0" w:line="108" w:lineRule="exact"/>
              <w:rPr>
                <w:sz w:val="20"/>
                <w:szCs w:val="20"/>
                <w:color w:val="auto"/>
              </w:rPr>
            </w:pPr>
            <w:r>
              <w:rPr>
                <w:rFonts w:ascii="Calibri" w:cs="Calibri" w:eastAsia="Calibri" w:hAnsi="Calibri"/>
                <w:sz w:val="11"/>
                <w:szCs w:val="11"/>
                <w:color w:val="auto"/>
              </w:rPr>
              <w:t>2,463</w:t>
            </w:r>
          </w:p>
        </w:tc>
        <w:tc>
          <w:tcPr>
            <w:tcW w:w="960" w:type="dxa"/>
            <w:vAlign w:val="bottom"/>
            <w:tcBorders>
              <w:right w:val="single" w:sz="8" w:color="auto"/>
            </w:tcBorders>
          </w:tcPr>
          <w:p>
            <w:pPr>
              <w:jc w:val="center"/>
              <w:ind w:left="84"/>
              <w:spacing w:after="0" w:line="108" w:lineRule="exact"/>
              <w:rPr>
                <w:sz w:val="20"/>
                <w:szCs w:val="20"/>
                <w:color w:val="auto"/>
              </w:rPr>
            </w:pPr>
            <w:r>
              <w:rPr>
                <w:rFonts w:ascii="Calibri" w:cs="Calibri" w:eastAsia="Calibri" w:hAnsi="Calibri"/>
                <w:sz w:val="11"/>
                <w:szCs w:val="11"/>
                <w:color w:val="auto"/>
              </w:rPr>
              <w:t>2,038</w:t>
            </w:r>
          </w:p>
        </w:tc>
        <w:tc>
          <w:tcPr>
            <w:tcW w:w="1020" w:type="dxa"/>
            <w:vAlign w:val="bottom"/>
            <w:tcBorders>
              <w:right w:val="single" w:sz="8" w:color="auto"/>
            </w:tcBorders>
          </w:tcPr>
          <w:p>
            <w:pPr>
              <w:jc w:val="center"/>
              <w:spacing w:after="0" w:line="108" w:lineRule="exact"/>
              <w:rPr>
                <w:sz w:val="20"/>
                <w:szCs w:val="20"/>
                <w:color w:val="auto"/>
              </w:rPr>
            </w:pPr>
            <w:r>
              <w:rPr>
                <w:rFonts w:ascii="Calibri" w:cs="Calibri" w:eastAsia="Calibri" w:hAnsi="Calibri"/>
                <w:sz w:val="11"/>
                <w:szCs w:val="11"/>
                <w:color w:val="auto"/>
              </w:rPr>
              <w:t>-17.3%</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Financial expenses</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w w:val="93"/>
              </w:rPr>
              <w:t>(779)</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rPr>
              <w:t>(453)</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(518)</w:t>
            </w:r>
          </w:p>
        </w:tc>
        <w:tc>
          <w:tcPr>
            <w:tcW w:w="980" w:type="dxa"/>
            <w:vAlign w:val="bottom"/>
          </w:tcPr>
          <w:p>
            <w:pPr>
              <w:jc w:val="center"/>
              <w:ind w:right="164"/>
              <w:spacing w:after="0" w:line="130" w:lineRule="exact"/>
              <w:rPr>
                <w:sz w:val="20"/>
                <w:szCs w:val="20"/>
                <w:color w:val="auto"/>
              </w:rPr>
            </w:pPr>
            <w:r>
              <w:rPr>
                <w:rFonts w:ascii="Calibri" w:cs="Calibri" w:eastAsia="Calibri" w:hAnsi="Calibri"/>
                <w:sz w:val="11"/>
                <w:szCs w:val="11"/>
                <w:color w:val="auto"/>
              </w:rPr>
              <w:t>14.3%</w:t>
            </w:r>
          </w:p>
        </w:tc>
        <w:tc>
          <w:tcPr>
            <w:tcW w:w="580" w:type="dxa"/>
            <w:vAlign w:val="bottom"/>
            <w:tcBorders>
              <w:right w:val="single" w:sz="8" w:color="auto"/>
            </w:tcBorders>
          </w:tcPr>
          <w:p>
            <w:pPr>
              <w:jc w:val="center"/>
              <w:ind w:right="204"/>
              <w:spacing w:after="0" w:line="130" w:lineRule="exact"/>
              <w:rPr>
                <w:sz w:val="20"/>
                <w:szCs w:val="20"/>
                <w:color w:val="auto"/>
              </w:rPr>
            </w:pPr>
            <w:r>
              <w:rPr>
                <w:rFonts w:ascii="Calibri" w:cs="Calibri" w:eastAsia="Calibri" w:hAnsi="Calibri"/>
                <w:sz w:val="11"/>
                <w:szCs w:val="11"/>
                <w:color w:val="auto"/>
              </w:rPr>
              <w:t>-33.5%</w:t>
            </w:r>
          </w:p>
        </w:tc>
        <w:tc>
          <w:tcPr>
            <w:tcW w:w="600" w:type="dxa"/>
            <w:vAlign w:val="bottom"/>
          </w:tcPr>
          <w:p>
            <w:pPr>
              <w:jc w:val="center"/>
              <w:ind w:left="104"/>
              <w:spacing w:after="0" w:line="130" w:lineRule="exact"/>
              <w:rPr>
                <w:sz w:val="20"/>
                <w:szCs w:val="20"/>
                <w:color w:val="auto"/>
              </w:rPr>
            </w:pPr>
            <w:r>
              <w:rPr>
                <w:rFonts w:ascii="Calibri" w:cs="Calibri" w:eastAsia="Calibri" w:hAnsi="Calibri"/>
                <w:sz w:val="11"/>
                <w:szCs w:val="11"/>
                <w:color w:val="auto"/>
              </w:rPr>
              <w:t>(1,246)</w:t>
            </w:r>
          </w:p>
        </w:tc>
        <w:tc>
          <w:tcPr>
            <w:tcW w:w="960" w:type="dxa"/>
            <w:vAlign w:val="bottom"/>
            <w:tcBorders>
              <w:right w:val="single" w:sz="8" w:color="auto"/>
            </w:tcBorders>
          </w:tcPr>
          <w:p>
            <w:pPr>
              <w:jc w:val="center"/>
              <w:ind w:left="64"/>
              <w:spacing w:after="0" w:line="130" w:lineRule="exact"/>
              <w:rPr>
                <w:sz w:val="20"/>
                <w:szCs w:val="20"/>
                <w:color w:val="auto"/>
              </w:rPr>
            </w:pPr>
            <w:r>
              <w:rPr>
                <w:rFonts w:ascii="Calibri" w:cs="Calibri" w:eastAsia="Calibri" w:hAnsi="Calibri"/>
                <w:sz w:val="11"/>
                <w:szCs w:val="11"/>
                <w:color w:val="auto"/>
              </w:rPr>
              <w:t>(971)</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-22.1%</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b w:val="1"/>
                <w:bCs w:val="1"/>
                <w:color w:val="auto"/>
              </w:rPr>
              <w:t>Interest income, net</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89"/>
              </w:rPr>
              <w:t>37</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1,028</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39</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b w:val="1"/>
                <w:bCs w:val="1"/>
                <w:color w:val="auto"/>
              </w:rPr>
              <w:t>n.a.</w:t>
            </w:r>
          </w:p>
        </w:tc>
        <w:tc>
          <w:tcPr>
            <w:tcW w:w="580" w:type="dxa"/>
            <w:vAlign w:val="bottom"/>
            <w:tcBorders>
              <w:right w:val="single" w:sz="8" w:color="auto"/>
            </w:tcBorders>
          </w:tcPr>
          <w:p>
            <w:pPr>
              <w:jc w:val="center"/>
              <w:ind w:right="184"/>
              <w:spacing w:after="0" w:line="130" w:lineRule="exact"/>
              <w:rPr>
                <w:sz w:val="20"/>
                <w:szCs w:val="20"/>
                <w:color w:val="auto"/>
              </w:rPr>
            </w:pPr>
            <w:r>
              <w:rPr>
                <w:rFonts w:ascii="Calibri" w:cs="Calibri" w:eastAsia="Calibri" w:hAnsi="Calibri"/>
                <w:sz w:val="11"/>
                <w:szCs w:val="11"/>
                <w:b w:val="1"/>
                <w:bCs w:val="1"/>
                <w:color w:val="auto"/>
                <w:w w:val="99"/>
              </w:rPr>
              <w:t>5.4%</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b w:val="1"/>
                <w:bCs w:val="1"/>
                <w:color w:val="auto"/>
              </w:rPr>
              <w:t>1,217</w:t>
            </w:r>
          </w:p>
        </w:tc>
        <w:tc>
          <w:tcPr>
            <w:tcW w:w="960" w:type="dxa"/>
            <w:vAlign w:val="bottom"/>
            <w:tcBorders>
              <w:right w:val="single" w:sz="8" w:color="auto"/>
            </w:tcBorders>
          </w:tcPr>
          <w:p>
            <w:pPr>
              <w:jc w:val="center"/>
              <w:ind w:left="84"/>
              <w:spacing w:after="0" w:line="130" w:lineRule="exact"/>
              <w:rPr>
                <w:sz w:val="20"/>
                <w:szCs w:val="20"/>
                <w:color w:val="auto"/>
              </w:rPr>
            </w:pPr>
            <w:r>
              <w:rPr>
                <w:rFonts w:ascii="Calibri" w:cs="Calibri" w:eastAsia="Calibri" w:hAnsi="Calibri"/>
                <w:sz w:val="11"/>
                <w:szCs w:val="11"/>
                <w:b w:val="1"/>
                <w:bCs w:val="1"/>
                <w:color w:val="auto"/>
              </w:rPr>
              <w:t>1,067</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-12.3%</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Fee income</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w w:val="97"/>
              </w:rPr>
              <w:t>99,103</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rPr>
              <w:t>94,072</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97,233</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color w:val="auto"/>
              </w:rPr>
              <w:t>3.4%</w:t>
            </w:r>
          </w:p>
        </w:tc>
        <w:tc>
          <w:tcPr>
            <w:tcW w:w="580" w:type="dxa"/>
            <w:vAlign w:val="bottom"/>
            <w:tcBorders>
              <w:right w:val="single" w:sz="8" w:color="auto"/>
            </w:tcBorders>
          </w:tcPr>
          <w:p>
            <w:pPr>
              <w:jc w:val="center"/>
              <w:ind w:right="184"/>
              <w:spacing w:after="0" w:line="130" w:lineRule="exact"/>
              <w:rPr>
                <w:sz w:val="20"/>
                <w:szCs w:val="20"/>
                <w:color w:val="auto"/>
              </w:rPr>
            </w:pPr>
            <w:r>
              <w:rPr>
                <w:rFonts w:ascii="Calibri" w:cs="Calibri" w:eastAsia="Calibri" w:hAnsi="Calibri"/>
                <w:sz w:val="11"/>
                <w:szCs w:val="11"/>
                <w:color w:val="auto"/>
              </w:rPr>
              <w:t>-1.9%</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color w:val="auto"/>
              </w:rPr>
              <w:t>193,630</w:t>
            </w:r>
          </w:p>
        </w:tc>
        <w:tc>
          <w:tcPr>
            <w:tcW w:w="960" w:type="dxa"/>
            <w:vAlign w:val="bottom"/>
            <w:tcBorders>
              <w:right w:val="single" w:sz="8" w:color="auto"/>
            </w:tcBorders>
          </w:tcPr>
          <w:p>
            <w:pPr>
              <w:jc w:val="center"/>
              <w:ind w:left="84"/>
              <w:spacing w:after="0" w:line="130" w:lineRule="exact"/>
              <w:rPr>
                <w:sz w:val="20"/>
                <w:szCs w:val="20"/>
                <w:color w:val="auto"/>
              </w:rPr>
            </w:pPr>
            <w:r>
              <w:rPr>
                <w:rFonts w:ascii="Calibri" w:cs="Calibri" w:eastAsia="Calibri" w:hAnsi="Calibri"/>
                <w:sz w:val="11"/>
                <w:szCs w:val="11"/>
                <w:color w:val="auto"/>
              </w:rPr>
              <w:t>191,305</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-1.2%</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Net gain (loss) on securites</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3,516</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rPr>
              <w:t>(7,380)</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8,618</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color w:val="auto"/>
              </w:rPr>
              <w:t>n.a.</w:t>
            </w:r>
          </w:p>
        </w:tc>
        <w:tc>
          <w:tcPr>
            <w:tcW w:w="580" w:type="dxa"/>
            <w:vAlign w:val="bottom"/>
            <w:tcBorders>
              <w:right w:val="single" w:sz="8" w:color="auto"/>
            </w:tcBorders>
          </w:tcPr>
          <w:p>
            <w:pPr>
              <w:ind w:left="80"/>
              <w:spacing w:after="0" w:line="130" w:lineRule="exact"/>
              <w:rPr>
                <w:sz w:val="20"/>
                <w:szCs w:val="20"/>
                <w:color w:val="auto"/>
              </w:rPr>
            </w:pPr>
            <w:r>
              <w:rPr>
                <w:rFonts w:ascii="Calibri" w:cs="Calibri" w:eastAsia="Calibri" w:hAnsi="Calibri"/>
                <w:sz w:val="11"/>
                <w:szCs w:val="11"/>
                <w:color w:val="auto"/>
              </w:rPr>
              <w:t>n.a.</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color w:val="auto"/>
              </w:rPr>
              <w:t>n.a.</w:t>
            </w:r>
          </w:p>
        </w:tc>
        <w:tc>
          <w:tcPr>
            <w:tcW w:w="960" w:type="dxa"/>
            <w:vAlign w:val="bottom"/>
            <w:tcBorders>
              <w:right w:val="single" w:sz="8" w:color="auto"/>
            </w:tcBorders>
          </w:tcPr>
          <w:p>
            <w:pPr>
              <w:jc w:val="center"/>
              <w:ind w:left="84"/>
              <w:spacing w:after="0" w:line="130" w:lineRule="exact"/>
              <w:rPr>
                <w:sz w:val="20"/>
                <w:szCs w:val="20"/>
                <w:color w:val="auto"/>
              </w:rPr>
            </w:pPr>
            <w:r>
              <w:rPr>
                <w:rFonts w:ascii="Calibri" w:cs="Calibri" w:eastAsia="Calibri" w:hAnsi="Calibri"/>
                <w:sz w:val="11"/>
                <w:szCs w:val="11"/>
                <w:color w:val="auto"/>
              </w:rPr>
              <w:t>n.a.</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6"/>
              </w:rPr>
              <w:t>n.a.</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Net gain (loss) from exchange diferences</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w w:val="93"/>
              </w:rPr>
              <w:t>(351)</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250</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202</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color w:val="auto"/>
              </w:rPr>
              <w:t>n.a.</w:t>
            </w:r>
          </w:p>
        </w:tc>
        <w:tc>
          <w:tcPr>
            <w:tcW w:w="580" w:type="dxa"/>
            <w:vAlign w:val="bottom"/>
            <w:tcBorders>
              <w:right w:val="single" w:sz="8" w:color="auto"/>
            </w:tcBorders>
          </w:tcPr>
          <w:p>
            <w:pPr>
              <w:ind w:left="80"/>
              <w:spacing w:after="0" w:line="130" w:lineRule="exact"/>
              <w:rPr>
                <w:sz w:val="20"/>
                <w:szCs w:val="20"/>
                <w:color w:val="auto"/>
              </w:rPr>
            </w:pPr>
            <w:r>
              <w:rPr>
                <w:rFonts w:ascii="Calibri" w:cs="Calibri" w:eastAsia="Calibri" w:hAnsi="Calibri"/>
                <w:sz w:val="11"/>
                <w:szCs w:val="11"/>
                <w:color w:val="auto"/>
              </w:rPr>
              <w:t>n.a.</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color w:val="auto"/>
              </w:rPr>
              <w:t>n.a.</w:t>
            </w:r>
          </w:p>
        </w:tc>
        <w:tc>
          <w:tcPr>
            <w:tcW w:w="960" w:type="dxa"/>
            <w:vAlign w:val="bottom"/>
            <w:tcBorders>
              <w:right w:val="single" w:sz="8" w:color="auto"/>
            </w:tcBorders>
          </w:tcPr>
          <w:p>
            <w:pPr>
              <w:jc w:val="center"/>
              <w:ind w:left="84"/>
              <w:spacing w:after="0" w:line="130" w:lineRule="exact"/>
              <w:rPr>
                <w:sz w:val="20"/>
                <w:szCs w:val="20"/>
                <w:color w:val="auto"/>
              </w:rPr>
            </w:pPr>
            <w:r>
              <w:rPr>
                <w:rFonts w:ascii="Calibri" w:cs="Calibri" w:eastAsia="Calibri" w:hAnsi="Calibri"/>
                <w:sz w:val="11"/>
                <w:szCs w:val="11"/>
                <w:color w:val="auto"/>
              </w:rPr>
              <w:t>n.a.</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w w:val="96"/>
              </w:rPr>
              <w:t>n.a.</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Other income</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1,210</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w w:val="95"/>
              </w:rPr>
              <w:t>206</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463</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color w:val="auto"/>
              </w:rPr>
              <w:t>124.8%</w:t>
            </w:r>
          </w:p>
        </w:tc>
        <w:tc>
          <w:tcPr>
            <w:tcW w:w="580" w:type="dxa"/>
            <w:vAlign w:val="bottom"/>
            <w:tcBorders>
              <w:right w:val="single" w:sz="8" w:color="auto"/>
            </w:tcBorders>
          </w:tcPr>
          <w:p>
            <w:pPr>
              <w:jc w:val="center"/>
              <w:ind w:right="204"/>
              <w:spacing w:after="0" w:line="130" w:lineRule="exact"/>
              <w:rPr>
                <w:sz w:val="20"/>
                <w:szCs w:val="20"/>
                <w:color w:val="auto"/>
              </w:rPr>
            </w:pPr>
            <w:r>
              <w:rPr>
                <w:rFonts w:ascii="Calibri" w:cs="Calibri" w:eastAsia="Calibri" w:hAnsi="Calibri"/>
                <w:sz w:val="11"/>
                <w:szCs w:val="11"/>
                <w:color w:val="auto"/>
              </w:rPr>
              <w:t>-61.7%</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color w:val="auto"/>
              </w:rPr>
              <w:t>1,385</w:t>
            </w:r>
          </w:p>
        </w:tc>
        <w:tc>
          <w:tcPr>
            <w:tcW w:w="960" w:type="dxa"/>
            <w:vAlign w:val="bottom"/>
            <w:tcBorders>
              <w:right w:val="single" w:sz="8" w:color="auto"/>
            </w:tcBorders>
          </w:tcPr>
          <w:p>
            <w:pPr>
              <w:jc w:val="center"/>
              <w:ind w:left="84"/>
              <w:spacing w:after="0" w:line="130" w:lineRule="exact"/>
              <w:rPr>
                <w:sz w:val="20"/>
                <w:szCs w:val="20"/>
                <w:color w:val="auto"/>
              </w:rPr>
            </w:pPr>
            <w:r>
              <w:rPr>
                <w:rFonts w:ascii="Calibri" w:cs="Calibri" w:eastAsia="Calibri" w:hAnsi="Calibri"/>
                <w:sz w:val="11"/>
                <w:szCs w:val="11"/>
                <w:color w:val="auto"/>
              </w:rPr>
              <w:t>669</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-51.7%</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Salaries and employee benefts</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(22,740)</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rPr>
              <w:t>(23,431)</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(24,878)</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color w:val="auto"/>
              </w:rPr>
              <w:t>6.2%</w:t>
            </w:r>
          </w:p>
        </w:tc>
        <w:tc>
          <w:tcPr>
            <w:tcW w:w="580" w:type="dxa"/>
            <w:vAlign w:val="bottom"/>
            <w:tcBorders>
              <w:right w:val="single" w:sz="8" w:color="auto"/>
            </w:tcBorders>
          </w:tcPr>
          <w:p>
            <w:pPr>
              <w:jc w:val="center"/>
              <w:ind w:right="184"/>
              <w:spacing w:after="0" w:line="130" w:lineRule="exact"/>
              <w:rPr>
                <w:sz w:val="20"/>
                <w:szCs w:val="20"/>
                <w:color w:val="auto"/>
              </w:rPr>
            </w:pPr>
            <w:r>
              <w:rPr>
                <w:rFonts w:ascii="Calibri" w:cs="Calibri" w:eastAsia="Calibri" w:hAnsi="Calibri"/>
                <w:sz w:val="11"/>
                <w:szCs w:val="11"/>
                <w:color w:val="auto"/>
              </w:rPr>
              <w:t>9.4%</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color w:val="auto"/>
              </w:rPr>
              <w:t>(45,702)</w:t>
            </w:r>
          </w:p>
        </w:tc>
        <w:tc>
          <w:tcPr>
            <w:tcW w:w="960" w:type="dxa"/>
            <w:vAlign w:val="bottom"/>
            <w:tcBorders>
              <w:right w:val="single" w:sz="8" w:color="auto"/>
            </w:tcBorders>
          </w:tcPr>
          <w:p>
            <w:pPr>
              <w:jc w:val="center"/>
              <w:ind w:left="84"/>
              <w:spacing w:after="0" w:line="130" w:lineRule="exact"/>
              <w:rPr>
                <w:sz w:val="20"/>
                <w:szCs w:val="20"/>
                <w:color w:val="auto"/>
              </w:rPr>
            </w:pPr>
            <w:r>
              <w:rPr>
                <w:rFonts w:ascii="Calibri" w:cs="Calibri" w:eastAsia="Calibri" w:hAnsi="Calibri"/>
                <w:sz w:val="11"/>
                <w:szCs w:val="11"/>
                <w:color w:val="auto"/>
              </w:rPr>
              <w:t>(48,309)</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5.7%</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Administratve expenses</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(22,218)</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rPr>
              <w:t>(21,577)</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(18,206)</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color w:val="auto"/>
                <w:w w:val="97"/>
              </w:rPr>
              <w:t>-15.6%</w:t>
            </w:r>
          </w:p>
        </w:tc>
        <w:tc>
          <w:tcPr>
            <w:tcW w:w="580" w:type="dxa"/>
            <w:vAlign w:val="bottom"/>
            <w:tcBorders>
              <w:right w:val="single" w:sz="8" w:color="auto"/>
            </w:tcBorders>
          </w:tcPr>
          <w:p>
            <w:pPr>
              <w:jc w:val="center"/>
              <w:ind w:right="204"/>
              <w:spacing w:after="0" w:line="130" w:lineRule="exact"/>
              <w:rPr>
                <w:sz w:val="20"/>
                <w:szCs w:val="20"/>
                <w:color w:val="auto"/>
              </w:rPr>
            </w:pPr>
            <w:r>
              <w:rPr>
                <w:rFonts w:ascii="Calibri" w:cs="Calibri" w:eastAsia="Calibri" w:hAnsi="Calibri"/>
                <w:sz w:val="11"/>
                <w:szCs w:val="11"/>
                <w:color w:val="auto"/>
              </w:rPr>
              <w:t>-18.1%</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color w:val="auto"/>
              </w:rPr>
              <w:t>(40,753)</w:t>
            </w:r>
          </w:p>
        </w:tc>
        <w:tc>
          <w:tcPr>
            <w:tcW w:w="960" w:type="dxa"/>
            <w:vAlign w:val="bottom"/>
            <w:tcBorders>
              <w:right w:val="single" w:sz="8" w:color="auto"/>
            </w:tcBorders>
          </w:tcPr>
          <w:p>
            <w:pPr>
              <w:jc w:val="center"/>
              <w:ind w:left="84"/>
              <w:spacing w:after="0" w:line="130" w:lineRule="exact"/>
              <w:rPr>
                <w:sz w:val="20"/>
                <w:szCs w:val="20"/>
                <w:color w:val="auto"/>
              </w:rPr>
            </w:pPr>
            <w:r>
              <w:rPr>
                <w:rFonts w:ascii="Calibri" w:cs="Calibri" w:eastAsia="Calibri" w:hAnsi="Calibri"/>
                <w:sz w:val="11"/>
                <w:szCs w:val="11"/>
                <w:color w:val="auto"/>
              </w:rPr>
              <w:t>(39,783)</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-2.4%</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Depreciaton and amortzaton</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rPr>
              <w:t>(6,560)</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rPr>
              <w:t>(6,870)</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(6,970)</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color w:val="auto"/>
              </w:rPr>
              <w:t>1.5%</w:t>
            </w:r>
          </w:p>
        </w:tc>
        <w:tc>
          <w:tcPr>
            <w:tcW w:w="580" w:type="dxa"/>
            <w:vAlign w:val="bottom"/>
            <w:tcBorders>
              <w:right w:val="single" w:sz="8" w:color="auto"/>
            </w:tcBorders>
          </w:tcPr>
          <w:p>
            <w:pPr>
              <w:jc w:val="center"/>
              <w:ind w:right="184"/>
              <w:spacing w:after="0" w:line="130" w:lineRule="exact"/>
              <w:rPr>
                <w:sz w:val="20"/>
                <w:szCs w:val="20"/>
                <w:color w:val="auto"/>
              </w:rPr>
            </w:pPr>
            <w:r>
              <w:rPr>
                <w:rFonts w:ascii="Calibri" w:cs="Calibri" w:eastAsia="Calibri" w:hAnsi="Calibri"/>
                <w:sz w:val="11"/>
                <w:szCs w:val="11"/>
                <w:color w:val="auto"/>
              </w:rPr>
              <w:t>6.3%</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color w:val="auto"/>
              </w:rPr>
              <w:t>(13,166)</w:t>
            </w:r>
          </w:p>
        </w:tc>
        <w:tc>
          <w:tcPr>
            <w:tcW w:w="960" w:type="dxa"/>
            <w:vAlign w:val="bottom"/>
            <w:tcBorders>
              <w:right w:val="single" w:sz="8" w:color="auto"/>
            </w:tcBorders>
          </w:tcPr>
          <w:p>
            <w:pPr>
              <w:jc w:val="center"/>
              <w:ind w:left="84"/>
              <w:spacing w:after="0" w:line="130" w:lineRule="exact"/>
              <w:rPr>
                <w:sz w:val="20"/>
                <w:szCs w:val="20"/>
                <w:color w:val="auto"/>
              </w:rPr>
            </w:pPr>
            <w:r>
              <w:rPr>
                <w:rFonts w:ascii="Calibri" w:cs="Calibri" w:eastAsia="Calibri" w:hAnsi="Calibri"/>
                <w:sz w:val="11"/>
                <w:szCs w:val="11"/>
                <w:color w:val="auto"/>
              </w:rPr>
              <w:t>(13,840)</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5.1%</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color w:val="auto"/>
              </w:rPr>
              <w:t>Other expenses</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color w:val="auto"/>
                <w:w w:val="93"/>
              </w:rPr>
              <w:t>(604)</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color w:val="auto"/>
              </w:rPr>
              <w:t>(165)</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(594)</w:t>
            </w:r>
          </w:p>
        </w:tc>
        <w:tc>
          <w:tcPr>
            <w:tcW w:w="980" w:type="dxa"/>
            <w:vAlign w:val="bottom"/>
          </w:tcPr>
          <w:p>
            <w:pPr>
              <w:jc w:val="center"/>
              <w:ind w:right="184"/>
              <w:spacing w:after="0" w:line="130" w:lineRule="exact"/>
              <w:rPr>
                <w:sz w:val="20"/>
                <w:szCs w:val="20"/>
                <w:color w:val="auto"/>
              </w:rPr>
            </w:pPr>
            <w:r>
              <w:rPr>
                <w:rFonts w:ascii="Calibri" w:cs="Calibri" w:eastAsia="Calibri" w:hAnsi="Calibri"/>
                <w:sz w:val="11"/>
                <w:szCs w:val="11"/>
                <w:color w:val="auto"/>
              </w:rPr>
              <w:t>n.a.</w:t>
            </w:r>
          </w:p>
        </w:tc>
        <w:tc>
          <w:tcPr>
            <w:tcW w:w="580" w:type="dxa"/>
            <w:vAlign w:val="bottom"/>
            <w:tcBorders>
              <w:right w:val="single" w:sz="8" w:color="auto"/>
            </w:tcBorders>
          </w:tcPr>
          <w:p>
            <w:pPr>
              <w:jc w:val="center"/>
              <w:ind w:right="184"/>
              <w:spacing w:after="0" w:line="130" w:lineRule="exact"/>
              <w:rPr>
                <w:sz w:val="20"/>
                <w:szCs w:val="20"/>
                <w:color w:val="auto"/>
              </w:rPr>
            </w:pPr>
            <w:r>
              <w:rPr>
                <w:rFonts w:ascii="Calibri" w:cs="Calibri" w:eastAsia="Calibri" w:hAnsi="Calibri"/>
                <w:sz w:val="11"/>
                <w:szCs w:val="11"/>
                <w:color w:val="auto"/>
              </w:rPr>
              <w:t>-1.7%</w:t>
            </w:r>
          </w:p>
        </w:tc>
        <w:tc>
          <w:tcPr>
            <w:tcW w:w="600" w:type="dxa"/>
            <w:vAlign w:val="bottom"/>
          </w:tcPr>
          <w:p>
            <w:pPr>
              <w:jc w:val="center"/>
              <w:ind w:left="104"/>
              <w:spacing w:after="0" w:line="130" w:lineRule="exact"/>
              <w:rPr>
                <w:sz w:val="20"/>
                <w:szCs w:val="20"/>
                <w:color w:val="auto"/>
              </w:rPr>
            </w:pPr>
            <w:r>
              <w:rPr>
                <w:rFonts w:ascii="Calibri" w:cs="Calibri" w:eastAsia="Calibri" w:hAnsi="Calibri"/>
                <w:sz w:val="11"/>
                <w:szCs w:val="11"/>
                <w:color w:val="auto"/>
              </w:rPr>
              <w:t>(933)</w:t>
            </w:r>
          </w:p>
        </w:tc>
        <w:tc>
          <w:tcPr>
            <w:tcW w:w="960" w:type="dxa"/>
            <w:vAlign w:val="bottom"/>
            <w:tcBorders>
              <w:right w:val="single" w:sz="8" w:color="auto"/>
            </w:tcBorders>
          </w:tcPr>
          <w:p>
            <w:pPr>
              <w:jc w:val="center"/>
              <w:ind w:left="64"/>
              <w:spacing w:after="0" w:line="130" w:lineRule="exact"/>
              <w:rPr>
                <w:sz w:val="20"/>
                <w:szCs w:val="20"/>
                <w:color w:val="auto"/>
              </w:rPr>
            </w:pPr>
            <w:r>
              <w:rPr>
                <w:rFonts w:ascii="Calibri" w:cs="Calibri" w:eastAsia="Calibri" w:hAnsi="Calibri"/>
                <w:sz w:val="11"/>
                <w:szCs w:val="11"/>
                <w:color w:val="auto"/>
              </w:rPr>
              <w:t>(759)</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color w:val="auto"/>
              </w:rPr>
              <w:t>-18.6%</w:t>
            </w:r>
          </w:p>
        </w:tc>
      </w:tr>
      <w:tr>
        <w:trPr>
          <w:trHeight w:val="130"/>
        </w:trPr>
        <w:tc>
          <w:tcPr>
            <w:tcW w:w="4180" w:type="dxa"/>
            <w:vAlign w:val="bottom"/>
            <w:tcBorders>
              <w:left w:val="single" w:sz="8" w:color="auto"/>
              <w:right w:val="single" w:sz="8" w:color="auto"/>
            </w:tcBorders>
          </w:tcPr>
          <w:p>
            <w:pPr>
              <w:spacing w:after="0" w:line="130" w:lineRule="exact"/>
              <w:rPr>
                <w:sz w:val="20"/>
                <w:szCs w:val="20"/>
                <w:color w:val="auto"/>
              </w:rPr>
            </w:pPr>
            <w:r>
              <w:rPr>
                <w:rFonts w:ascii="Calibri" w:cs="Calibri" w:eastAsia="Calibri" w:hAnsi="Calibri"/>
                <w:sz w:val="11"/>
                <w:szCs w:val="11"/>
                <w:b w:val="1"/>
                <w:bCs w:val="1"/>
                <w:color w:val="auto"/>
              </w:rPr>
              <w:t>Proft before income tax</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7"/>
              </w:rPr>
              <w:t>51,393</w:t>
            </w:r>
          </w:p>
        </w:tc>
        <w:tc>
          <w:tcPr>
            <w:tcW w:w="78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36,133</w:t>
            </w:r>
          </w:p>
        </w:tc>
        <w:tc>
          <w:tcPr>
            <w:tcW w:w="80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55,907</w:t>
            </w:r>
          </w:p>
        </w:tc>
        <w:tc>
          <w:tcPr>
            <w:tcW w:w="980" w:type="dxa"/>
            <w:vAlign w:val="bottom"/>
          </w:tcPr>
          <w:p>
            <w:pPr>
              <w:jc w:val="center"/>
              <w:ind w:right="164"/>
              <w:spacing w:after="0" w:line="130" w:lineRule="exact"/>
              <w:rPr>
                <w:sz w:val="20"/>
                <w:szCs w:val="20"/>
                <w:color w:val="auto"/>
              </w:rPr>
            </w:pPr>
            <w:r>
              <w:rPr>
                <w:rFonts w:ascii="Calibri" w:cs="Calibri" w:eastAsia="Calibri" w:hAnsi="Calibri"/>
                <w:sz w:val="11"/>
                <w:szCs w:val="11"/>
                <w:b w:val="1"/>
                <w:bCs w:val="1"/>
                <w:color w:val="auto"/>
              </w:rPr>
              <w:t>54.7%</w:t>
            </w:r>
          </w:p>
        </w:tc>
        <w:tc>
          <w:tcPr>
            <w:tcW w:w="580" w:type="dxa"/>
            <w:vAlign w:val="bottom"/>
            <w:tcBorders>
              <w:right w:val="single" w:sz="8" w:color="auto"/>
            </w:tcBorders>
          </w:tcPr>
          <w:p>
            <w:pPr>
              <w:jc w:val="center"/>
              <w:ind w:right="184"/>
              <w:spacing w:after="0" w:line="130" w:lineRule="exact"/>
              <w:rPr>
                <w:sz w:val="20"/>
                <w:szCs w:val="20"/>
                <w:color w:val="auto"/>
              </w:rPr>
            </w:pPr>
            <w:r>
              <w:rPr>
                <w:rFonts w:ascii="Calibri" w:cs="Calibri" w:eastAsia="Calibri" w:hAnsi="Calibri"/>
                <w:sz w:val="11"/>
                <w:szCs w:val="11"/>
                <w:b w:val="1"/>
                <w:bCs w:val="1"/>
                <w:color w:val="auto"/>
                <w:w w:val="99"/>
              </w:rPr>
              <w:t>8.8%</w:t>
            </w:r>
          </w:p>
        </w:tc>
        <w:tc>
          <w:tcPr>
            <w:tcW w:w="600" w:type="dxa"/>
            <w:vAlign w:val="bottom"/>
          </w:tcPr>
          <w:p>
            <w:pPr>
              <w:jc w:val="center"/>
              <w:ind w:left="84"/>
              <w:spacing w:after="0" w:line="130" w:lineRule="exact"/>
              <w:rPr>
                <w:sz w:val="20"/>
                <w:szCs w:val="20"/>
                <w:color w:val="auto"/>
              </w:rPr>
            </w:pPr>
            <w:r>
              <w:rPr>
                <w:rFonts w:ascii="Calibri" w:cs="Calibri" w:eastAsia="Calibri" w:hAnsi="Calibri"/>
                <w:sz w:val="11"/>
                <w:szCs w:val="11"/>
                <w:b w:val="1"/>
                <w:bCs w:val="1"/>
                <w:color w:val="auto"/>
              </w:rPr>
              <w:t>105,134</w:t>
            </w:r>
          </w:p>
        </w:tc>
        <w:tc>
          <w:tcPr>
            <w:tcW w:w="960" w:type="dxa"/>
            <w:vAlign w:val="bottom"/>
            <w:tcBorders>
              <w:right w:val="single" w:sz="8" w:color="auto"/>
            </w:tcBorders>
          </w:tcPr>
          <w:p>
            <w:pPr>
              <w:jc w:val="center"/>
              <w:ind w:left="64"/>
              <w:spacing w:after="0" w:line="130" w:lineRule="exact"/>
              <w:rPr>
                <w:sz w:val="20"/>
                <w:szCs w:val="20"/>
                <w:color w:val="auto"/>
              </w:rPr>
            </w:pPr>
            <w:r>
              <w:rPr>
                <w:rFonts w:ascii="Calibri" w:cs="Calibri" w:eastAsia="Calibri" w:hAnsi="Calibri"/>
                <w:sz w:val="11"/>
                <w:szCs w:val="11"/>
                <w:b w:val="1"/>
                <w:bCs w:val="1"/>
                <w:color w:val="auto"/>
              </w:rPr>
              <w:t>92,040</w:t>
            </w:r>
          </w:p>
        </w:tc>
        <w:tc>
          <w:tcPr>
            <w:tcW w:w="1020" w:type="dxa"/>
            <w:vAlign w:val="bottom"/>
            <w:tcBorders>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-12.5%</w:t>
            </w:r>
          </w:p>
        </w:tc>
      </w:tr>
      <w:tr>
        <w:trPr>
          <w:trHeight w:val="146"/>
        </w:trPr>
        <w:tc>
          <w:tcPr>
            <w:tcW w:w="418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1"/>
                <w:szCs w:val="11"/>
                <w:color w:val="auto"/>
              </w:rPr>
              <w:t>Income tax</w:t>
            </w:r>
          </w:p>
        </w:tc>
        <w:tc>
          <w:tcPr>
            <w:tcW w:w="760" w:type="dxa"/>
            <w:vAlign w:val="bottom"/>
          </w:tcPr>
          <w:p>
            <w:pPr>
              <w:jc w:val="center"/>
              <w:spacing w:after="0"/>
              <w:rPr>
                <w:sz w:val="20"/>
                <w:szCs w:val="20"/>
                <w:color w:val="auto"/>
              </w:rPr>
            </w:pPr>
            <w:r>
              <w:rPr>
                <w:rFonts w:ascii="Calibri" w:cs="Calibri" w:eastAsia="Calibri" w:hAnsi="Calibri"/>
                <w:sz w:val="11"/>
                <w:szCs w:val="11"/>
                <w:color w:val="auto"/>
              </w:rPr>
              <w:t>(14,489)</w:t>
            </w:r>
          </w:p>
        </w:tc>
        <w:tc>
          <w:tcPr>
            <w:tcW w:w="780" w:type="dxa"/>
            <w:vAlign w:val="bottom"/>
          </w:tcPr>
          <w:p>
            <w:pPr>
              <w:jc w:val="center"/>
              <w:spacing w:after="0"/>
              <w:rPr>
                <w:sz w:val="20"/>
                <w:szCs w:val="20"/>
                <w:color w:val="auto"/>
              </w:rPr>
            </w:pPr>
            <w:r>
              <w:rPr>
                <w:rFonts w:ascii="Calibri" w:cs="Calibri" w:eastAsia="Calibri" w:hAnsi="Calibri"/>
                <w:sz w:val="11"/>
                <w:szCs w:val="11"/>
                <w:color w:val="auto"/>
              </w:rPr>
              <w:t>(11,661)</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(14,749)</w:t>
            </w:r>
          </w:p>
        </w:tc>
        <w:tc>
          <w:tcPr>
            <w:tcW w:w="980" w:type="dxa"/>
            <w:vAlign w:val="bottom"/>
          </w:tcPr>
          <w:p>
            <w:pPr>
              <w:jc w:val="center"/>
              <w:ind w:right="164"/>
              <w:spacing w:after="0"/>
              <w:rPr>
                <w:sz w:val="20"/>
                <w:szCs w:val="20"/>
                <w:color w:val="auto"/>
              </w:rPr>
            </w:pPr>
            <w:r>
              <w:rPr>
                <w:rFonts w:ascii="Calibri" w:cs="Calibri" w:eastAsia="Calibri" w:hAnsi="Calibri"/>
                <w:sz w:val="11"/>
                <w:szCs w:val="11"/>
                <w:color w:val="auto"/>
              </w:rPr>
              <w:t>26.5%</w:t>
            </w:r>
          </w:p>
        </w:tc>
        <w:tc>
          <w:tcPr>
            <w:tcW w:w="580" w:type="dxa"/>
            <w:vAlign w:val="bottom"/>
            <w:tcBorders>
              <w:right w:val="single" w:sz="8" w:color="auto"/>
            </w:tcBorders>
          </w:tcPr>
          <w:p>
            <w:pPr>
              <w:jc w:val="center"/>
              <w:ind w:right="184"/>
              <w:spacing w:after="0"/>
              <w:rPr>
                <w:sz w:val="20"/>
                <w:szCs w:val="20"/>
                <w:color w:val="auto"/>
              </w:rPr>
            </w:pPr>
            <w:r>
              <w:rPr>
                <w:rFonts w:ascii="Calibri" w:cs="Calibri" w:eastAsia="Calibri" w:hAnsi="Calibri"/>
                <w:sz w:val="11"/>
                <w:szCs w:val="11"/>
                <w:color w:val="auto"/>
              </w:rPr>
              <w:t>1.8%</w:t>
            </w:r>
          </w:p>
        </w:tc>
        <w:tc>
          <w:tcPr>
            <w:tcW w:w="600" w:type="dxa"/>
            <w:vAlign w:val="bottom"/>
          </w:tcPr>
          <w:p>
            <w:pPr>
              <w:jc w:val="center"/>
              <w:ind w:left="84"/>
              <w:spacing w:after="0"/>
              <w:rPr>
                <w:sz w:val="20"/>
                <w:szCs w:val="20"/>
                <w:color w:val="auto"/>
              </w:rPr>
            </w:pPr>
            <w:r>
              <w:rPr>
                <w:rFonts w:ascii="Calibri" w:cs="Calibri" w:eastAsia="Calibri" w:hAnsi="Calibri"/>
                <w:sz w:val="11"/>
                <w:szCs w:val="11"/>
                <w:color w:val="auto"/>
              </w:rPr>
              <w:t>(31,217)</w:t>
            </w:r>
          </w:p>
        </w:tc>
        <w:tc>
          <w:tcPr>
            <w:tcW w:w="960" w:type="dxa"/>
            <w:vAlign w:val="bottom"/>
            <w:tcBorders>
              <w:right w:val="single" w:sz="8" w:color="auto"/>
            </w:tcBorders>
          </w:tcPr>
          <w:p>
            <w:pPr>
              <w:jc w:val="center"/>
              <w:ind w:left="84"/>
              <w:spacing w:after="0"/>
              <w:rPr>
                <w:sz w:val="20"/>
                <w:szCs w:val="20"/>
                <w:color w:val="auto"/>
              </w:rPr>
            </w:pPr>
            <w:r>
              <w:rPr>
                <w:rFonts w:ascii="Calibri" w:cs="Calibri" w:eastAsia="Calibri" w:hAnsi="Calibri"/>
                <w:sz w:val="11"/>
                <w:szCs w:val="11"/>
                <w:color w:val="auto"/>
              </w:rPr>
              <w:t>(26,410)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-15.4%</w:t>
            </w:r>
          </w:p>
        </w:tc>
      </w:tr>
      <w:tr>
        <w:trPr>
          <w:trHeight w:val="127"/>
        </w:trPr>
        <w:tc>
          <w:tcPr>
            <w:tcW w:w="4180" w:type="dxa"/>
            <w:vAlign w:val="bottom"/>
            <w:tcBorders>
              <w:left w:val="single" w:sz="8" w:color="auto"/>
              <w:bottom w:val="single" w:sz="8" w:color="auto"/>
              <w:right w:val="single" w:sz="8" w:color="auto"/>
            </w:tcBorders>
          </w:tcPr>
          <w:p>
            <w:pPr>
              <w:spacing w:after="0" w:line="127" w:lineRule="exact"/>
              <w:rPr>
                <w:sz w:val="20"/>
                <w:szCs w:val="20"/>
                <w:color w:val="auto"/>
              </w:rPr>
            </w:pPr>
            <w:r>
              <w:rPr>
                <w:rFonts w:ascii="Calibri" w:cs="Calibri" w:eastAsia="Calibri" w:hAnsi="Calibri"/>
                <w:sz w:val="11"/>
                <w:szCs w:val="11"/>
                <w:b w:val="1"/>
                <w:bCs w:val="1"/>
                <w:color w:val="auto"/>
              </w:rPr>
              <w:t>Net proft</w:t>
            </w:r>
          </w:p>
        </w:tc>
        <w:tc>
          <w:tcPr>
            <w:tcW w:w="7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7"/>
              </w:rPr>
              <w:t>36,904</w:t>
            </w:r>
          </w:p>
        </w:tc>
        <w:tc>
          <w:tcPr>
            <w:tcW w:w="7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rPr>
              <w:t>24,472</w:t>
            </w:r>
          </w:p>
        </w:tc>
        <w:tc>
          <w:tcPr>
            <w:tcW w:w="8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rPr>
              <w:t>41,158</w:t>
            </w:r>
          </w:p>
        </w:tc>
        <w:tc>
          <w:tcPr>
            <w:tcW w:w="980" w:type="dxa"/>
            <w:vAlign w:val="bottom"/>
            <w:tcBorders>
              <w:bottom w:val="single" w:sz="8" w:color="auto"/>
            </w:tcBorders>
          </w:tcPr>
          <w:p>
            <w:pPr>
              <w:jc w:val="center"/>
              <w:ind w:right="164"/>
              <w:spacing w:after="0" w:line="127" w:lineRule="exact"/>
              <w:rPr>
                <w:sz w:val="20"/>
                <w:szCs w:val="20"/>
                <w:color w:val="auto"/>
              </w:rPr>
            </w:pPr>
            <w:r>
              <w:rPr>
                <w:rFonts w:ascii="Calibri" w:cs="Calibri" w:eastAsia="Calibri" w:hAnsi="Calibri"/>
                <w:sz w:val="11"/>
                <w:szCs w:val="11"/>
                <w:b w:val="1"/>
                <w:bCs w:val="1"/>
                <w:color w:val="auto"/>
              </w:rPr>
              <w:t>68.2%</w:t>
            </w:r>
          </w:p>
        </w:tc>
        <w:tc>
          <w:tcPr>
            <w:tcW w:w="580" w:type="dxa"/>
            <w:vAlign w:val="bottom"/>
            <w:tcBorders>
              <w:bottom w:val="single" w:sz="8" w:color="auto"/>
              <w:right w:val="single" w:sz="8" w:color="auto"/>
            </w:tcBorders>
          </w:tcPr>
          <w:p>
            <w:pPr>
              <w:jc w:val="center"/>
              <w:ind w:right="204"/>
              <w:spacing w:after="0" w:line="127" w:lineRule="exact"/>
              <w:rPr>
                <w:sz w:val="20"/>
                <w:szCs w:val="20"/>
                <w:color w:val="auto"/>
              </w:rPr>
            </w:pPr>
            <w:r>
              <w:rPr>
                <w:rFonts w:ascii="Calibri" w:cs="Calibri" w:eastAsia="Calibri" w:hAnsi="Calibri"/>
                <w:sz w:val="11"/>
                <w:szCs w:val="11"/>
                <w:b w:val="1"/>
                <w:bCs w:val="1"/>
                <w:color w:val="auto"/>
              </w:rPr>
              <w:t>11.5%</w:t>
            </w:r>
          </w:p>
        </w:tc>
        <w:tc>
          <w:tcPr>
            <w:tcW w:w="600" w:type="dxa"/>
            <w:vAlign w:val="bottom"/>
            <w:tcBorders>
              <w:bottom w:val="single" w:sz="8" w:color="auto"/>
            </w:tcBorders>
          </w:tcPr>
          <w:p>
            <w:pPr>
              <w:jc w:val="center"/>
              <w:ind w:left="104"/>
              <w:spacing w:after="0" w:line="127" w:lineRule="exact"/>
              <w:rPr>
                <w:sz w:val="20"/>
                <w:szCs w:val="20"/>
                <w:color w:val="auto"/>
              </w:rPr>
            </w:pPr>
            <w:r>
              <w:rPr>
                <w:rFonts w:ascii="Calibri" w:cs="Calibri" w:eastAsia="Calibri" w:hAnsi="Calibri"/>
                <w:sz w:val="11"/>
                <w:szCs w:val="11"/>
                <w:b w:val="1"/>
                <w:bCs w:val="1"/>
                <w:color w:val="auto"/>
              </w:rPr>
              <w:t>73,917</w:t>
            </w:r>
          </w:p>
        </w:tc>
        <w:tc>
          <w:tcPr>
            <w:tcW w:w="960" w:type="dxa"/>
            <w:vAlign w:val="bottom"/>
            <w:tcBorders>
              <w:bottom w:val="single" w:sz="8" w:color="auto"/>
            </w:tcBorders>
          </w:tcPr>
          <w:p>
            <w:pPr>
              <w:jc w:val="center"/>
              <w:ind w:left="64"/>
              <w:spacing w:after="0" w:line="127" w:lineRule="exact"/>
              <w:rPr>
                <w:sz w:val="20"/>
                <w:szCs w:val="20"/>
                <w:color w:val="auto"/>
              </w:rPr>
            </w:pPr>
            <w:r>
              <w:rPr>
                <w:rFonts w:ascii="Calibri" w:cs="Calibri" w:eastAsia="Calibri" w:hAnsi="Calibri"/>
                <w:sz w:val="11"/>
                <w:szCs w:val="11"/>
                <w:b w:val="1"/>
                <w:bCs w:val="1"/>
                <w:color w:val="auto"/>
              </w:rPr>
              <w:t>65,630</w:t>
            </w:r>
          </w:p>
        </w:tc>
        <w:tc>
          <w:tcPr>
            <w:tcW w:w="102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6"/>
              </w:rPr>
              <w:t>-11.2%</w:t>
            </w:r>
          </w:p>
        </w:tc>
      </w:tr>
    </w:tbl>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Selected Financial Indicators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4880" w:type="dxa"/>
            <w:vAlign w:val="bottom"/>
            <w:tcBorders>
              <w:top w:val="single" w:sz="8" w:color="auto"/>
              <w:left w:val="single" w:sz="8" w:color="auto"/>
              <w:right w:val="single" w:sz="8" w:color="auto"/>
            </w:tcBorders>
            <w:shd w:val="clear" w:color="auto" w:fill="33CCCC"/>
          </w:tcPr>
          <w:p>
            <w:pPr>
              <w:spacing w:after="0"/>
              <w:rPr>
                <w:sz w:val="13"/>
                <w:szCs w:val="13"/>
                <w:color w:val="auto"/>
              </w:rPr>
            </w:pPr>
          </w:p>
        </w:tc>
        <w:tc>
          <w:tcPr>
            <w:tcW w:w="740" w:type="dxa"/>
            <w:vAlign w:val="bottom"/>
            <w:tcBorders>
              <w:top w:val="single" w:sz="8" w:color="auto"/>
            </w:tcBorders>
            <w:shd w:val="clear" w:color="auto" w:fill="33CCCC"/>
          </w:tcPr>
          <w:p>
            <w:pPr>
              <w:spacing w:after="0"/>
              <w:rPr>
                <w:sz w:val="13"/>
                <w:szCs w:val="13"/>
                <w:color w:val="auto"/>
              </w:rPr>
            </w:pPr>
          </w:p>
        </w:tc>
        <w:tc>
          <w:tcPr>
            <w:tcW w:w="820" w:type="dxa"/>
            <w:vAlign w:val="bottom"/>
            <w:tcBorders>
              <w:top w:val="single" w:sz="8" w:color="auto"/>
            </w:tcBorders>
            <w:shd w:val="clear" w:color="auto" w:fill="33CCCC"/>
          </w:tcPr>
          <w:p>
            <w:pPr>
              <w:ind w:left="200"/>
              <w:spacing w:after="0"/>
              <w:rPr>
                <w:sz w:val="20"/>
                <w:szCs w:val="20"/>
                <w:color w:val="auto"/>
              </w:rPr>
            </w:pPr>
            <w:r>
              <w:rPr>
                <w:rFonts w:ascii="Calibri" w:cs="Calibri" w:eastAsia="Calibri" w:hAnsi="Calibri"/>
                <w:sz w:val="12"/>
                <w:szCs w:val="12"/>
                <w:b w:val="1"/>
                <w:bCs w:val="1"/>
                <w:color w:val="FFFFFF"/>
              </w:rPr>
              <w:t>Quarter</w:t>
            </w:r>
          </w:p>
        </w:tc>
        <w:tc>
          <w:tcPr>
            <w:tcW w:w="780" w:type="dxa"/>
            <w:vAlign w:val="bottom"/>
            <w:tcBorders>
              <w:top w:val="single" w:sz="8" w:color="auto"/>
              <w:right w:val="single" w:sz="8" w:color="auto"/>
            </w:tcBorders>
            <w:shd w:val="clear" w:color="auto" w:fill="33CCCC"/>
          </w:tcPr>
          <w:p>
            <w:pPr>
              <w:spacing w:after="0"/>
              <w:rPr>
                <w:sz w:val="13"/>
                <w:szCs w:val="13"/>
                <w:color w:val="auto"/>
              </w:rPr>
            </w:pPr>
          </w:p>
        </w:tc>
        <w:tc>
          <w:tcPr>
            <w:tcW w:w="960" w:type="dxa"/>
            <w:vAlign w:val="bottom"/>
            <w:tcBorders>
              <w:top w:val="single" w:sz="8" w:color="auto"/>
            </w:tcBorders>
            <w:shd w:val="clear" w:color="auto" w:fill="33CCCC"/>
          </w:tcPr>
          <w:p>
            <w:pPr>
              <w:ind w:left="580"/>
              <w:spacing w:after="0"/>
              <w:rPr>
                <w:sz w:val="20"/>
                <w:szCs w:val="20"/>
                <w:color w:val="auto"/>
              </w:rPr>
            </w:pPr>
            <w:r>
              <w:rPr>
                <w:rFonts w:ascii="Calibri" w:cs="Calibri" w:eastAsia="Calibri" w:hAnsi="Calibri"/>
                <w:sz w:val="12"/>
                <w:szCs w:val="12"/>
                <w:b w:val="1"/>
                <w:bCs w:val="1"/>
                <w:color w:val="FFFFFF"/>
                <w:w w:val="97"/>
              </w:rPr>
              <w:t>Change</w:t>
            </w:r>
          </w:p>
        </w:tc>
        <w:tc>
          <w:tcPr>
            <w:tcW w:w="600" w:type="dxa"/>
            <w:vAlign w:val="bottom"/>
            <w:tcBorders>
              <w:top w:val="single" w:sz="8" w:color="auto"/>
              <w:right w:val="single" w:sz="8" w:color="auto"/>
            </w:tcBorders>
            <w:shd w:val="clear" w:color="auto" w:fill="33CCCC"/>
          </w:tcPr>
          <w:p>
            <w:pPr>
              <w:spacing w:after="0"/>
              <w:rPr>
                <w:sz w:val="13"/>
                <w:szCs w:val="13"/>
                <w:color w:val="auto"/>
              </w:rPr>
            </w:pPr>
          </w:p>
        </w:tc>
        <w:tc>
          <w:tcPr>
            <w:tcW w:w="600" w:type="dxa"/>
            <w:vAlign w:val="bottom"/>
            <w:tcBorders>
              <w:top w:val="single" w:sz="8" w:color="auto"/>
            </w:tcBorders>
            <w:shd w:val="clear" w:color="auto" w:fill="33CCCC"/>
          </w:tcPr>
          <w:p>
            <w:pPr>
              <w:spacing w:after="0"/>
              <w:rPr>
                <w:sz w:val="13"/>
                <w:szCs w:val="13"/>
                <w:color w:val="auto"/>
              </w:rPr>
            </w:pPr>
          </w:p>
        </w:tc>
        <w:tc>
          <w:tcPr>
            <w:tcW w:w="98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2"/>
                <w:szCs w:val="12"/>
                <w:b w:val="1"/>
                <w:bCs w:val="1"/>
                <w:color w:val="FFFFFF"/>
              </w:rPr>
              <w:t>Up to</w:t>
            </w:r>
          </w:p>
        </w:tc>
        <w:tc>
          <w:tcPr>
            <w:tcW w:w="9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rPr>
              <w:t>% change</w:t>
            </w:r>
          </w:p>
        </w:tc>
      </w:tr>
      <w:tr>
        <w:trPr>
          <w:trHeight w:val="143"/>
        </w:trPr>
        <w:tc>
          <w:tcPr>
            <w:tcW w:w="488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74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2Q24</w:t>
            </w:r>
          </w:p>
        </w:tc>
        <w:tc>
          <w:tcPr>
            <w:tcW w:w="82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1Q25</w:t>
            </w:r>
          </w:p>
        </w:tc>
        <w:tc>
          <w:tcPr>
            <w:tcW w:w="78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2Q25</w:t>
            </w:r>
          </w:p>
        </w:tc>
        <w:tc>
          <w:tcPr>
            <w:tcW w:w="960" w:type="dxa"/>
            <w:vAlign w:val="bottom"/>
            <w:tcBorders>
              <w:bottom w:val="single" w:sz="8" w:color="auto"/>
            </w:tcBorders>
            <w:shd w:val="clear" w:color="auto" w:fill="33CCCC"/>
          </w:tcPr>
          <w:p>
            <w:pPr>
              <w:jc w:val="center"/>
              <w:ind w:right="139"/>
              <w:spacing w:after="0" w:line="143" w:lineRule="exact"/>
              <w:rPr>
                <w:sz w:val="20"/>
                <w:szCs w:val="20"/>
                <w:color w:val="auto"/>
              </w:rPr>
            </w:pPr>
            <w:r>
              <w:rPr>
                <w:rFonts w:ascii="Calibri" w:cs="Calibri" w:eastAsia="Calibri" w:hAnsi="Calibri"/>
                <w:sz w:val="12"/>
                <w:szCs w:val="12"/>
                <w:b w:val="1"/>
                <w:bCs w:val="1"/>
                <w:color w:val="FFFFFF"/>
              </w:rPr>
              <w:t>QoQ</w:t>
            </w:r>
          </w:p>
        </w:tc>
        <w:tc>
          <w:tcPr>
            <w:tcW w:w="600" w:type="dxa"/>
            <w:vAlign w:val="bottom"/>
            <w:tcBorders>
              <w:bottom w:val="single" w:sz="8" w:color="auto"/>
              <w:right w:val="single" w:sz="8" w:color="auto"/>
            </w:tcBorders>
            <w:shd w:val="clear" w:color="auto" w:fill="33CCCC"/>
          </w:tcPr>
          <w:p>
            <w:pPr>
              <w:jc w:val="center"/>
              <w:ind w:right="159"/>
              <w:spacing w:after="0" w:line="143" w:lineRule="exact"/>
              <w:rPr>
                <w:sz w:val="20"/>
                <w:szCs w:val="20"/>
                <w:color w:val="auto"/>
              </w:rPr>
            </w:pPr>
            <w:r>
              <w:rPr>
                <w:rFonts w:ascii="Calibri" w:cs="Calibri" w:eastAsia="Calibri" w:hAnsi="Calibri"/>
                <w:sz w:val="12"/>
                <w:szCs w:val="12"/>
                <w:b w:val="1"/>
                <w:bCs w:val="1"/>
                <w:color w:val="FFFFFF"/>
                <w:w w:val="94"/>
              </w:rPr>
              <w:t>YoY</w:t>
            </w:r>
          </w:p>
        </w:tc>
        <w:tc>
          <w:tcPr>
            <w:tcW w:w="600" w:type="dxa"/>
            <w:vAlign w:val="bottom"/>
            <w:tcBorders>
              <w:bottom w:val="single" w:sz="8" w:color="auto"/>
            </w:tcBorders>
            <w:shd w:val="clear" w:color="auto" w:fill="33CCCC"/>
          </w:tcPr>
          <w:p>
            <w:pPr>
              <w:ind w:left="220"/>
              <w:spacing w:after="0" w:line="143" w:lineRule="exact"/>
              <w:rPr>
                <w:sz w:val="20"/>
                <w:szCs w:val="20"/>
                <w:color w:val="auto"/>
              </w:rPr>
            </w:pPr>
            <w:r>
              <w:rPr>
                <w:rFonts w:ascii="Calibri" w:cs="Calibri" w:eastAsia="Calibri" w:hAnsi="Calibri"/>
                <w:sz w:val="12"/>
                <w:szCs w:val="12"/>
                <w:b w:val="1"/>
                <w:bCs w:val="1"/>
                <w:color w:val="FFFFFF"/>
              </w:rPr>
              <w:t>Jun 24</w:t>
            </w:r>
          </w:p>
        </w:tc>
        <w:tc>
          <w:tcPr>
            <w:tcW w:w="980" w:type="dxa"/>
            <w:vAlign w:val="bottom"/>
            <w:tcBorders>
              <w:bottom w:val="single" w:sz="8" w:color="auto"/>
              <w:right w:val="single" w:sz="8" w:color="auto"/>
            </w:tcBorders>
            <w:shd w:val="clear" w:color="auto" w:fill="33CCCC"/>
          </w:tcPr>
          <w:p>
            <w:pPr>
              <w:ind w:left="400"/>
              <w:spacing w:after="0" w:line="143" w:lineRule="exact"/>
              <w:rPr>
                <w:sz w:val="20"/>
                <w:szCs w:val="20"/>
                <w:color w:val="auto"/>
              </w:rPr>
            </w:pPr>
            <w:r>
              <w:rPr>
                <w:rFonts w:ascii="Calibri" w:cs="Calibri" w:eastAsia="Calibri" w:hAnsi="Calibri"/>
                <w:sz w:val="12"/>
                <w:szCs w:val="12"/>
                <w:b w:val="1"/>
                <w:bCs w:val="1"/>
                <w:color w:val="FFFFFF"/>
              </w:rPr>
              <w:t>Jun 25</w:t>
            </w:r>
          </w:p>
        </w:tc>
        <w:tc>
          <w:tcPr>
            <w:tcW w:w="90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9"/>
              </w:rPr>
              <w:t>Jun 25 / Jun 24</w:t>
            </w:r>
          </w:p>
        </w:tc>
      </w:tr>
      <w:tr>
        <w:trPr>
          <w:trHeight w:val="125"/>
        </w:trPr>
        <w:tc>
          <w:tcPr>
            <w:tcW w:w="4880" w:type="dxa"/>
            <w:vAlign w:val="bottom"/>
            <w:tcBorders>
              <w:left w:val="single" w:sz="8" w:color="auto"/>
              <w:right w:val="single" w:sz="8" w:color="auto"/>
            </w:tcBorders>
          </w:tcPr>
          <w:p>
            <w:pPr>
              <w:ind w:left="20"/>
              <w:spacing w:after="0" w:line="126" w:lineRule="exact"/>
              <w:rPr>
                <w:sz w:val="20"/>
                <w:szCs w:val="20"/>
                <w:color w:val="auto"/>
              </w:rPr>
            </w:pPr>
            <w:r>
              <w:rPr>
                <w:rFonts w:ascii="Calibri" w:cs="Calibri" w:eastAsia="Calibri" w:hAnsi="Calibri"/>
                <w:sz w:val="12"/>
                <w:szCs w:val="12"/>
                <w:color w:val="auto"/>
              </w:rPr>
              <w:t>ROE</w:t>
            </w:r>
          </w:p>
        </w:tc>
        <w:tc>
          <w:tcPr>
            <w:tcW w:w="740" w:type="dxa"/>
            <w:vAlign w:val="bottom"/>
          </w:tcPr>
          <w:p>
            <w:pPr>
              <w:jc w:val="center"/>
              <w:spacing w:after="0" w:line="126" w:lineRule="exact"/>
              <w:rPr>
                <w:sz w:val="20"/>
                <w:szCs w:val="20"/>
                <w:color w:val="auto"/>
              </w:rPr>
            </w:pPr>
            <w:r>
              <w:rPr>
                <w:rFonts w:ascii="Calibri" w:cs="Calibri" w:eastAsia="Calibri" w:hAnsi="Calibri"/>
                <w:sz w:val="12"/>
                <w:szCs w:val="12"/>
                <w:color w:val="auto"/>
              </w:rPr>
              <w:t>32.0%</w:t>
            </w:r>
          </w:p>
        </w:tc>
        <w:tc>
          <w:tcPr>
            <w:tcW w:w="820" w:type="dxa"/>
            <w:vAlign w:val="bottom"/>
          </w:tcPr>
          <w:p>
            <w:pPr>
              <w:jc w:val="center"/>
              <w:spacing w:after="0" w:line="126" w:lineRule="exact"/>
              <w:rPr>
                <w:sz w:val="20"/>
                <w:szCs w:val="20"/>
                <w:color w:val="auto"/>
              </w:rPr>
            </w:pPr>
            <w:r>
              <w:rPr>
                <w:rFonts w:ascii="Calibri" w:cs="Calibri" w:eastAsia="Calibri" w:hAnsi="Calibri"/>
                <w:sz w:val="12"/>
                <w:szCs w:val="12"/>
                <w:color w:val="auto"/>
              </w:rPr>
              <w:t>22.6%</w:t>
            </w:r>
          </w:p>
        </w:tc>
        <w:tc>
          <w:tcPr>
            <w:tcW w:w="780" w:type="dxa"/>
            <w:vAlign w:val="bottom"/>
            <w:tcBorders>
              <w:right w:val="single" w:sz="8" w:color="auto"/>
            </w:tcBorders>
          </w:tcPr>
          <w:p>
            <w:pPr>
              <w:jc w:val="center"/>
              <w:spacing w:after="0" w:line="126" w:lineRule="exact"/>
              <w:rPr>
                <w:sz w:val="20"/>
                <w:szCs w:val="20"/>
                <w:color w:val="auto"/>
              </w:rPr>
            </w:pPr>
            <w:r>
              <w:rPr>
                <w:rFonts w:ascii="Calibri" w:cs="Calibri" w:eastAsia="Calibri" w:hAnsi="Calibri"/>
                <w:sz w:val="12"/>
                <w:szCs w:val="12"/>
                <w:color w:val="auto"/>
              </w:rPr>
              <w:t>40.1%</w:t>
            </w:r>
          </w:p>
        </w:tc>
        <w:tc>
          <w:tcPr>
            <w:tcW w:w="960" w:type="dxa"/>
            <w:vAlign w:val="bottom"/>
          </w:tcPr>
          <w:p>
            <w:pPr>
              <w:jc w:val="center"/>
              <w:ind w:right="139"/>
              <w:spacing w:after="0" w:line="126" w:lineRule="exact"/>
              <w:rPr>
                <w:sz w:val="20"/>
                <w:szCs w:val="20"/>
                <w:color w:val="auto"/>
              </w:rPr>
            </w:pPr>
            <w:r>
              <w:rPr>
                <w:rFonts w:ascii="Calibri" w:cs="Calibri" w:eastAsia="Calibri" w:hAnsi="Calibri"/>
                <w:sz w:val="12"/>
                <w:szCs w:val="12"/>
                <w:color w:val="auto"/>
                <w:w w:val="99"/>
              </w:rPr>
              <w:t>1747 bps</w:t>
            </w:r>
          </w:p>
        </w:tc>
        <w:tc>
          <w:tcPr>
            <w:tcW w:w="600" w:type="dxa"/>
            <w:vAlign w:val="bottom"/>
            <w:tcBorders>
              <w:right w:val="single" w:sz="8" w:color="auto"/>
            </w:tcBorders>
          </w:tcPr>
          <w:p>
            <w:pPr>
              <w:jc w:val="center"/>
              <w:ind w:right="159"/>
              <w:spacing w:after="0" w:line="126" w:lineRule="exact"/>
              <w:rPr>
                <w:sz w:val="20"/>
                <w:szCs w:val="20"/>
                <w:color w:val="auto"/>
              </w:rPr>
            </w:pPr>
            <w:r>
              <w:rPr>
                <w:rFonts w:ascii="Calibri" w:cs="Calibri" w:eastAsia="Calibri" w:hAnsi="Calibri"/>
                <w:sz w:val="12"/>
                <w:szCs w:val="12"/>
                <w:color w:val="auto"/>
                <w:w w:val="99"/>
              </w:rPr>
              <w:t>807 bps</w:t>
            </w:r>
          </w:p>
        </w:tc>
        <w:tc>
          <w:tcPr>
            <w:tcW w:w="600" w:type="dxa"/>
            <w:vAlign w:val="bottom"/>
          </w:tcPr>
          <w:p>
            <w:pPr>
              <w:jc w:val="center"/>
              <w:ind w:left="119"/>
              <w:spacing w:after="0" w:line="126" w:lineRule="exact"/>
              <w:rPr>
                <w:sz w:val="20"/>
                <w:szCs w:val="20"/>
                <w:color w:val="auto"/>
              </w:rPr>
            </w:pPr>
            <w:r>
              <w:rPr>
                <w:rFonts w:ascii="Calibri" w:cs="Calibri" w:eastAsia="Calibri" w:hAnsi="Calibri"/>
                <w:sz w:val="12"/>
                <w:szCs w:val="12"/>
                <w:color w:val="auto"/>
              </w:rPr>
              <w:t>30.2%</w:t>
            </w:r>
          </w:p>
        </w:tc>
        <w:tc>
          <w:tcPr>
            <w:tcW w:w="980" w:type="dxa"/>
            <w:vAlign w:val="bottom"/>
            <w:tcBorders>
              <w:right w:val="single" w:sz="8" w:color="auto"/>
            </w:tcBorders>
          </w:tcPr>
          <w:p>
            <w:pPr>
              <w:jc w:val="center"/>
              <w:ind w:left="99"/>
              <w:spacing w:after="0" w:line="126" w:lineRule="exact"/>
              <w:rPr>
                <w:sz w:val="20"/>
                <w:szCs w:val="20"/>
                <w:color w:val="auto"/>
              </w:rPr>
            </w:pPr>
            <w:r>
              <w:rPr>
                <w:rFonts w:ascii="Calibri" w:cs="Calibri" w:eastAsia="Calibri" w:hAnsi="Calibri"/>
                <w:sz w:val="12"/>
                <w:szCs w:val="12"/>
                <w:color w:val="auto"/>
              </w:rPr>
              <w:t>28.9%</w:t>
            </w:r>
          </w:p>
        </w:tc>
        <w:tc>
          <w:tcPr>
            <w:tcW w:w="900" w:type="dxa"/>
            <w:vAlign w:val="bottom"/>
            <w:tcBorders>
              <w:right w:val="single" w:sz="8" w:color="auto"/>
            </w:tcBorders>
          </w:tcPr>
          <w:p>
            <w:pPr>
              <w:jc w:val="center"/>
              <w:spacing w:after="0" w:line="126" w:lineRule="exact"/>
              <w:rPr>
                <w:sz w:val="20"/>
                <w:szCs w:val="20"/>
                <w:color w:val="auto"/>
              </w:rPr>
            </w:pPr>
            <w:r>
              <w:rPr>
                <w:rFonts w:ascii="Calibri" w:cs="Calibri" w:eastAsia="Calibri" w:hAnsi="Calibri"/>
                <w:sz w:val="12"/>
                <w:szCs w:val="12"/>
                <w:color w:val="auto"/>
              </w:rPr>
              <w:t>-124 bps</w:t>
            </w:r>
          </w:p>
        </w:tc>
      </w:tr>
      <w:tr>
        <w:trPr>
          <w:trHeight w:val="143"/>
        </w:trPr>
        <w:tc>
          <w:tcPr>
            <w:tcW w:w="488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Net Interest Margin</w:t>
            </w:r>
          </w:p>
        </w:tc>
        <w:tc>
          <w:tcPr>
            <w:tcW w:w="740" w:type="dxa"/>
            <w:vAlign w:val="bottom"/>
          </w:tcPr>
          <w:p>
            <w:pPr>
              <w:jc w:val="center"/>
              <w:spacing w:after="0" w:line="143" w:lineRule="exact"/>
              <w:rPr>
                <w:sz w:val="20"/>
                <w:szCs w:val="20"/>
                <w:color w:val="auto"/>
              </w:rPr>
            </w:pPr>
            <w:r>
              <w:rPr>
                <w:rFonts w:ascii="Calibri" w:cs="Calibri" w:eastAsia="Calibri" w:hAnsi="Calibri"/>
                <w:sz w:val="12"/>
                <w:szCs w:val="12"/>
                <w:color w:val="auto"/>
              </w:rPr>
              <w:t>0.0%</w:t>
            </w:r>
          </w:p>
        </w:tc>
        <w:tc>
          <w:tcPr>
            <w:tcW w:w="820" w:type="dxa"/>
            <w:vAlign w:val="bottom"/>
          </w:tcPr>
          <w:p>
            <w:pPr>
              <w:jc w:val="center"/>
              <w:spacing w:after="0" w:line="143" w:lineRule="exact"/>
              <w:rPr>
                <w:sz w:val="20"/>
                <w:szCs w:val="20"/>
                <w:color w:val="auto"/>
              </w:rPr>
            </w:pPr>
            <w:r>
              <w:rPr>
                <w:rFonts w:ascii="Calibri" w:cs="Calibri" w:eastAsia="Calibri" w:hAnsi="Calibri"/>
                <w:sz w:val="12"/>
                <w:szCs w:val="12"/>
                <w:color w:val="auto"/>
              </w:rPr>
              <w:t>1.0%</w:t>
            </w:r>
          </w:p>
        </w:tc>
        <w:tc>
          <w:tcPr>
            <w:tcW w:w="7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0.0%</w:t>
            </w:r>
          </w:p>
        </w:tc>
        <w:tc>
          <w:tcPr>
            <w:tcW w:w="960" w:type="dxa"/>
            <w:vAlign w:val="bottom"/>
          </w:tcPr>
          <w:p>
            <w:pPr>
              <w:jc w:val="center"/>
              <w:ind w:right="139"/>
              <w:spacing w:after="0" w:line="143" w:lineRule="exact"/>
              <w:rPr>
                <w:sz w:val="20"/>
                <w:szCs w:val="20"/>
                <w:color w:val="auto"/>
              </w:rPr>
            </w:pPr>
            <w:r>
              <w:rPr>
                <w:rFonts w:ascii="Calibri" w:cs="Calibri" w:eastAsia="Calibri" w:hAnsi="Calibri"/>
                <w:sz w:val="12"/>
                <w:szCs w:val="12"/>
                <w:color w:val="auto"/>
              </w:rPr>
              <w:t>-92 bps</w:t>
            </w:r>
          </w:p>
        </w:tc>
        <w:tc>
          <w:tcPr>
            <w:tcW w:w="600" w:type="dxa"/>
            <w:vAlign w:val="bottom"/>
            <w:tcBorders>
              <w:right w:val="single" w:sz="8" w:color="auto"/>
            </w:tcBorders>
          </w:tcPr>
          <w:p>
            <w:pPr>
              <w:jc w:val="center"/>
              <w:ind w:right="159"/>
              <w:spacing w:after="0" w:line="143" w:lineRule="exact"/>
              <w:rPr>
                <w:sz w:val="20"/>
                <w:szCs w:val="20"/>
                <w:color w:val="auto"/>
              </w:rPr>
            </w:pPr>
            <w:r>
              <w:rPr>
                <w:rFonts w:ascii="Calibri" w:cs="Calibri" w:eastAsia="Calibri" w:hAnsi="Calibri"/>
                <w:sz w:val="12"/>
                <w:szCs w:val="12"/>
                <w:color w:val="auto"/>
                <w:w w:val="99"/>
              </w:rPr>
              <w:t>1 bps</w:t>
            </w:r>
          </w:p>
        </w:tc>
        <w:tc>
          <w:tcPr>
            <w:tcW w:w="600" w:type="dxa"/>
            <w:vAlign w:val="bottom"/>
          </w:tcPr>
          <w:p>
            <w:pPr>
              <w:jc w:val="center"/>
              <w:ind w:left="99"/>
              <w:spacing w:after="0" w:line="143" w:lineRule="exact"/>
              <w:rPr>
                <w:sz w:val="20"/>
                <w:szCs w:val="20"/>
                <w:color w:val="auto"/>
              </w:rPr>
            </w:pPr>
            <w:r>
              <w:rPr>
                <w:rFonts w:ascii="Calibri" w:cs="Calibri" w:eastAsia="Calibri" w:hAnsi="Calibri"/>
                <w:sz w:val="12"/>
                <w:szCs w:val="12"/>
                <w:color w:val="auto"/>
              </w:rPr>
              <w:t>0.6%</w:t>
            </w:r>
          </w:p>
        </w:tc>
        <w:tc>
          <w:tcPr>
            <w:tcW w:w="980" w:type="dxa"/>
            <w:vAlign w:val="bottom"/>
            <w:tcBorders>
              <w:right w:val="single" w:sz="8" w:color="auto"/>
            </w:tcBorders>
          </w:tcPr>
          <w:p>
            <w:pPr>
              <w:jc w:val="center"/>
              <w:ind w:left="79"/>
              <w:spacing w:after="0" w:line="143" w:lineRule="exact"/>
              <w:rPr>
                <w:sz w:val="20"/>
                <w:szCs w:val="20"/>
                <w:color w:val="auto"/>
              </w:rPr>
            </w:pPr>
            <w:r>
              <w:rPr>
                <w:rFonts w:ascii="Calibri" w:cs="Calibri" w:eastAsia="Calibri" w:hAnsi="Calibri"/>
                <w:sz w:val="12"/>
                <w:szCs w:val="12"/>
                <w:color w:val="auto"/>
              </w:rPr>
              <w:t>0.5%</w:t>
            </w:r>
          </w:p>
        </w:tc>
        <w:tc>
          <w:tcPr>
            <w:tcW w:w="9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 bps</w:t>
            </w:r>
          </w:p>
        </w:tc>
      </w:tr>
      <w:tr>
        <w:trPr>
          <w:trHeight w:val="143"/>
        </w:trPr>
        <w:tc>
          <w:tcPr>
            <w:tcW w:w="4880" w:type="dxa"/>
            <w:vAlign w:val="bottom"/>
            <w:tcBorders>
              <w:left w:val="single" w:sz="8" w:color="auto"/>
              <w:right w:val="single" w:sz="8" w:color="auto"/>
            </w:tcBorders>
          </w:tcPr>
          <w:p>
            <w:pPr>
              <w:ind w:left="20"/>
              <w:spacing w:after="0" w:line="143" w:lineRule="exact"/>
              <w:rPr>
                <w:sz w:val="20"/>
                <w:szCs w:val="20"/>
                <w:color w:val="auto"/>
              </w:rPr>
            </w:pPr>
            <w:r>
              <w:rPr>
                <w:rFonts w:ascii="Calibri" w:cs="Calibri" w:eastAsia="Calibri" w:hAnsi="Calibri"/>
                <w:sz w:val="12"/>
                <w:szCs w:val="12"/>
                <w:color w:val="auto"/>
              </w:rPr>
              <w:t>Efciency Rato</w:t>
            </w:r>
          </w:p>
        </w:tc>
        <w:tc>
          <w:tcPr>
            <w:tcW w:w="740" w:type="dxa"/>
            <w:vAlign w:val="bottom"/>
          </w:tcPr>
          <w:p>
            <w:pPr>
              <w:jc w:val="center"/>
              <w:spacing w:after="0" w:line="143" w:lineRule="exact"/>
              <w:rPr>
                <w:sz w:val="20"/>
                <w:szCs w:val="20"/>
                <w:color w:val="auto"/>
              </w:rPr>
            </w:pPr>
            <w:r>
              <w:rPr>
                <w:rFonts w:ascii="Calibri" w:cs="Calibri" w:eastAsia="Calibri" w:hAnsi="Calibri"/>
                <w:sz w:val="12"/>
                <w:szCs w:val="12"/>
                <w:color w:val="auto"/>
              </w:rPr>
              <w:t>52.2%</w:t>
            </w:r>
          </w:p>
        </w:tc>
        <w:tc>
          <w:tcPr>
            <w:tcW w:w="820" w:type="dxa"/>
            <w:vAlign w:val="bottom"/>
          </w:tcPr>
          <w:p>
            <w:pPr>
              <w:jc w:val="center"/>
              <w:spacing w:after="0" w:line="143" w:lineRule="exact"/>
              <w:rPr>
                <w:sz w:val="20"/>
                <w:szCs w:val="20"/>
                <w:color w:val="auto"/>
              </w:rPr>
            </w:pPr>
            <w:r>
              <w:rPr>
                <w:rFonts w:ascii="Calibri" w:cs="Calibri" w:eastAsia="Calibri" w:hAnsi="Calibri"/>
                <w:sz w:val="12"/>
                <w:szCs w:val="12"/>
                <w:color w:val="auto"/>
              </w:rPr>
              <w:t>54.4%</w:t>
            </w:r>
          </w:p>
        </w:tc>
        <w:tc>
          <w:tcPr>
            <w:tcW w:w="78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51.4%</w:t>
            </w:r>
          </w:p>
        </w:tc>
        <w:tc>
          <w:tcPr>
            <w:tcW w:w="960" w:type="dxa"/>
            <w:vAlign w:val="bottom"/>
          </w:tcPr>
          <w:p>
            <w:pPr>
              <w:jc w:val="center"/>
              <w:ind w:right="159"/>
              <w:spacing w:after="0" w:line="143" w:lineRule="exact"/>
              <w:rPr>
                <w:sz w:val="20"/>
                <w:szCs w:val="20"/>
                <w:color w:val="auto"/>
              </w:rPr>
            </w:pPr>
            <w:r>
              <w:rPr>
                <w:rFonts w:ascii="Calibri" w:cs="Calibri" w:eastAsia="Calibri" w:hAnsi="Calibri"/>
                <w:sz w:val="12"/>
                <w:szCs w:val="12"/>
                <w:color w:val="auto"/>
              </w:rPr>
              <w:t>-306 bps</w:t>
            </w:r>
          </w:p>
        </w:tc>
        <w:tc>
          <w:tcPr>
            <w:tcW w:w="600" w:type="dxa"/>
            <w:vAlign w:val="bottom"/>
            <w:tcBorders>
              <w:right w:val="single" w:sz="8" w:color="auto"/>
            </w:tcBorders>
          </w:tcPr>
          <w:p>
            <w:pPr>
              <w:jc w:val="center"/>
              <w:ind w:right="159"/>
              <w:spacing w:after="0" w:line="143" w:lineRule="exact"/>
              <w:rPr>
                <w:sz w:val="20"/>
                <w:szCs w:val="20"/>
                <w:color w:val="auto"/>
              </w:rPr>
            </w:pPr>
            <w:r>
              <w:rPr>
                <w:rFonts w:ascii="Calibri" w:cs="Calibri" w:eastAsia="Calibri" w:hAnsi="Calibri"/>
                <w:sz w:val="12"/>
                <w:szCs w:val="12"/>
                <w:color w:val="auto"/>
              </w:rPr>
              <w:t>-80 bps</w:t>
            </w:r>
          </w:p>
        </w:tc>
        <w:tc>
          <w:tcPr>
            <w:tcW w:w="600" w:type="dxa"/>
            <w:vAlign w:val="bottom"/>
          </w:tcPr>
          <w:p>
            <w:pPr>
              <w:jc w:val="center"/>
              <w:ind w:left="119"/>
              <w:spacing w:after="0" w:line="143" w:lineRule="exact"/>
              <w:rPr>
                <w:sz w:val="20"/>
                <w:szCs w:val="20"/>
                <w:color w:val="auto"/>
              </w:rPr>
            </w:pPr>
            <w:r>
              <w:rPr>
                <w:rFonts w:ascii="Calibri" w:cs="Calibri" w:eastAsia="Calibri" w:hAnsi="Calibri"/>
                <w:sz w:val="12"/>
                <w:szCs w:val="12"/>
                <w:color w:val="auto"/>
              </w:rPr>
              <w:t>51.3%</w:t>
            </w:r>
          </w:p>
        </w:tc>
        <w:tc>
          <w:tcPr>
            <w:tcW w:w="9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52.9%</w:t>
            </w:r>
          </w:p>
        </w:tc>
        <w:tc>
          <w:tcPr>
            <w:tcW w:w="90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9"/>
              </w:rPr>
              <w:t>158 bps</w:t>
            </w:r>
          </w:p>
        </w:tc>
      </w:tr>
      <w:tr>
        <w:trPr>
          <w:trHeight w:val="150"/>
        </w:trPr>
        <w:tc>
          <w:tcPr>
            <w:tcW w:w="4880" w:type="dxa"/>
            <w:vAlign w:val="bottom"/>
            <w:tcBorders>
              <w:left w:val="single" w:sz="8" w:color="auto"/>
              <w:bottom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Operatng Expenses / Total Average Assets</w:t>
            </w:r>
          </w:p>
        </w:tc>
        <w:tc>
          <w:tcPr>
            <w:tcW w:w="74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28.4%</w:t>
            </w:r>
          </w:p>
        </w:tc>
        <w:tc>
          <w:tcPr>
            <w:tcW w:w="82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31.5%</w:t>
            </w:r>
          </w:p>
        </w:tc>
        <w:tc>
          <w:tcPr>
            <w:tcW w:w="78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32.2%</w:t>
            </w:r>
          </w:p>
        </w:tc>
        <w:tc>
          <w:tcPr>
            <w:tcW w:w="960" w:type="dxa"/>
            <w:vAlign w:val="bottom"/>
            <w:tcBorders>
              <w:bottom w:val="single" w:sz="8" w:color="auto"/>
            </w:tcBorders>
          </w:tcPr>
          <w:p>
            <w:pPr>
              <w:jc w:val="center"/>
              <w:ind w:right="139"/>
              <w:spacing w:after="0" w:line="145" w:lineRule="exact"/>
              <w:rPr>
                <w:sz w:val="20"/>
                <w:szCs w:val="20"/>
                <w:color w:val="auto"/>
              </w:rPr>
            </w:pPr>
            <w:r>
              <w:rPr>
                <w:rFonts w:ascii="Calibri" w:cs="Calibri" w:eastAsia="Calibri" w:hAnsi="Calibri"/>
                <w:sz w:val="12"/>
                <w:szCs w:val="12"/>
                <w:color w:val="auto"/>
                <w:w w:val="99"/>
              </w:rPr>
              <w:t>62 bps</w:t>
            </w:r>
          </w:p>
        </w:tc>
        <w:tc>
          <w:tcPr>
            <w:tcW w:w="600" w:type="dxa"/>
            <w:vAlign w:val="bottom"/>
            <w:tcBorders>
              <w:bottom w:val="single" w:sz="8" w:color="auto"/>
              <w:right w:val="single" w:sz="8" w:color="auto"/>
            </w:tcBorders>
          </w:tcPr>
          <w:p>
            <w:pPr>
              <w:jc w:val="center"/>
              <w:ind w:right="159"/>
              <w:spacing w:after="0" w:line="145" w:lineRule="exact"/>
              <w:rPr>
                <w:sz w:val="20"/>
                <w:szCs w:val="20"/>
                <w:color w:val="auto"/>
              </w:rPr>
            </w:pPr>
            <w:r>
              <w:rPr>
                <w:rFonts w:ascii="Calibri" w:cs="Calibri" w:eastAsia="Calibri" w:hAnsi="Calibri"/>
                <w:sz w:val="12"/>
                <w:szCs w:val="12"/>
                <w:color w:val="auto"/>
                <w:w w:val="99"/>
              </w:rPr>
              <w:t>372 bps</w:t>
            </w:r>
          </w:p>
        </w:tc>
        <w:tc>
          <w:tcPr>
            <w:tcW w:w="600" w:type="dxa"/>
            <w:vAlign w:val="bottom"/>
            <w:tcBorders>
              <w:bottom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rPr>
              <w:t>28.3%</w:t>
            </w:r>
          </w:p>
        </w:tc>
        <w:tc>
          <w:tcPr>
            <w:tcW w:w="980" w:type="dxa"/>
            <w:vAlign w:val="bottom"/>
            <w:tcBorders>
              <w:bottom w:val="single" w:sz="8" w:color="auto"/>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color w:val="auto"/>
              </w:rPr>
              <w:t>32.7%</w:t>
            </w:r>
          </w:p>
        </w:tc>
        <w:tc>
          <w:tcPr>
            <w:tcW w:w="90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9"/>
              </w:rPr>
              <w:t>443 bps</w:t>
            </w:r>
          </w:p>
        </w:tc>
      </w:tr>
    </w:tbl>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Main Indicators and Market Share</w:t>
      </w:r>
    </w:p>
    <w:p>
      <w:pPr>
        <w:spacing w:after="0" w:line="198" w:lineRule="exact"/>
        <w:rPr>
          <w:sz w:val="20"/>
          <w:szCs w:val="20"/>
          <w:color w:val="auto"/>
        </w:rPr>
      </w:pPr>
    </w:p>
    <w:tbl>
      <w:tblPr>
        <w:tblLayout w:type="fixed"/>
        <w:tblInd w:w="310" w:type="dxa"/>
        <w:tblCellMar>
          <w:top w:w="0" w:type="dxa"/>
          <w:left w:w="0" w:type="dxa"/>
          <w:bottom w:w="0" w:type="dxa"/>
          <w:right w:w="0" w:type="dxa"/>
        </w:tblCellMar>
      </w:tblPr>
      <w:tr>
        <w:trPr>
          <w:trHeight w:val="179"/>
        </w:trPr>
        <w:tc>
          <w:tcPr>
            <w:tcW w:w="5220" w:type="dxa"/>
            <w:vAlign w:val="bottom"/>
            <w:tcBorders>
              <w:top w:val="single" w:sz="8" w:color="auto"/>
              <w:left w:val="single" w:sz="8" w:color="auto"/>
              <w:right w:val="single" w:sz="8" w:color="auto"/>
            </w:tcBorders>
            <w:shd w:val="clear" w:color="auto" w:fill="33CCCC"/>
          </w:tcPr>
          <w:p>
            <w:pPr>
              <w:spacing w:after="0"/>
              <w:rPr>
                <w:sz w:val="15"/>
                <w:szCs w:val="15"/>
                <w:color w:val="auto"/>
              </w:rPr>
            </w:pPr>
          </w:p>
        </w:tc>
        <w:tc>
          <w:tcPr>
            <w:tcW w:w="90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4"/>
                <w:szCs w:val="14"/>
                <w:b w:val="1"/>
                <w:bCs w:val="1"/>
                <w:color w:val="FFFFFF"/>
              </w:rPr>
              <w:t>Prima</w:t>
            </w:r>
          </w:p>
        </w:tc>
        <w:tc>
          <w:tcPr>
            <w:tcW w:w="9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FFFFFF"/>
                <w:w w:val="94"/>
              </w:rPr>
              <w:t>System</w:t>
            </w:r>
          </w:p>
        </w:tc>
        <w:tc>
          <w:tcPr>
            <w:tcW w:w="900" w:type="dxa"/>
            <w:vAlign w:val="bottom"/>
            <w:tcBorders>
              <w:top w:val="single" w:sz="8" w:color="auto"/>
              <w:right w:val="single" w:sz="8" w:color="auto"/>
            </w:tcBorders>
            <w:shd w:val="clear" w:color="auto" w:fill="33CCCC"/>
          </w:tcPr>
          <w:p>
            <w:pPr>
              <w:ind w:left="220"/>
              <w:spacing w:after="0"/>
              <w:rPr>
                <w:sz w:val="20"/>
                <w:szCs w:val="20"/>
                <w:color w:val="auto"/>
              </w:rPr>
            </w:pPr>
            <w:r>
              <w:rPr>
                <w:rFonts w:ascii="Calibri" w:cs="Calibri" w:eastAsia="Calibri" w:hAnsi="Calibri"/>
                <w:sz w:val="14"/>
                <w:szCs w:val="14"/>
                <w:b w:val="1"/>
                <w:bCs w:val="1"/>
                <w:color w:val="FFFFFF"/>
              </w:rPr>
              <w:t>Share %</w:t>
            </w:r>
          </w:p>
        </w:tc>
        <w:tc>
          <w:tcPr>
            <w:tcW w:w="880" w:type="dxa"/>
            <w:vAlign w:val="bottom"/>
            <w:tcBorders>
              <w:top w:val="single" w:sz="8" w:color="auto"/>
            </w:tcBorders>
            <w:shd w:val="clear" w:color="auto" w:fill="33CCCC"/>
          </w:tcPr>
          <w:p>
            <w:pPr>
              <w:ind w:left="300"/>
              <w:spacing w:after="0"/>
              <w:rPr>
                <w:sz w:val="20"/>
                <w:szCs w:val="20"/>
                <w:color w:val="auto"/>
              </w:rPr>
            </w:pPr>
            <w:r>
              <w:rPr>
                <w:rFonts w:ascii="Calibri" w:cs="Calibri" w:eastAsia="Calibri" w:hAnsi="Calibri"/>
                <w:sz w:val="14"/>
                <w:szCs w:val="14"/>
                <w:b w:val="1"/>
                <w:bCs w:val="1"/>
                <w:color w:val="FFFFFF"/>
              </w:rPr>
              <w:t>Prima</w:t>
            </w:r>
          </w:p>
        </w:tc>
        <w:tc>
          <w:tcPr>
            <w:tcW w:w="9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FFFFFF"/>
                <w:w w:val="94"/>
              </w:rPr>
              <w:t>System</w:t>
            </w:r>
          </w:p>
        </w:tc>
        <w:tc>
          <w:tcPr>
            <w:tcW w:w="840" w:type="dxa"/>
            <w:vAlign w:val="bottom"/>
            <w:tcBorders>
              <w:top w:val="single" w:sz="8" w:color="auto"/>
              <w:right w:val="single" w:sz="8" w:color="auto"/>
            </w:tcBorders>
            <w:shd w:val="clear" w:color="auto" w:fill="33CCCC"/>
          </w:tcPr>
          <w:p>
            <w:pPr>
              <w:ind w:left="180"/>
              <w:spacing w:after="0"/>
              <w:rPr>
                <w:sz w:val="20"/>
                <w:szCs w:val="20"/>
                <w:color w:val="auto"/>
              </w:rPr>
            </w:pPr>
            <w:r>
              <w:rPr>
                <w:rFonts w:ascii="Calibri" w:cs="Calibri" w:eastAsia="Calibri" w:hAnsi="Calibri"/>
                <w:sz w:val="14"/>
                <w:szCs w:val="14"/>
                <w:b w:val="1"/>
                <w:bCs w:val="1"/>
                <w:color w:val="FFFFFF"/>
              </w:rPr>
              <w:t>Share %</w:t>
            </w:r>
          </w:p>
        </w:tc>
      </w:tr>
      <w:tr>
        <w:trPr>
          <w:trHeight w:val="169"/>
        </w:trPr>
        <w:tc>
          <w:tcPr>
            <w:tcW w:w="5220" w:type="dxa"/>
            <w:vAlign w:val="bottom"/>
            <w:tcBorders>
              <w:left w:val="single" w:sz="8" w:color="auto"/>
              <w:bottom w:val="single" w:sz="8" w:color="auto"/>
              <w:right w:val="single" w:sz="8" w:color="auto"/>
            </w:tcBorders>
            <w:shd w:val="clear" w:color="auto" w:fill="33CCCC"/>
          </w:tcPr>
          <w:p>
            <w:pPr>
              <w:spacing w:after="0"/>
              <w:rPr>
                <w:sz w:val="14"/>
                <w:szCs w:val="14"/>
                <w:color w:val="auto"/>
              </w:rPr>
            </w:pPr>
          </w:p>
        </w:tc>
        <w:tc>
          <w:tcPr>
            <w:tcW w:w="900" w:type="dxa"/>
            <w:vAlign w:val="bottom"/>
            <w:tcBorders>
              <w:bottom w:val="single" w:sz="8" w:color="auto"/>
            </w:tcBorders>
            <w:shd w:val="clear" w:color="auto" w:fill="33CCCC"/>
          </w:tcPr>
          <w:p>
            <w:pPr>
              <w:ind w:left="320"/>
              <w:spacing w:after="0" w:line="166" w:lineRule="exact"/>
              <w:rPr>
                <w:sz w:val="20"/>
                <w:szCs w:val="20"/>
                <w:color w:val="auto"/>
              </w:rPr>
            </w:pPr>
            <w:r>
              <w:rPr>
                <w:rFonts w:ascii="Calibri" w:cs="Calibri" w:eastAsia="Calibri" w:hAnsi="Calibri"/>
                <w:sz w:val="14"/>
                <w:szCs w:val="14"/>
                <w:b w:val="1"/>
                <w:bCs w:val="1"/>
                <w:color w:val="FFFFFF"/>
              </w:rPr>
              <w:t>1Q25</w:t>
            </w:r>
          </w:p>
        </w:tc>
        <w:tc>
          <w:tcPr>
            <w:tcW w:w="940" w:type="dxa"/>
            <w:vAlign w:val="bottom"/>
            <w:tcBorders>
              <w:bottom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w w:val="96"/>
              </w:rPr>
              <w:t>1Q25</w:t>
            </w:r>
          </w:p>
        </w:tc>
        <w:tc>
          <w:tcPr>
            <w:tcW w:w="900" w:type="dxa"/>
            <w:vAlign w:val="bottom"/>
            <w:tcBorders>
              <w:bottom w:val="single" w:sz="8" w:color="auto"/>
              <w:right w:val="single" w:sz="8" w:color="auto"/>
            </w:tcBorders>
            <w:shd w:val="clear" w:color="auto" w:fill="33CCCC"/>
          </w:tcPr>
          <w:p>
            <w:pPr>
              <w:ind w:left="280"/>
              <w:spacing w:after="0" w:line="166" w:lineRule="exact"/>
              <w:rPr>
                <w:sz w:val="20"/>
                <w:szCs w:val="20"/>
                <w:color w:val="auto"/>
              </w:rPr>
            </w:pPr>
            <w:r>
              <w:rPr>
                <w:rFonts w:ascii="Calibri" w:cs="Calibri" w:eastAsia="Calibri" w:hAnsi="Calibri"/>
                <w:sz w:val="14"/>
                <w:szCs w:val="14"/>
                <w:b w:val="1"/>
                <w:bCs w:val="1"/>
                <w:color w:val="FFFFFF"/>
              </w:rPr>
              <w:t>1Q25</w:t>
            </w:r>
          </w:p>
        </w:tc>
        <w:tc>
          <w:tcPr>
            <w:tcW w:w="880" w:type="dxa"/>
            <w:vAlign w:val="bottom"/>
            <w:tcBorders>
              <w:bottom w:val="single" w:sz="8" w:color="auto"/>
            </w:tcBorders>
            <w:shd w:val="clear" w:color="auto" w:fill="33CCCC"/>
          </w:tcPr>
          <w:p>
            <w:pPr>
              <w:ind w:left="300"/>
              <w:spacing w:after="0" w:line="166" w:lineRule="exact"/>
              <w:rPr>
                <w:sz w:val="20"/>
                <w:szCs w:val="20"/>
                <w:color w:val="auto"/>
              </w:rPr>
            </w:pPr>
            <w:r>
              <w:rPr>
                <w:rFonts w:ascii="Calibri" w:cs="Calibri" w:eastAsia="Calibri" w:hAnsi="Calibri"/>
                <w:sz w:val="14"/>
                <w:szCs w:val="14"/>
                <w:b w:val="1"/>
                <w:bCs w:val="1"/>
                <w:color w:val="FFFFFF"/>
              </w:rPr>
              <w:t>2Q25</w:t>
            </w:r>
          </w:p>
        </w:tc>
        <w:tc>
          <w:tcPr>
            <w:tcW w:w="980" w:type="dxa"/>
            <w:vAlign w:val="bottom"/>
            <w:tcBorders>
              <w:bottom w:val="single" w:sz="8" w:color="auto"/>
            </w:tcBorders>
            <w:shd w:val="clear" w:color="auto" w:fill="33CCCC"/>
          </w:tcPr>
          <w:p>
            <w:pPr>
              <w:jc w:val="center"/>
              <w:spacing w:after="0" w:line="166" w:lineRule="exact"/>
              <w:rPr>
                <w:sz w:val="20"/>
                <w:szCs w:val="20"/>
                <w:color w:val="auto"/>
              </w:rPr>
            </w:pPr>
            <w:r>
              <w:rPr>
                <w:rFonts w:ascii="Calibri" w:cs="Calibri" w:eastAsia="Calibri" w:hAnsi="Calibri"/>
                <w:sz w:val="14"/>
                <w:szCs w:val="14"/>
                <w:b w:val="1"/>
                <w:bCs w:val="1"/>
                <w:color w:val="FFFFFF"/>
              </w:rPr>
              <w:t>2Q25</w:t>
            </w:r>
          </w:p>
        </w:tc>
        <w:tc>
          <w:tcPr>
            <w:tcW w:w="840" w:type="dxa"/>
            <w:vAlign w:val="bottom"/>
            <w:tcBorders>
              <w:bottom w:val="single" w:sz="8" w:color="auto"/>
              <w:right w:val="single" w:sz="8" w:color="auto"/>
            </w:tcBorders>
            <w:shd w:val="clear" w:color="auto" w:fill="33CCCC"/>
          </w:tcPr>
          <w:p>
            <w:pPr>
              <w:ind w:left="240"/>
              <w:spacing w:after="0" w:line="166" w:lineRule="exact"/>
              <w:rPr>
                <w:sz w:val="20"/>
                <w:szCs w:val="20"/>
                <w:color w:val="auto"/>
              </w:rPr>
            </w:pPr>
            <w:r>
              <w:rPr>
                <w:rFonts w:ascii="Calibri" w:cs="Calibri" w:eastAsia="Calibri" w:hAnsi="Calibri"/>
                <w:sz w:val="14"/>
                <w:szCs w:val="14"/>
                <w:b w:val="1"/>
                <w:bCs w:val="1"/>
                <w:color w:val="FFFFFF"/>
              </w:rPr>
              <w:t>2Q25</w:t>
            </w:r>
          </w:p>
        </w:tc>
      </w:tr>
      <w:tr>
        <w:trPr>
          <w:trHeight w:val="150"/>
        </w:trPr>
        <w:tc>
          <w:tcPr>
            <w:tcW w:w="5220" w:type="dxa"/>
            <w:vAlign w:val="bottom"/>
            <w:tcBorders>
              <w:left w:val="single" w:sz="8" w:color="auto"/>
              <w:right w:val="single" w:sz="8" w:color="auto"/>
            </w:tcBorders>
          </w:tcPr>
          <w:p>
            <w:pPr>
              <w:spacing w:after="0" w:line="151" w:lineRule="exact"/>
              <w:rPr>
                <w:sz w:val="20"/>
                <w:szCs w:val="20"/>
                <w:color w:val="auto"/>
              </w:rPr>
            </w:pPr>
            <w:r>
              <w:rPr>
                <w:rFonts w:ascii="Calibri" w:cs="Calibri" w:eastAsia="Calibri" w:hAnsi="Calibri"/>
                <w:sz w:val="14"/>
                <w:szCs w:val="14"/>
                <w:color w:val="auto"/>
              </w:rPr>
              <w:t>AUMs (S/ Millions)</w:t>
            </w:r>
          </w:p>
        </w:tc>
        <w:tc>
          <w:tcPr>
            <w:tcW w:w="900" w:type="dxa"/>
            <w:vAlign w:val="bottom"/>
          </w:tcPr>
          <w:p>
            <w:pPr>
              <w:jc w:val="center"/>
              <w:spacing w:after="0" w:line="151" w:lineRule="exact"/>
              <w:rPr>
                <w:sz w:val="20"/>
                <w:szCs w:val="20"/>
                <w:color w:val="auto"/>
              </w:rPr>
            </w:pPr>
            <w:r>
              <w:rPr>
                <w:rFonts w:ascii="Calibri" w:cs="Calibri" w:eastAsia="Calibri" w:hAnsi="Calibri"/>
                <w:sz w:val="14"/>
                <w:szCs w:val="14"/>
                <w:color w:val="auto"/>
                <w:w w:val="97"/>
              </w:rPr>
              <w:t>31,702</w:t>
            </w:r>
          </w:p>
        </w:tc>
        <w:tc>
          <w:tcPr>
            <w:tcW w:w="940" w:type="dxa"/>
            <w:vAlign w:val="bottom"/>
          </w:tcPr>
          <w:p>
            <w:pPr>
              <w:jc w:val="center"/>
              <w:spacing w:after="0" w:line="151" w:lineRule="exact"/>
              <w:rPr>
                <w:sz w:val="20"/>
                <w:szCs w:val="20"/>
                <w:color w:val="auto"/>
              </w:rPr>
            </w:pPr>
            <w:r>
              <w:rPr>
                <w:rFonts w:ascii="Calibri" w:cs="Calibri" w:eastAsia="Calibri" w:hAnsi="Calibri"/>
                <w:sz w:val="14"/>
                <w:szCs w:val="14"/>
                <w:color w:val="auto"/>
                <w:w w:val="99"/>
              </w:rPr>
              <w:t>107,622</w:t>
            </w:r>
          </w:p>
        </w:tc>
        <w:tc>
          <w:tcPr>
            <w:tcW w:w="900" w:type="dxa"/>
            <w:vAlign w:val="bottom"/>
            <w:tcBorders>
              <w:right w:val="single" w:sz="8" w:color="auto"/>
            </w:tcBorders>
          </w:tcPr>
          <w:p>
            <w:pPr>
              <w:ind w:left="300"/>
              <w:spacing w:after="0" w:line="151" w:lineRule="exact"/>
              <w:rPr>
                <w:sz w:val="20"/>
                <w:szCs w:val="20"/>
                <w:color w:val="auto"/>
              </w:rPr>
            </w:pPr>
            <w:r>
              <w:rPr>
                <w:rFonts w:ascii="Calibri" w:cs="Calibri" w:eastAsia="Calibri" w:hAnsi="Calibri"/>
                <w:sz w:val="14"/>
                <w:szCs w:val="14"/>
                <w:color w:val="auto"/>
              </w:rPr>
              <w:t>29%</w:t>
            </w:r>
          </w:p>
        </w:tc>
        <w:tc>
          <w:tcPr>
            <w:tcW w:w="880" w:type="dxa"/>
            <w:vAlign w:val="bottom"/>
          </w:tcPr>
          <w:p>
            <w:pPr>
              <w:jc w:val="center"/>
              <w:spacing w:after="0" w:line="151" w:lineRule="exact"/>
              <w:rPr>
                <w:sz w:val="20"/>
                <w:szCs w:val="20"/>
                <w:color w:val="auto"/>
              </w:rPr>
            </w:pPr>
            <w:r>
              <w:rPr>
                <w:rFonts w:ascii="Calibri" w:cs="Calibri" w:eastAsia="Calibri" w:hAnsi="Calibri"/>
                <w:sz w:val="14"/>
                <w:szCs w:val="14"/>
                <w:color w:val="auto"/>
              </w:rPr>
              <w:t>32,943</w:t>
            </w:r>
          </w:p>
        </w:tc>
        <w:tc>
          <w:tcPr>
            <w:tcW w:w="980" w:type="dxa"/>
            <w:vAlign w:val="bottom"/>
          </w:tcPr>
          <w:p>
            <w:pPr>
              <w:jc w:val="center"/>
              <w:spacing w:after="0" w:line="151" w:lineRule="exact"/>
              <w:rPr>
                <w:sz w:val="20"/>
                <w:szCs w:val="20"/>
                <w:color w:val="auto"/>
              </w:rPr>
            </w:pPr>
            <w:r>
              <w:rPr>
                <w:rFonts w:ascii="Calibri" w:cs="Calibri" w:eastAsia="Calibri" w:hAnsi="Calibri"/>
                <w:sz w:val="14"/>
                <w:szCs w:val="14"/>
                <w:color w:val="auto"/>
                <w:w w:val="99"/>
              </w:rPr>
              <w:t>113,513</w:t>
            </w:r>
          </w:p>
        </w:tc>
        <w:tc>
          <w:tcPr>
            <w:tcW w:w="840" w:type="dxa"/>
            <w:vAlign w:val="bottom"/>
            <w:tcBorders>
              <w:right w:val="single" w:sz="8" w:color="auto"/>
            </w:tcBorders>
          </w:tcPr>
          <w:p>
            <w:pPr>
              <w:ind w:left="260"/>
              <w:spacing w:after="0" w:line="151" w:lineRule="exact"/>
              <w:rPr>
                <w:sz w:val="20"/>
                <w:szCs w:val="20"/>
                <w:color w:val="auto"/>
              </w:rPr>
            </w:pPr>
            <w:r>
              <w:rPr>
                <w:rFonts w:ascii="Calibri" w:cs="Calibri" w:eastAsia="Calibri" w:hAnsi="Calibri"/>
                <w:sz w:val="14"/>
                <w:szCs w:val="14"/>
                <w:color w:val="auto"/>
              </w:rPr>
              <w:t>29%</w:t>
            </w:r>
          </w:p>
        </w:tc>
      </w:tr>
      <w:tr>
        <w:trPr>
          <w:trHeight w:val="166"/>
        </w:trPr>
        <w:tc>
          <w:tcPr>
            <w:tcW w:w="5220" w:type="dxa"/>
            <w:vAlign w:val="bottom"/>
            <w:tcBorders>
              <w:left w:val="single" w:sz="8" w:color="auto"/>
              <w:right w:val="single" w:sz="8" w:color="auto"/>
            </w:tcBorders>
          </w:tcPr>
          <w:p>
            <w:pPr>
              <w:spacing w:after="0" w:line="166" w:lineRule="exact"/>
              <w:rPr>
                <w:sz w:val="20"/>
                <w:szCs w:val="20"/>
                <w:color w:val="auto"/>
              </w:rPr>
            </w:pPr>
            <w:r>
              <w:rPr>
                <w:rFonts w:ascii="Calibri" w:cs="Calibri" w:eastAsia="Calibri" w:hAnsi="Calibri"/>
                <w:sz w:val="14"/>
                <w:szCs w:val="14"/>
                <w:color w:val="auto"/>
              </w:rPr>
              <w:t>Afliates (S/ Millions)</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color w:val="auto"/>
                <w:w w:val="98"/>
              </w:rPr>
              <w:t>2,338,126</w:t>
            </w:r>
          </w:p>
        </w:tc>
        <w:tc>
          <w:tcPr>
            <w:tcW w:w="940" w:type="dxa"/>
            <w:vAlign w:val="bottom"/>
          </w:tcPr>
          <w:p>
            <w:pPr>
              <w:jc w:val="center"/>
              <w:spacing w:after="0" w:line="166" w:lineRule="exact"/>
              <w:rPr>
                <w:sz w:val="20"/>
                <w:szCs w:val="20"/>
                <w:color w:val="auto"/>
              </w:rPr>
            </w:pPr>
            <w:r>
              <w:rPr>
                <w:rFonts w:ascii="Calibri" w:cs="Calibri" w:eastAsia="Calibri" w:hAnsi="Calibri"/>
                <w:sz w:val="14"/>
                <w:szCs w:val="14"/>
                <w:color w:val="auto"/>
                <w:w w:val="98"/>
              </w:rPr>
              <w:t>9,928,899</w:t>
            </w:r>
          </w:p>
        </w:tc>
        <w:tc>
          <w:tcPr>
            <w:tcW w:w="900" w:type="dxa"/>
            <w:vAlign w:val="bottom"/>
            <w:tcBorders>
              <w:right w:val="single" w:sz="8" w:color="auto"/>
            </w:tcBorders>
          </w:tcPr>
          <w:p>
            <w:pPr>
              <w:ind w:left="300"/>
              <w:spacing w:after="0" w:line="166" w:lineRule="exact"/>
              <w:rPr>
                <w:sz w:val="20"/>
                <w:szCs w:val="20"/>
                <w:color w:val="auto"/>
              </w:rPr>
            </w:pPr>
            <w:r>
              <w:rPr>
                <w:rFonts w:ascii="Calibri" w:cs="Calibri" w:eastAsia="Calibri" w:hAnsi="Calibri"/>
                <w:sz w:val="14"/>
                <w:szCs w:val="14"/>
                <w:color w:val="auto"/>
              </w:rPr>
              <w:t>24%</w:t>
            </w: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color w:val="auto"/>
                <w:w w:val="98"/>
              </w:rPr>
              <w:t>2,339,871</w:t>
            </w:r>
          </w:p>
        </w:tc>
        <w:tc>
          <w:tcPr>
            <w:tcW w:w="980" w:type="dxa"/>
            <w:vAlign w:val="bottom"/>
          </w:tcPr>
          <w:p>
            <w:pPr>
              <w:jc w:val="center"/>
              <w:spacing w:after="0" w:line="166" w:lineRule="exact"/>
              <w:rPr>
                <w:sz w:val="20"/>
                <w:szCs w:val="20"/>
                <w:color w:val="auto"/>
              </w:rPr>
            </w:pPr>
            <w:r>
              <w:rPr>
                <w:rFonts w:ascii="Calibri" w:cs="Calibri" w:eastAsia="Calibri" w:hAnsi="Calibri"/>
                <w:sz w:val="14"/>
                <w:szCs w:val="14"/>
                <w:color w:val="auto"/>
              </w:rPr>
              <w:t>10,049,438</w:t>
            </w:r>
          </w:p>
        </w:tc>
        <w:tc>
          <w:tcPr>
            <w:tcW w:w="840" w:type="dxa"/>
            <w:vAlign w:val="bottom"/>
            <w:tcBorders>
              <w:right w:val="single" w:sz="8" w:color="auto"/>
            </w:tcBorders>
          </w:tcPr>
          <w:p>
            <w:pPr>
              <w:ind w:left="260"/>
              <w:spacing w:after="0" w:line="166" w:lineRule="exact"/>
              <w:rPr>
                <w:sz w:val="20"/>
                <w:szCs w:val="20"/>
                <w:color w:val="auto"/>
              </w:rPr>
            </w:pPr>
            <w:r>
              <w:rPr>
                <w:rFonts w:ascii="Calibri" w:cs="Calibri" w:eastAsia="Calibri" w:hAnsi="Calibri"/>
                <w:sz w:val="14"/>
                <w:szCs w:val="14"/>
                <w:color w:val="auto"/>
              </w:rPr>
              <w:t>23%</w:t>
            </w:r>
          </w:p>
        </w:tc>
      </w:tr>
      <w:tr>
        <w:trPr>
          <w:trHeight w:val="180"/>
        </w:trPr>
        <w:tc>
          <w:tcPr>
            <w:tcW w:w="5220" w:type="dxa"/>
            <w:vAlign w:val="bottom"/>
            <w:tcBorders>
              <w:left w:val="single" w:sz="8" w:color="auto"/>
              <w:bottom w:val="single" w:sz="8" w:color="auto"/>
              <w:right w:val="single" w:sz="8" w:color="auto"/>
            </w:tcBorders>
          </w:tcPr>
          <w:p>
            <w:pPr>
              <w:spacing w:after="0" w:line="169" w:lineRule="exact"/>
              <w:rPr>
                <w:sz w:val="20"/>
                <w:szCs w:val="20"/>
                <w:color w:val="auto"/>
              </w:rPr>
            </w:pPr>
            <w:r>
              <w:rPr>
                <w:rFonts w:ascii="Calibri" w:cs="Calibri" w:eastAsia="Calibri" w:hAnsi="Calibri"/>
                <w:sz w:val="14"/>
                <w:szCs w:val="14"/>
                <w:color w:val="auto"/>
              </w:rPr>
              <w:t>Collectons (S/ Millions)</w:t>
            </w:r>
          </w:p>
        </w:tc>
        <w:tc>
          <w:tcPr>
            <w:tcW w:w="90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3"/>
              </w:rPr>
              <w:t>1,085</w:t>
            </w:r>
          </w:p>
        </w:tc>
        <w:tc>
          <w:tcPr>
            <w:tcW w:w="9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4,158</w:t>
            </w:r>
          </w:p>
        </w:tc>
        <w:tc>
          <w:tcPr>
            <w:tcW w:w="900" w:type="dxa"/>
            <w:vAlign w:val="bottom"/>
            <w:tcBorders>
              <w:bottom w:val="single" w:sz="8" w:color="auto"/>
              <w:right w:val="single" w:sz="8" w:color="auto"/>
            </w:tcBorders>
          </w:tcPr>
          <w:p>
            <w:pPr>
              <w:ind w:left="300"/>
              <w:spacing w:after="0" w:line="169" w:lineRule="exact"/>
              <w:rPr>
                <w:sz w:val="20"/>
                <w:szCs w:val="20"/>
                <w:color w:val="auto"/>
              </w:rPr>
            </w:pPr>
            <w:r>
              <w:rPr>
                <w:rFonts w:ascii="Calibri" w:cs="Calibri" w:eastAsia="Calibri" w:hAnsi="Calibri"/>
                <w:sz w:val="14"/>
                <w:szCs w:val="14"/>
                <w:color w:val="auto"/>
              </w:rPr>
              <w:t>26%</w:t>
            </w:r>
          </w:p>
        </w:tc>
        <w:tc>
          <w:tcPr>
            <w:tcW w:w="8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1,121</w:t>
            </w:r>
          </w:p>
        </w:tc>
        <w:tc>
          <w:tcPr>
            <w:tcW w:w="9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4,348</w:t>
            </w:r>
          </w:p>
        </w:tc>
        <w:tc>
          <w:tcPr>
            <w:tcW w:w="840" w:type="dxa"/>
            <w:vAlign w:val="bottom"/>
            <w:tcBorders>
              <w:bottom w:val="single" w:sz="8" w:color="auto"/>
              <w:right w:val="single" w:sz="8" w:color="auto"/>
            </w:tcBorders>
          </w:tcPr>
          <w:p>
            <w:pPr>
              <w:ind w:left="260"/>
              <w:spacing w:after="0" w:line="169" w:lineRule="exact"/>
              <w:rPr>
                <w:sz w:val="20"/>
                <w:szCs w:val="20"/>
                <w:color w:val="auto"/>
              </w:rPr>
            </w:pPr>
            <w:r>
              <w:rPr>
                <w:rFonts w:ascii="Calibri" w:cs="Calibri" w:eastAsia="Calibri" w:hAnsi="Calibri"/>
                <w:sz w:val="14"/>
                <w:szCs w:val="14"/>
                <w:color w:val="auto"/>
              </w:rPr>
              <w:t>26%</w:t>
            </w:r>
          </w:p>
        </w:tc>
      </w:tr>
    </w:tbl>
    <w:p>
      <w:pPr>
        <w:spacing w:after="0" w:line="14" w:lineRule="exact"/>
        <w:rPr>
          <w:sz w:val="20"/>
          <w:szCs w:val="20"/>
          <w:color w:val="auto"/>
        </w:rPr>
      </w:pPr>
    </w:p>
    <w:p>
      <w:pPr>
        <w:ind w:left="480"/>
        <w:spacing w:after="0"/>
        <w:rPr>
          <w:sz w:val="20"/>
          <w:szCs w:val="20"/>
          <w:color w:val="auto"/>
        </w:rPr>
      </w:pPr>
      <w:r>
        <w:rPr>
          <w:rFonts w:ascii="Calibri" w:cs="Calibri" w:eastAsia="Calibri" w:hAnsi="Calibri"/>
          <w:sz w:val="12"/>
          <w:szCs w:val="12"/>
          <w:color w:val="auto"/>
        </w:rPr>
        <w:t>Source: Superintendencia de Banca, Seguros y AFPs.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947420</wp:posOffset>
            </wp:positionV>
            <wp:extent cx="7137400"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253365</wp:posOffset>
            </wp:positionV>
            <wp:extent cx="7186930" cy="5949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6930" cy="59499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9" w:name="page70"/>
    <w:bookmarkEnd w:id="69"/>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12. Appendix</w:t>
      </w:r>
    </w:p>
    <w:p>
      <w:pPr>
        <w:spacing w:after="0" w:line="303"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7"/>
          <w:szCs w:val="17"/>
          <w:b w:val="1"/>
          <w:bCs w:val="1"/>
          <w:color w:val="auto"/>
        </w:rPr>
        <w:t>12.7.8.</w:t>
        <w:tab/>
        <w:t>Grupo Pacifco</w:t>
      </w:r>
    </w:p>
    <w:p>
      <w:pPr>
        <w:spacing w:after="0" w:line="19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Key Indicators of Financial Positon</w:t>
      </w:r>
    </w:p>
    <w:p>
      <w:pPr>
        <w:jc w:val="center"/>
        <w:spacing w:after="0" w:line="237" w:lineRule="auto"/>
        <w:rPr>
          <w:sz w:val="20"/>
          <w:szCs w:val="20"/>
          <w:color w:val="auto"/>
        </w:rPr>
      </w:pPr>
      <w:r>
        <w:rPr>
          <w:rFonts w:ascii="Calibri" w:cs="Calibri" w:eastAsia="Calibri" w:hAnsi="Calibri"/>
          <w:sz w:val="16"/>
          <w:szCs w:val="16"/>
          <w:b w:val="1"/>
          <w:bCs w:val="1"/>
          <w:color w:val="auto"/>
        </w:rPr>
        <w:t>(S/ Thousands, IFRS)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0" w:type="dxa"/>
            <w:vAlign w:val="bottom"/>
            <w:tcBorders>
              <w:top w:val="single" w:sz="8" w:color="auto"/>
              <w:left w:val="single" w:sz="8" w:color="auto"/>
            </w:tcBorders>
            <w:shd w:val="clear" w:color="auto" w:fill="33CCCC"/>
          </w:tcPr>
          <w:p>
            <w:pPr>
              <w:spacing w:after="0"/>
              <w:rPr>
                <w:sz w:val="17"/>
                <w:szCs w:val="17"/>
                <w:color w:val="auto"/>
              </w:rPr>
            </w:pPr>
          </w:p>
        </w:tc>
        <w:tc>
          <w:tcPr>
            <w:tcW w:w="5180" w:type="dxa"/>
            <w:vAlign w:val="bottom"/>
            <w:tcBorders>
              <w:top w:val="single" w:sz="8" w:color="auto"/>
              <w:right w:val="single" w:sz="8" w:color="auto"/>
            </w:tcBorders>
            <w:shd w:val="clear" w:color="auto" w:fill="33CCCC"/>
          </w:tcPr>
          <w:p>
            <w:pPr>
              <w:spacing w:after="0"/>
              <w:rPr>
                <w:sz w:val="17"/>
                <w:szCs w:val="17"/>
                <w:color w:val="auto"/>
              </w:rPr>
            </w:pPr>
          </w:p>
        </w:tc>
        <w:tc>
          <w:tcPr>
            <w:tcW w:w="1120" w:type="dxa"/>
            <w:vAlign w:val="bottom"/>
            <w:tcBorders>
              <w:top w:val="single" w:sz="8" w:color="auto"/>
            </w:tcBorders>
            <w:shd w:val="clear" w:color="auto" w:fill="33CCCC"/>
          </w:tcPr>
          <w:p>
            <w:pPr>
              <w:spacing w:after="0"/>
              <w:rPr>
                <w:sz w:val="17"/>
                <w:szCs w:val="17"/>
                <w:color w:val="auto"/>
              </w:rPr>
            </w:pPr>
          </w:p>
        </w:tc>
        <w:tc>
          <w:tcPr>
            <w:tcW w:w="116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6"/>
                <w:szCs w:val="16"/>
                <w:b w:val="1"/>
                <w:bCs w:val="1"/>
                <w:color w:val="FFFFFF"/>
                <w:w w:val="95"/>
              </w:rPr>
              <w:t>As of</w:t>
            </w:r>
          </w:p>
        </w:tc>
        <w:tc>
          <w:tcPr>
            <w:tcW w:w="1220" w:type="dxa"/>
            <w:vAlign w:val="bottom"/>
            <w:tcBorders>
              <w:top w:val="single" w:sz="8" w:color="auto"/>
              <w:right w:val="single" w:sz="8" w:color="auto"/>
            </w:tcBorders>
            <w:shd w:val="clear" w:color="auto" w:fill="33CCCC"/>
          </w:tcPr>
          <w:p>
            <w:pPr>
              <w:spacing w:after="0"/>
              <w:rPr>
                <w:sz w:val="17"/>
                <w:szCs w:val="17"/>
                <w:color w:val="auto"/>
              </w:rPr>
            </w:pPr>
          </w:p>
        </w:tc>
        <w:tc>
          <w:tcPr>
            <w:tcW w:w="840" w:type="dxa"/>
            <w:vAlign w:val="bottom"/>
            <w:tcBorders>
              <w:top w:val="single" w:sz="8" w:color="auto"/>
            </w:tcBorders>
            <w:shd w:val="clear" w:color="auto" w:fill="33CCCC"/>
          </w:tcPr>
          <w:p>
            <w:pPr>
              <w:spacing w:after="0"/>
              <w:rPr>
                <w:sz w:val="17"/>
                <w:szCs w:val="17"/>
                <w:color w:val="auto"/>
              </w:rPr>
            </w:pPr>
          </w:p>
        </w:tc>
        <w:tc>
          <w:tcPr>
            <w:tcW w:w="162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6"/>
                <w:szCs w:val="16"/>
                <w:b w:val="1"/>
                <w:bCs w:val="1"/>
                <w:color w:val="FFFFFF"/>
              </w:rPr>
              <w:t>% Change</w:t>
            </w:r>
          </w:p>
        </w:tc>
      </w:tr>
      <w:tr>
        <w:trPr>
          <w:trHeight w:val="210"/>
        </w:trPr>
        <w:tc>
          <w:tcPr>
            <w:tcW w:w="120" w:type="dxa"/>
            <w:vAlign w:val="bottom"/>
            <w:tcBorders>
              <w:left w:val="single" w:sz="8" w:color="auto"/>
              <w:bottom w:val="single" w:sz="8" w:color="33CCCC"/>
            </w:tcBorders>
            <w:shd w:val="clear" w:color="auto" w:fill="33CCCC"/>
          </w:tcPr>
          <w:p>
            <w:pPr>
              <w:spacing w:after="0"/>
              <w:rPr>
                <w:sz w:val="17"/>
                <w:szCs w:val="17"/>
                <w:color w:val="auto"/>
              </w:rPr>
            </w:pPr>
          </w:p>
        </w:tc>
        <w:tc>
          <w:tcPr>
            <w:tcW w:w="5180" w:type="dxa"/>
            <w:vAlign w:val="bottom"/>
            <w:tcBorders>
              <w:bottom w:val="single" w:sz="8" w:color="33CCCC"/>
              <w:right w:val="single" w:sz="8" w:color="auto"/>
            </w:tcBorders>
            <w:shd w:val="clear" w:color="auto" w:fill="33CCCC"/>
          </w:tcPr>
          <w:p>
            <w:pPr>
              <w:spacing w:after="0"/>
              <w:rPr>
                <w:sz w:val="17"/>
                <w:szCs w:val="17"/>
                <w:color w:val="auto"/>
              </w:rPr>
            </w:pPr>
          </w:p>
        </w:tc>
        <w:tc>
          <w:tcPr>
            <w:tcW w:w="1120" w:type="dxa"/>
            <w:vAlign w:val="bottom"/>
            <w:tcBorders>
              <w:bottom w:val="single" w:sz="8" w:color="33CCCC"/>
            </w:tcBorders>
            <w:shd w:val="clear" w:color="auto" w:fill="33CCCC"/>
          </w:tcPr>
          <w:p>
            <w:pPr>
              <w:ind w:left="360"/>
              <w:spacing w:after="0" w:line="185" w:lineRule="exact"/>
              <w:rPr>
                <w:sz w:val="20"/>
                <w:szCs w:val="20"/>
                <w:color w:val="auto"/>
              </w:rPr>
            </w:pPr>
            <w:r>
              <w:rPr>
                <w:rFonts w:ascii="Calibri" w:cs="Calibri" w:eastAsia="Calibri" w:hAnsi="Calibri"/>
                <w:sz w:val="16"/>
                <w:szCs w:val="16"/>
                <w:b w:val="1"/>
                <w:bCs w:val="1"/>
                <w:color w:val="FFFFFF"/>
              </w:rPr>
              <w:t>Jun 24</w:t>
            </w:r>
          </w:p>
        </w:tc>
        <w:tc>
          <w:tcPr>
            <w:tcW w:w="1160" w:type="dxa"/>
            <w:vAlign w:val="bottom"/>
            <w:tcBorders>
              <w:bottom w:val="single" w:sz="8" w:color="33CCCC"/>
            </w:tcBorders>
            <w:shd w:val="clear" w:color="auto" w:fill="33CCCC"/>
          </w:tcPr>
          <w:p>
            <w:pPr>
              <w:jc w:val="center"/>
              <w:spacing w:after="0" w:line="185" w:lineRule="exact"/>
              <w:rPr>
                <w:sz w:val="20"/>
                <w:szCs w:val="20"/>
                <w:color w:val="auto"/>
              </w:rPr>
            </w:pPr>
            <w:r>
              <w:rPr>
                <w:rFonts w:ascii="Calibri" w:cs="Calibri" w:eastAsia="Calibri" w:hAnsi="Calibri"/>
                <w:sz w:val="16"/>
                <w:szCs w:val="16"/>
                <w:b w:val="1"/>
                <w:bCs w:val="1"/>
                <w:color w:val="FFFFFF"/>
                <w:w w:val="96"/>
              </w:rPr>
              <w:t>Mar 25</w:t>
            </w:r>
          </w:p>
        </w:tc>
        <w:tc>
          <w:tcPr>
            <w:tcW w:w="1220" w:type="dxa"/>
            <w:vAlign w:val="bottom"/>
            <w:tcBorders>
              <w:bottom w:val="single" w:sz="8" w:color="33CCCC"/>
              <w:right w:val="single" w:sz="8" w:color="auto"/>
            </w:tcBorders>
            <w:shd w:val="clear" w:color="auto" w:fill="33CCCC"/>
          </w:tcPr>
          <w:p>
            <w:pPr>
              <w:ind w:left="380"/>
              <w:spacing w:after="0" w:line="185" w:lineRule="exact"/>
              <w:rPr>
                <w:sz w:val="20"/>
                <w:szCs w:val="20"/>
                <w:color w:val="auto"/>
              </w:rPr>
            </w:pPr>
            <w:r>
              <w:rPr>
                <w:rFonts w:ascii="Calibri" w:cs="Calibri" w:eastAsia="Calibri" w:hAnsi="Calibri"/>
                <w:sz w:val="16"/>
                <w:szCs w:val="16"/>
                <w:b w:val="1"/>
                <w:bCs w:val="1"/>
                <w:color w:val="FFFFFF"/>
              </w:rPr>
              <w:t>Jun 25</w:t>
            </w:r>
          </w:p>
        </w:tc>
        <w:tc>
          <w:tcPr>
            <w:tcW w:w="840" w:type="dxa"/>
            <w:vAlign w:val="bottom"/>
            <w:tcBorders>
              <w:bottom w:val="single" w:sz="8" w:color="33CCCC"/>
            </w:tcBorders>
            <w:shd w:val="clear" w:color="auto" w:fill="33CCCC"/>
          </w:tcPr>
          <w:p>
            <w:pPr>
              <w:ind w:left="460"/>
              <w:spacing w:after="0" w:line="185" w:lineRule="exact"/>
              <w:rPr>
                <w:sz w:val="20"/>
                <w:szCs w:val="20"/>
                <w:color w:val="auto"/>
              </w:rPr>
            </w:pPr>
            <w:r>
              <w:rPr>
                <w:rFonts w:ascii="Calibri" w:cs="Calibri" w:eastAsia="Calibri" w:hAnsi="Calibri"/>
                <w:sz w:val="16"/>
                <w:szCs w:val="16"/>
                <w:b w:val="1"/>
                <w:bCs w:val="1"/>
                <w:color w:val="FFFFFF"/>
              </w:rPr>
              <w:t>QoQ</w:t>
            </w:r>
          </w:p>
        </w:tc>
        <w:tc>
          <w:tcPr>
            <w:tcW w:w="1620" w:type="dxa"/>
            <w:vAlign w:val="bottom"/>
            <w:tcBorders>
              <w:bottom w:val="single" w:sz="8" w:color="33CCCC"/>
              <w:right w:val="single" w:sz="8" w:color="auto"/>
            </w:tcBorders>
            <w:shd w:val="clear" w:color="auto" w:fill="33CCCC"/>
          </w:tcPr>
          <w:p>
            <w:pPr>
              <w:jc w:val="center"/>
              <w:ind w:left="262"/>
              <w:spacing w:after="0" w:line="185" w:lineRule="exact"/>
              <w:rPr>
                <w:sz w:val="20"/>
                <w:szCs w:val="20"/>
                <w:color w:val="auto"/>
              </w:rPr>
            </w:pPr>
            <w:r>
              <w:rPr>
                <w:rFonts w:ascii="Calibri" w:cs="Calibri" w:eastAsia="Calibri" w:hAnsi="Calibri"/>
                <w:sz w:val="16"/>
                <w:szCs w:val="16"/>
                <w:b w:val="1"/>
                <w:bCs w:val="1"/>
                <w:color w:val="FFFFFF"/>
                <w:w w:val="94"/>
              </w:rPr>
              <w:t>YoY</w:t>
            </w:r>
          </w:p>
        </w:tc>
      </w:tr>
      <w:tr>
        <w:trPr>
          <w:trHeight w:val="169"/>
        </w:trPr>
        <w:tc>
          <w:tcPr>
            <w:tcW w:w="120" w:type="dxa"/>
            <w:vAlign w:val="bottom"/>
            <w:tcBorders>
              <w:top w:val="single" w:sz="8" w:color="auto"/>
              <w:left w:val="single" w:sz="8" w:color="auto"/>
            </w:tcBorders>
          </w:tcPr>
          <w:p>
            <w:pPr>
              <w:spacing w:after="0"/>
              <w:rPr>
                <w:sz w:val="14"/>
                <w:szCs w:val="14"/>
                <w:color w:val="auto"/>
              </w:rPr>
            </w:pPr>
          </w:p>
        </w:tc>
        <w:tc>
          <w:tcPr>
            <w:tcW w:w="5180" w:type="dxa"/>
            <w:vAlign w:val="bottom"/>
            <w:tcBorders>
              <w:top w:val="single" w:sz="8" w:color="auto"/>
              <w:right w:val="single" w:sz="8" w:color="auto"/>
            </w:tcBorders>
          </w:tcPr>
          <w:p>
            <w:pPr>
              <w:spacing w:after="0" w:line="169" w:lineRule="exact"/>
              <w:rPr>
                <w:sz w:val="20"/>
                <w:szCs w:val="20"/>
                <w:color w:val="auto"/>
              </w:rPr>
            </w:pPr>
            <w:r>
              <w:rPr>
                <w:rFonts w:ascii="Calibri" w:cs="Calibri" w:eastAsia="Calibri" w:hAnsi="Calibri"/>
                <w:sz w:val="16"/>
                <w:szCs w:val="16"/>
                <w:color w:val="auto"/>
              </w:rPr>
              <w:t>Total assets</w:t>
            </w:r>
          </w:p>
        </w:tc>
        <w:tc>
          <w:tcPr>
            <w:tcW w:w="1120" w:type="dxa"/>
            <w:vAlign w:val="bottom"/>
            <w:tcBorders>
              <w:top w:val="single" w:sz="8" w:color="auto"/>
            </w:tcBorders>
          </w:tcPr>
          <w:p>
            <w:pPr>
              <w:jc w:val="center"/>
              <w:spacing w:after="0" w:line="169" w:lineRule="exact"/>
              <w:rPr>
                <w:sz w:val="20"/>
                <w:szCs w:val="20"/>
                <w:color w:val="auto"/>
              </w:rPr>
            </w:pPr>
            <w:r>
              <w:rPr>
                <w:rFonts w:ascii="Calibri" w:cs="Calibri" w:eastAsia="Calibri" w:hAnsi="Calibri"/>
                <w:sz w:val="16"/>
                <w:szCs w:val="16"/>
                <w:color w:val="auto"/>
                <w:w w:val="98"/>
              </w:rPr>
              <w:t>17,027,499</w:t>
            </w:r>
          </w:p>
        </w:tc>
        <w:tc>
          <w:tcPr>
            <w:tcW w:w="1160" w:type="dxa"/>
            <w:vAlign w:val="bottom"/>
            <w:tcBorders>
              <w:top w:val="single" w:sz="8" w:color="auto"/>
            </w:tcBorders>
          </w:tcPr>
          <w:p>
            <w:pPr>
              <w:jc w:val="center"/>
              <w:spacing w:after="0" w:line="169" w:lineRule="exact"/>
              <w:rPr>
                <w:sz w:val="20"/>
                <w:szCs w:val="20"/>
                <w:color w:val="auto"/>
              </w:rPr>
            </w:pPr>
            <w:r>
              <w:rPr>
                <w:rFonts w:ascii="Calibri" w:cs="Calibri" w:eastAsia="Calibri" w:hAnsi="Calibri"/>
                <w:sz w:val="16"/>
                <w:szCs w:val="16"/>
                <w:color w:val="auto"/>
                <w:w w:val="98"/>
              </w:rPr>
              <w:t>20,203,139</w:t>
            </w:r>
          </w:p>
        </w:tc>
        <w:tc>
          <w:tcPr>
            <w:tcW w:w="1220" w:type="dxa"/>
            <w:vAlign w:val="bottom"/>
            <w:tcBorders>
              <w:top w:val="single" w:sz="8" w:color="auto"/>
              <w:right w:val="single" w:sz="8" w:color="auto"/>
            </w:tcBorders>
          </w:tcPr>
          <w:p>
            <w:pPr>
              <w:jc w:val="center"/>
              <w:spacing w:after="0" w:line="169" w:lineRule="exact"/>
              <w:rPr>
                <w:sz w:val="20"/>
                <w:szCs w:val="20"/>
                <w:color w:val="auto"/>
              </w:rPr>
            </w:pPr>
            <w:r>
              <w:rPr>
                <w:rFonts w:ascii="Calibri" w:cs="Calibri" w:eastAsia="Calibri" w:hAnsi="Calibri"/>
                <w:sz w:val="16"/>
                <w:szCs w:val="16"/>
                <w:color w:val="auto"/>
                <w:w w:val="95"/>
              </w:rPr>
              <w:t>20,049,143</w:t>
            </w:r>
          </w:p>
        </w:tc>
        <w:tc>
          <w:tcPr>
            <w:tcW w:w="840" w:type="dxa"/>
            <w:vAlign w:val="bottom"/>
            <w:tcBorders>
              <w:top w:val="single" w:sz="8" w:color="auto"/>
            </w:tcBorders>
          </w:tcPr>
          <w:p>
            <w:pPr>
              <w:jc w:val="center"/>
              <w:ind w:left="282"/>
              <w:spacing w:after="0" w:line="169" w:lineRule="exact"/>
              <w:rPr>
                <w:sz w:val="20"/>
                <w:szCs w:val="20"/>
                <w:color w:val="auto"/>
              </w:rPr>
            </w:pPr>
            <w:r>
              <w:rPr>
                <w:rFonts w:ascii="Calibri" w:cs="Calibri" w:eastAsia="Calibri" w:hAnsi="Calibri"/>
                <w:sz w:val="16"/>
                <w:szCs w:val="16"/>
                <w:color w:val="auto"/>
                <w:w w:val="98"/>
              </w:rPr>
              <w:t>-0.8%</w:t>
            </w:r>
          </w:p>
        </w:tc>
        <w:tc>
          <w:tcPr>
            <w:tcW w:w="1620" w:type="dxa"/>
            <w:vAlign w:val="bottom"/>
            <w:tcBorders>
              <w:top w:val="single" w:sz="8" w:color="auto"/>
              <w:right w:val="single" w:sz="8" w:color="auto"/>
            </w:tcBorders>
          </w:tcPr>
          <w:p>
            <w:pPr>
              <w:jc w:val="center"/>
              <w:ind w:left="262"/>
              <w:spacing w:after="0" w:line="169" w:lineRule="exact"/>
              <w:rPr>
                <w:sz w:val="20"/>
                <w:szCs w:val="20"/>
                <w:color w:val="auto"/>
              </w:rPr>
            </w:pPr>
            <w:r>
              <w:rPr>
                <w:rFonts w:ascii="Calibri" w:cs="Calibri" w:eastAsia="Calibri" w:hAnsi="Calibri"/>
                <w:sz w:val="16"/>
                <w:szCs w:val="16"/>
                <w:color w:val="auto"/>
              </w:rPr>
              <w:t>17.7%</w:t>
            </w:r>
          </w:p>
        </w:tc>
      </w:tr>
      <w:tr>
        <w:trPr>
          <w:trHeight w:val="198"/>
        </w:trPr>
        <w:tc>
          <w:tcPr>
            <w:tcW w:w="12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spacing w:after="0" w:line="198" w:lineRule="exact"/>
              <w:rPr>
                <w:sz w:val="20"/>
                <w:szCs w:val="20"/>
                <w:color w:val="auto"/>
              </w:rPr>
            </w:pPr>
            <w:r>
              <w:rPr>
                <w:rFonts w:ascii="Calibri" w:cs="Calibri" w:eastAsia="Calibri" w:hAnsi="Calibri"/>
                <w:sz w:val="13"/>
                <w:szCs w:val="13"/>
                <w:color w:val="auto"/>
              </w:rPr>
              <w:t xml:space="preserve">Total Invesment </w:t>
            </w:r>
            <w:r>
              <w:rPr>
                <w:rFonts w:ascii="Calibri" w:cs="Calibri" w:eastAsia="Calibri" w:hAnsi="Calibri"/>
                <w:sz w:val="21"/>
                <w:szCs w:val="21"/>
                <w:color w:val="auto"/>
                <w:vertAlign w:val="superscript"/>
              </w:rPr>
              <w:t>(1)</w:t>
            </w:r>
          </w:p>
        </w:tc>
        <w:tc>
          <w:tcPr>
            <w:tcW w:w="1120" w:type="dxa"/>
            <w:vAlign w:val="bottom"/>
          </w:tcPr>
          <w:p>
            <w:pPr>
              <w:jc w:val="center"/>
              <w:spacing w:after="0" w:line="188" w:lineRule="exact"/>
              <w:rPr>
                <w:sz w:val="20"/>
                <w:szCs w:val="20"/>
                <w:color w:val="auto"/>
              </w:rPr>
            </w:pPr>
            <w:r>
              <w:rPr>
                <w:rFonts w:ascii="Calibri" w:cs="Calibri" w:eastAsia="Calibri" w:hAnsi="Calibri"/>
                <w:sz w:val="16"/>
                <w:szCs w:val="16"/>
                <w:color w:val="auto"/>
                <w:w w:val="98"/>
              </w:rPr>
              <w:t>12,823,140</w:t>
            </w:r>
          </w:p>
        </w:tc>
        <w:tc>
          <w:tcPr>
            <w:tcW w:w="1160" w:type="dxa"/>
            <w:vAlign w:val="bottom"/>
          </w:tcPr>
          <w:p>
            <w:pPr>
              <w:jc w:val="center"/>
              <w:spacing w:after="0" w:line="188" w:lineRule="exact"/>
              <w:rPr>
                <w:sz w:val="20"/>
                <w:szCs w:val="20"/>
                <w:color w:val="auto"/>
              </w:rPr>
            </w:pPr>
            <w:r>
              <w:rPr>
                <w:rFonts w:ascii="Calibri" w:cs="Calibri" w:eastAsia="Calibri" w:hAnsi="Calibri"/>
                <w:sz w:val="16"/>
                <w:szCs w:val="16"/>
                <w:color w:val="auto"/>
                <w:w w:val="98"/>
              </w:rPr>
              <w:t>14,117,211</w:t>
            </w:r>
          </w:p>
        </w:tc>
        <w:tc>
          <w:tcPr>
            <w:tcW w:w="1220" w:type="dxa"/>
            <w:vAlign w:val="bottom"/>
            <w:tcBorders>
              <w:right w:val="single" w:sz="8" w:color="auto"/>
            </w:tcBorders>
          </w:tcPr>
          <w:p>
            <w:pPr>
              <w:jc w:val="center"/>
              <w:spacing w:after="0" w:line="188" w:lineRule="exact"/>
              <w:rPr>
                <w:sz w:val="20"/>
                <w:szCs w:val="20"/>
                <w:color w:val="auto"/>
              </w:rPr>
            </w:pPr>
            <w:r>
              <w:rPr>
                <w:rFonts w:ascii="Calibri" w:cs="Calibri" w:eastAsia="Calibri" w:hAnsi="Calibri"/>
                <w:sz w:val="16"/>
                <w:szCs w:val="16"/>
                <w:color w:val="auto"/>
                <w:w w:val="95"/>
              </w:rPr>
              <w:t>14,228,488</w:t>
            </w:r>
          </w:p>
        </w:tc>
        <w:tc>
          <w:tcPr>
            <w:tcW w:w="840" w:type="dxa"/>
            <w:vAlign w:val="bottom"/>
          </w:tcPr>
          <w:p>
            <w:pPr>
              <w:jc w:val="center"/>
              <w:ind w:left="282"/>
              <w:spacing w:after="0" w:line="188" w:lineRule="exact"/>
              <w:rPr>
                <w:sz w:val="20"/>
                <w:szCs w:val="20"/>
                <w:color w:val="auto"/>
              </w:rPr>
            </w:pPr>
            <w:r>
              <w:rPr>
                <w:rFonts w:ascii="Calibri" w:cs="Calibri" w:eastAsia="Calibri" w:hAnsi="Calibri"/>
                <w:sz w:val="16"/>
                <w:szCs w:val="16"/>
                <w:color w:val="auto"/>
              </w:rPr>
              <w:t>0.8%</w:t>
            </w:r>
          </w:p>
        </w:tc>
        <w:tc>
          <w:tcPr>
            <w:tcW w:w="1620" w:type="dxa"/>
            <w:vAlign w:val="bottom"/>
            <w:tcBorders>
              <w:right w:val="single" w:sz="8" w:color="auto"/>
            </w:tcBorders>
          </w:tcPr>
          <w:p>
            <w:pPr>
              <w:jc w:val="center"/>
              <w:ind w:left="262"/>
              <w:spacing w:after="0" w:line="188" w:lineRule="exact"/>
              <w:rPr>
                <w:sz w:val="20"/>
                <w:szCs w:val="20"/>
                <w:color w:val="auto"/>
              </w:rPr>
            </w:pPr>
            <w:r>
              <w:rPr>
                <w:rFonts w:ascii="Calibri" w:cs="Calibri" w:eastAsia="Calibri" w:hAnsi="Calibri"/>
                <w:sz w:val="16"/>
                <w:szCs w:val="16"/>
                <w:color w:val="auto"/>
              </w:rPr>
              <w:t>11.0%</w:t>
            </w:r>
          </w:p>
        </w:tc>
      </w:tr>
      <w:tr>
        <w:trPr>
          <w:trHeight w:val="185"/>
        </w:trPr>
        <w:tc>
          <w:tcPr>
            <w:tcW w:w="12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line="185" w:lineRule="exact"/>
              <w:rPr>
                <w:sz w:val="20"/>
                <w:szCs w:val="20"/>
                <w:color w:val="auto"/>
              </w:rPr>
            </w:pPr>
            <w:r>
              <w:rPr>
                <w:rFonts w:ascii="Calibri" w:cs="Calibri" w:eastAsia="Calibri" w:hAnsi="Calibri"/>
                <w:sz w:val="16"/>
                <w:szCs w:val="16"/>
                <w:color w:val="auto"/>
              </w:rPr>
              <w:t>Total Liabilites</w:t>
            </w:r>
          </w:p>
        </w:tc>
        <w:tc>
          <w:tcPr>
            <w:tcW w:w="112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14,044,909</w:t>
            </w:r>
          </w:p>
        </w:tc>
        <w:tc>
          <w:tcPr>
            <w:tcW w:w="116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16,280,582</w:t>
            </w:r>
          </w:p>
        </w:tc>
        <w:tc>
          <w:tcPr>
            <w:tcW w:w="122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6"/>
                <w:szCs w:val="16"/>
                <w:color w:val="auto"/>
                <w:w w:val="95"/>
              </w:rPr>
              <w:t>16,007,803</w:t>
            </w:r>
          </w:p>
        </w:tc>
        <w:tc>
          <w:tcPr>
            <w:tcW w:w="840" w:type="dxa"/>
            <w:vAlign w:val="bottom"/>
          </w:tcPr>
          <w:p>
            <w:pPr>
              <w:jc w:val="center"/>
              <w:ind w:left="282"/>
              <w:spacing w:after="0" w:line="185" w:lineRule="exact"/>
              <w:rPr>
                <w:sz w:val="20"/>
                <w:szCs w:val="20"/>
                <w:color w:val="auto"/>
              </w:rPr>
            </w:pPr>
            <w:r>
              <w:rPr>
                <w:rFonts w:ascii="Calibri" w:cs="Calibri" w:eastAsia="Calibri" w:hAnsi="Calibri"/>
                <w:sz w:val="16"/>
                <w:szCs w:val="16"/>
                <w:color w:val="auto"/>
                <w:w w:val="98"/>
              </w:rPr>
              <w:t>-1.7%</w:t>
            </w:r>
          </w:p>
        </w:tc>
        <w:tc>
          <w:tcPr>
            <w:tcW w:w="1620" w:type="dxa"/>
            <w:vAlign w:val="bottom"/>
            <w:tcBorders>
              <w:right w:val="single" w:sz="8" w:color="auto"/>
            </w:tcBorders>
          </w:tcPr>
          <w:p>
            <w:pPr>
              <w:jc w:val="center"/>
              <w:ind w:left="262"/>
              <w:spacing w:after="0" w:line="185" w:lineRule="exact"/>
              <w:rPr>
                <w:sz w:val="20"/>
                <w:szCs w:val="20"/>
                <w:color w:val="auto"/>
              </w:rPr>
            </w:pPr>
            <w:r>
              <w:rPr>
                <w:rFonts w:ascii="Calibri" w:cs="Calibri" w:eastAsia="Calibri" w:hAnsi="Calibri"/>
                <w:sz w:val="16"/>
                <w:szCs w:val="16"/>
                <w:color w:val="auto"/>
              </w:rPr>
              <w:t>14.0%</w:t>
            </w:r>
          </w:p>
        </w:tc>
      </w:tr>
      <w:tr>
        <w:trPr>
          <w:trHeight w:val="235"/>
        </w:trPr>
        <w:tc>
          <w:tcPr>
            <w:tcW w:w="120" w:type="dxa"/>
            <w:vAlign w:val="bottom"/>
            <w:tcBorders>
              <w:left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6"/>
                <w:szCs w:val="16"/>
                <w:color w:val="auto"/>
              </w:rPr>
              <w:t>Net equity</w:t>
            </w:r>
          </w:p>
        </w:tc>
        <w:tc>
          <w:tcPr>
            <w:tcW w:w="112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color w:val="auto"/>
                <w:w w:val="98"/>
              </w:rPr>
              <w:t>2,967,599</w:t>
            </w: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color w:val="auto"/>
                <w:w w:val="98"/>
              </w:rPr>
              <w:t>3,177,756</w:t>
            </w:r>
          </w:p>
        </w:tc>
        <w:tc>
          <w:tcPr>
            <w:tcW w:w="12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w w:val="95"/>
              </w:rPr>
              <w:t>3,341,104</w:t>
            </w:r>
          </w:p>
        </w:tc>
        <w:tc>
          <w:tcPr>
            <w:tcW w:w="840" w:type="dxa"/>
            <w:vAlign w:val="bottom"/>
            <w:tcBorders>
              <w:bottom w:val="single" w:sz="8" w:color="auto"/>
            </w:tcBorders>
          </w:tcPr>
          <w:p>
            <w:pPr>
              <w:jc w:val="center"/>
              <w:ind w:left="282"/>
              <w:spacing w:after="0"/>
              <w:rPr>
                <w:sz w:val="20"/>
                <w:szCs w:val="20"/>
                <w:color w:val="auto"/>
              </w:rPr>
            </w:pPr>
            <w:r>
              <w:rPr>
                <w:rFonts w:ascii="Calibri" w:cs="Calibri" w:eastAsia="Calibri" w:hAnsi="Calibri"/>
                <w:sz w:val="16"/>
                <w:szCs w:val="16"/>
                <w:color w:val="auto"/>
              </w:rPr>
              <w:t>5.1%</w:t>
            </w:r>
          </w:p>
        </w:tc>
        <w:tc>
          <w:tcPr>
            <w:tcW w:w="1620" w:type="dxa"/>
            <w:vAlign w:val="bottom"/>
            <w:tcBorders>
              <w:bottom w:val="single" w:sz="8" w:color="auto"/>
              <w:right w:val="single" w:sz="8" w:color="auto"/>
            </w:tcBorders>
          </w:tcPr>
          <w:p>
            <w:pPr>
              <w:jc w:val="center"/>
              <w:ind w:left="262"/>
              <w:spacing w:after="0"/>
              <w:rPr>
                <w:sz w:val="20"/>
                <w:szCs w:val="20"/>
                <w:color w:val="auto"/>
              </w:rPr>
            </w:pPr>
            <w:r>
              <w:rPr>
                <w:rFonts w:ascii="Calibri" w:cs="Calibri" w:eastAsia="Calibri" w:hAnsi="Calibri"/>
                <w:sz w:val="16"/>
                <w:szCs w:val="16"/>
                <w:color w:val="auto"/>
              </w:rPr>
              <w:t>12.6%</w:t>
            </w:r>
          </w:p>
        </w:tc>
      </w:tr>
    </w:tbl>
    <w:p>
      <w:pPr>
        <w:spacing w:after="0" w:line="17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Income</w:t>
      </w:r>
    </w:p>
    <w:p>
      <w:pPr>
        <w:jc w:val="center"/>
        <w:spacing w:after="0" w:line="237" w:lineRule="auto"/>
        <w:rPr>
          <w:sz w:val="20"/>
          <w:szCs w:val="20"/>
          <w:color w:val="auto"/>
        </w:rPr>
      </w:pPr>
      <w:r>
        <w:rPr>
          <w:rFonts w:ascii="Calibri" w:cs="Calibri" w:eastAsia="Calibri" w:hAnsi="Calibri"/>
          <w:sz w:val="16"/>
          <w:szCs w:val="16"/>
          <w:b w:val="1"/>
          <w:bCs w:val="1"/>
          <w:color w:val="auto"/>
        </w:rPr>
        <w:t>(S/ Thousands, IFRS)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3960" w:type="dxa"/>
            <w:vAlign w:val="bottom"/>
            <w:tcBorders>
              <w:top w:val="single" w:sz="8" w:color="auto"/>
              <w:left w:val="single" w:sz="8" w:color="auto"/>
              <w:right w:val="single" w:sz="8" w:color="auto"/>
            </w:tcBorders>
            <w:shd w:val="clear" w:color="auto" w:fill="33CCCC"/>
          </w:tcPr>
          <w:p>
            <w:pPr>
              <w:spacing w:after="0"/>
              <w:rPr>
                <w:sz w:val="13"/>
                <w:szCs w:val="13"/>
                <w:color w:val="auto"/>
              </w:rPr>
            </w:pPr>
          </w:p>
        </w:tc>
        <w:tc>
          <w:tcPr>
            <w:tcW w:w="880" w:type="dxa"/>
            <w:vAlign w:val="bottom"/>
            <w:tcBorders>
              <w:top w:val="single" w:sz="8" w:color="auto"/>
            </w:tcBorders>
            <w:shd w:val="clear" w:color="auto" w:fill="33CCCC"/>
          </w:tcPr>
          <w:p>
            <w:pPr>
              <w:spacing w:after="0"/>
              <w:rPr>
                <w:sz w:val="13"/>
                <w:szCs w:val="13"/>
                <w:color w:val="auto"/>
              </w:rPr>
            </w:pPr>
          </w:p>
        </w:tc>
        <w:tc>
          <w:tcPr>
            <w:tcW w:w="900" w:type="dxa"/>
            <w:vAlign w:val="bottom"/>
            <w:tcBorders>
              <w:top w:val="single" w:sz="8" w:color="auto"/>
            </w:tcBorders>
            <w:shd w:val="clear" w:color="auto" w:fill="33CCCC"/>
          </w:tcPr>
          <w:p>
            <w:pPr>
              <w:ind w:left="260"/>
              <w:spacing w:after="0"/>
              <w:rPr>
                <w:sz w:val="20"/>
                <w:szCs w:val="20"/>
                <w:color w:val="auto"/>
              </w:rPr>
            </w:pPr>
            <w:r>
              <w:rPr>
                <w:rFonts w:ascii="Calibri" w:cs="Calibri" w:eastAsia="Calibri" w:hAnsi="Calibri"/>
                <w:sz w:val="12"/>
                <w:szCs w:val="12"/>
                <w:b w:val="1"/>
                <w:bCs w:val="1"/>
                <w:color w:val="FFFFFF"/>
              </w:rPr>
              <w:t>Quarter</w:t>
            </w:r>
          </w:p>
        </w:tc>
        <w:tc>
          <w:tcPr>
            <w:tcW w:w="920" w:type="dxa"/>
            <w:vAlign w:val="bottom"/>
            <w:tcBorders>
              <w:top w:val="single" w:sz="8" w:color="auto"/>
              <w:right w:val="single" w:sz="8" w:color="auto"/>
            </w:tcBorders>
            <w:shd w:val="clear" w:color="auto" w:fill="33CCCC"/>
          </w:tcPr>
          <w:p>
            <w:pPr>
              <w:spacing w:after="0"/>
              <w:rPr>
                <w:sz w:val="13"/>
                <w:szCs w:val="13"/>
                <w:color w:val="auto"/>
              </w:rPr>
            </w:pPr>
          </w:p>
        </w:tc>
        <w:tc>
          <w:tcPr>
            <w:tcW w:w="640" w:type="dxa"/>
            <w:vAlign w:val="bottom"/>
            <w:tcBorders>
              <w:top w:val="single" w:sz="8" w:color="auto"/>
            </w:tcBorders>
            <w:shd w:val="clear" w:color="auto" w:fill="33CCCC"/>
          </w:tcPr>
          <w:p>
            <w:pPr>
              <w:spacing w:after="0"/>
              <w:rPr>
                <w:sz w:val="13"/>
                <w:szCs w:val="13"/>
                <w:color w:val="auto"/>
              </w:rPr>
            </w:pPr>
          </w:p>
        </w:tc>
        <w:tc>
          <w:tcPr>
            <w:tcW w:w="1160" w:type="dxa"/>
            <w:vAlign w:val="bottom"/>
            <w:tcBorders>
              <w:top w:val="single" w:sz="8" w:color="auto"/>
              <w:right w:val="single" w:sz="8" w:color="auto"/>
            </w:tcBorders>
            <w:shd w:val="clear" w:color="auto" w:fill="33CCCC"/>
          </w:tcPr>
          <w:p>
            <w:pPr>
              <w:spacing w:after="0"/>
              <w:rPr>
                <w:sz w:val="20"/>
                <w:szCs w:val="20"/>
                <w:color w:val="auto"/>
              </w:rPr>
            </w:pPr>
            <w:r>
              <w:rPr>
                <w:rFonts w:ascii="Calibri" w:cs="Calibri" w:eastAsia="Calibri" w:hAnsi="Calibri"/>
                <w:sz w:val="12"/>
                <w:szCs w:val="12"/>
                <w:b w:val="1"/>
                <w:bCs w:val="1"/>
                <w:color w:val="FFFFFF"/>
              </w:rPr>
              <w:t>% Change</w:t>
            </w:r>
          </w:p>
        </w:tc>
        <w:tc>
          <w:tcPr>
            <w:tcW w:w="700" w:type="dxa"/>
            <w:vAlign w:val="bottom"/>
            <w:tcBorders>
              <w:top w:val="single" w:sz="8" w:color="auto"/>
            </w:tcBorders>
            <w:shd w:val="clear" w:color="auto" w:fill="33CCCC"/>
          </w:tcPr>
          <w:p>
            <w:pPr>
              <w:spacing w:after="0"/>
              <w:rPr>
                <w:sz w:val="13"/>
                <w:szCs w:val="13"/>
                <w:color w:val="auto"/>
              </w:rPr>
            </w:pPr>
          </w:p>
        </w:tc>
        <w:tc>
          <w:tcPr>
            <w:tcW w:w="108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2"/>
                <w:szCs w:val="12"/>
                <w:b w:val="1"/>
                <w:bCs w:val="1"/>
                <w:color w:val="FFFFFF"/>
              </w:rPr>
              <w:t>Up to</w:t>
            </w:r>
          </w:p>
        </w:tc>
        <w:tc>
          <w:tcPr>
            <w:tcW w:w="10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rPr>
              <w:t>% change</w:t>
            </w:r>
          </w:p>
        </w:tc>
      </w:tr>
      <w:tr>
        <w:trPr>
          <w:trHeight w:val="143"/>
        </w:trPr>
        <w:tc>
          <w:tcPr>
            <w:tcW w:w="396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88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rPr>
              <w:t>2Q24</w:t>
            </w:r>
          </w:p>
        </w:tc>
        <w:tc>
          <w:tcPr>
            <w:tcW w:w="900" w:type="dxa"/>
            <w:vAlign w:val="bottom"/>
            <w:tcBorders>
              <w:bottom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1Q25</w:t>
            </w:r>
          </w:p>
        </w:tc>
        <w:tc>
          <w:tcPr>
            <w:tcW w:w="92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w w:val="97"/>
              </w:rPr>
              <w:t>2Q25</w:t>
            </w:r>
          </w:p>
        </w:tc>
        <w:tc>
          <w:tcPr>
            <w:tcW w:w="640" w:type="dxa"/>
            <w:vAlign w:val="bottom"/>
            <w:tcBorders>
              <w:bottom w:val="single" w:sz="8" w:color="auto"/>
            </w:tcBorders>
            <w:shd w:val="clear" w:color="auto" w:fill="33CCCC"/>
          </w:tcPr>
          <w:p>
            <w:pPr>
              <w:ind w:left="320"/>
              <w:spacing w:after="0" w:line="143" w:lineRule="exact"/>
              <w:rPr>
                <w:sz w:val="20"/>
                <w:szCs w:val="20"/>
                <w:color w:val="auto"/>
              </w:rPr>
            </w:pPr>
            <w:r>
              <w:rPr>
                <w:rFonts w:ascii="Calibri" w:cs="Calibri" w:eastAsia="Calibri" w:hAnsi="Calibri"/>
                <w:sz w:val="12"/>
                <w:szCs w:val="12"/>
                <w:b w:val="1"/>
                <w:bCs w:val="1"/>
                <w:color w:val="FFFFFF"/>
              </w:rPr>
              <w:t>QoQ</w:t>
            </w:r>
          </w:p>
        </w:tc>
        <w:tc>
          <w:tcPr>
            <w:tcW w:w="1160" w:type="dxa"/>
            <w:vAlign w:val="bottom"/>
            <w:tcBorders>
              <w:bottom w:val="single" w:sz="8" w:color="auto"/>
              <w:right w:val="single" w:sz="8" w:color="auto"/>
            </w:tcBorders>
            <w:shd w:val="clear" w:color="auto" w:fill="33CCCC"/>
          </w:tcPr>
          <w:p>
            <w:pPr>
              <w:ind w:left="600"/>
              <w:spacing w:after="0" w:line="143" w:lineRule="exact"/>
              <w:rPr>
                <w:sz w:val="20"/>
                <w:szCs w:val="20"/>
                <w:color w:val="auto"/>
              </w:rPr>
            </w:pPr>
            <w:r>
              <w:rPr>
                <w:rFonts w:ascii="Calibri" w:cs="Calibri" w:eastAsia="Calibri" w:hAnsi="Calibri"/>
                <w:sz w:val="12"/>
                <w:szCs w:val="12"/>
                <w:b w:val="1"/>
                <w:bCs w:val="1"/>
                <w:color w:val="FFFFFF"/>
              </w:rPr>
              <w:t>YoY</w:t>
            </w:r>
          </w:p>
        </w:tc>
        <w:tc>
          <w:tcPr>
            <w:tcW w:w="700" w:type="dxa"/>
            <w:vAlign w:val="bottom"/>
            <w:tcBorders>
              <w:bottom w:val="single" w:sz="8" w:color="auto"/>
            </w:tcBorders>
            <w:shd w:val="clear" w:color="auto" w:fill="33CCCC"/>
          </w:tcPr>
          <w:p>
            <w:pPr>
              <w:ind w:left="260"/>
              <w:spacing w:after="0" w:line="143" w:lineRule="exact"/>
              <w:rPr>
                <w:sz w:val="20"/>
                <w:szCs w:val="20"/>
                <w:color w:val="auto"/>
              </w:rPr>
            </w:pPr>
            <w:r>
              <w:rPr>
                <w:rFonts w:ascii="Calibri" w:cs="Calibri" w:eastAsia="Calibri" w:hAnsi="Calibri"/>
                <w:sz w:val="12"/>
                <w:szCs w:val="12"/>
                <w:b w:val="1"/>
                <w:bCs w:val="1"/>
                <w:color w:val="FFFFFF"/>
              </w:rPr>
              <w:t>Jun 24</w:t>
            </w:r>
          </w:p>
        </w:tc>
        <w:tc>
          <w:tcPr>
            <w:tcW w:w="1080" w:type="dxa"/>
            <w:vAlign w:val="bottom"/>
            <w:tcBorders>
              <w:bottom w:val="single" w:sz="8" w:color="auto"/>
              <w:right w:val="single" w:sz="8" w:color="auto"/>
            </w:tcBorders>
            <w:shd w:val="clear" w:color="auto" w:fill="33CCCC"/>
          </w:tcPr>
          <w:p>
            <w:pPr>
              <w:ind w:left="460"/>
              <w:spacing w:after="0" w:line="143" w:lineRule="exact"/>
              <w:rPr>
                <w:sz w:val="20"/>
                <w:szCs w:val="20"/>
                <w:color w:val="auto"/>
              </w:rPr>
            </w:pPr>
            <w:r>
              <w:rPr>
                <w:rFonts w:ascii="Calibri" w:cs="Calibri" w:eastAsia="Calibri" w:hAnsi="Calibri"/>
                <w:sz w:val="12"/>
                <w:szCs w:val="12"/>
                <w:b w:val="1"/>
                <w:bCs w:val="1"/>
                <w:color w:val="FFFFFF"/>
              </w:rPr>
              <w:t>Jun 25</w:t>
            </w:r>
          </w:p>
        </w:tc>
        <w:tc>
          <w:tcPr>
            <w:tcW w:w="1020" w:type="dxa"/>
            <w:vAlign w:val="bottom"/>
            <w:tcBorders>
              <w:bottom w:val="single" w:sz="8" w:color="auto"/>
              <w:right w:val="single" w:sz="8" w:color="auto"/>
            </w:tcBorders>
            <w:shd w:val="clear" w:color="auto" w:fill="33CCCC"/>
          </w:tcPr>
          <w:p>
            <w:pPr>
              <w:jc w:val="center"/>
              <w:spacing w:after="0" w:line="143" w:lineRule="exact"/>
              <w:rPr>
                <w:sz w:val="20"/>
                <w:szCs w:val="20"/>
                <w:color w:val="auto"/>
              </w:rPr>
            </w:pPr>
            <w:r>
              <w:rPr>
                <w:rFonts w:ascii="Calibri" w:cs="Calibri" w:eastAsia="Calibri" w:hAnsi="Calibri"/>
                <w:sz w:val="12"/>
                <w:szCs w:val="12"/>
                <w:b w:val="1"/>
                <w:bCs w:val="1"/>
                <w:color w:val="FFFFFF"/>
              </w:rPr>
              <w:t>Jun 25 / Jun 24</w:t>
            </w:r>
          </w:p>
        </w:tc>
      </w:tr>
      <w:tr>
        <w:trPr>
          <w:trHeight w:val="125"/>
        </w:trPr>
        <w:tc>
          <w:tcPr>
            <w:tcW w:w="3960" w:type="dxa"/>
            <w:vAlign w:val="bottom"/>
            <w:tcBorders>
              <w:left w:val="single" w:sz="8" w:color="auto"/>
              <w:right w:val="single" w:sz="8" w:color="auto"/>
            </w:tcBorders>
          </w:tcPr>
          <w:p>
            <w:pPr>
              <w:ind w:left="120"/>
              <w:spacing w:after="0" w:line="126" w:lineRule="exact"/>
              <w:rPr>
                <w:sz w:val="20"/>
                <w:szCs w:val="20"/>
                <w:color w:val="auto"/>
              </w:rPr>
            </w:pPr>
            <w:r>
              <w:rPr>
                <w:rFonts w:ascii="Calibri" w:cs="Calibri" w:eastAsia="Calibri" w:hAnsi="Calibri"/>
                <w:sz w:val="12"/>
                <w:szCs w:val="12"/>
                <w:color w:val="auto"/>
              </w:rPr>
              <w:t>Insurance Service Result</w:t>
            </w:r>
          </w:p>
        </w:tc>
        <w:tc>
          <w:tcPr>
            <w:tcW w:w="880" w:type="dxa"/>
            <w:vAlign w:val="bottom"/>
          </w:tcPr>
          <w:p>
            <w:pPr>
              <w:jc w:val="center"/>
              <w:spacing w:after="0" w:line="126" w:lineRule="exact"/>
              <w:rPr>
                <w:sz w:val="20"/>
                <w:szCs w:val="20"/>
                <w:color w:val="auto"/>
              </w:rPr>
            </w:pPr>
            <w:r>
              <w:rPr>
                <w:rFonts w:ascii="Calibri" w:cs="Calibri" w:eastAsia="Calibri" w:hAnsi="Calibri"/>
                <w:sz w:val="12"/>
                <w:szCs w:val="12"/>
                <w:color w:val="auto"/>
              </w:rPr>
              <w:t>286,987</w:t>
            </w:r>
          </w:p>
        </w:tc>
        <w:tc>
          <w:tcPr>
            <w:tcW w:w="900" w:type="dxa"/>
            <w:vAlign w:val="bottom"/>
          </w:tcPr>
          <w:p>
            <w:pPr>
              <w:jc w:val="center"/>
              <w:spacing w:after="0" w:line="126" w:lineRule="exact"/>
              <w:rPr>
                <w:sz w:val="20"/>
                <w:szCs w:val="20"/>
                <w:color w:val="auto"/>
              </w:rPr>
            </w:pPr>
            <w:r>
              <w:rPr>
                <w:rFonts w:ascii="Calibri" w:cs="Calibri" w:eastAsia="Calibri" w:hAnsi="Calibri"/>
                <w:sz w:val="12"/>
                <w:szCs w:val="12"/>
                <w:color w:val="auto"/>
              </w:rPr>
              <w:t>279,931</w:t>
            </w:r>
          </w:p>
        </w:tc>
        <w:tc>
          <w:tcPr>
            <w:tcW w:w="920" w:type="dxa"/>
            <w:vAlign w:val="bottom"/>
            <w:tcBorders>
              <w:right w:val="single" w:sz="8" w:color="auto"/>
            </w:tcBorders>
          </w:tcPr>
          <w:p>
            <w:pPr>
              <w:jc w:val="center"/>
              <w:spacing w:after="0" w:line="126" w:lineRule="exact"/>
              <w:rPr>
                <w:sz w:val="20"/>
                <w:szCs w:val="20"/>
                <w:color w:val="auto"/>
              </w:rPr>
            </w:pPr>
            <w:r>
              <w:rPr>
                <w:rFonts w:ascii="Calibri" w:cs="Calibri" w:eastAsia="Calibri" w:hAnsi="Calibri"/>
                <w:sz w:val="12"/>
                <w:szCs w:val="12"/>
                <w:color w:val="auto"/>
                <w:w w:val="96"/>
              </w:rPr>
              <w:t>342,243</w:t>
            </w:r>
          </w:p>
        </w:tc>
        <w:tc>
          <w:tcPr>
            <w:tcW w:w="640" w:type="dxa"/>
            <w:vAlign w:val="bottom"/>
          </w:tcPr>
          <w:p>
            <w:pPr>
              <w:jc w:val="center"/>
              <w:ind w:left="159"/>
              <w:spacing w:after="0" w:line="126" w:lineRule="exact"/>
              <w:rPr>
                <w:sz w:val="20"/>
                <w:szCs w:val="20"/>
                <w:color w:val="auto"/>
              </w:rPr>
            </w:pPr>
            <w:r>
              <w:rPr>
                <w:rFonts w:ascii="Calibri" w:cs="Calibri" w:eastAsia="Calibri" w:hAnsi="Calibri"/>
                <w:sz w:val="12"/>
                <w:szCs w:val="12"/>
                <w:color w:val="auto"/>
              </w:rPr>
              <w:t>22.3%</w:t>
            </w:r>
          </w:p>
        </w:tc>
        <w:tc>
          <w:tcPr>
            <w:tcW w:w="1160" w:type="dxa"/>
            <w:vAlign w:val="bottom"/>
            <w:tcBorders>
              <w:right w:val="single" w:sz="8" w:color="auto"/>
            </w:tcBorders>
          </w:tcPr>
          <w:p>
            <w:pPr>
              <w:jc w:val="center"/>
              <w:ind w:left="159"/>
              <w:spacing w:after="0" w:line="126" w:lineRule="exact"/>
              <w:rPr>
                <w:sz w:val="20"/>
                <w:szCs w:val="20"/>
                <w:color w:val="auto"/>
              </w:rPr>
            </w:pPr>
            <w:r>
              <w:rPr>
                <w:rFonts w:ascii="Calibri" w:cs="Calibri" w:eastAsia="Calibri" w:hAnsi="Calibri"/>
                <w:sz w:val="12"/>
                <w:szCs w:val="12"/>
                <w:color w:val="auto"/>
              </w:rPr>
              <w:t>19.3%</w:t>
            </w:r>
          </w:p>
        </w:tc>
        <w:tc>
          <w:tcPr>
            <w:tcW w:w="700" w:type="dxa"/>
            <w:vAlign w:val="bottom"/>
          </w:tcPr>
          <w:p>
            <w:pPr>
              <w:jc w:val="center"/>
              <w:ind w:left="81"/>
              <w:spacing w:after="0" w:line="126" w:lineRule="exact"/>
              <w:rPr>
                <w:sz w:val="20"/>
                <w:szCs w:val="20"/>
                <w:color w:val="auto"/>
              </w:rPr>
            </w:pPr>
            <w:r>
              <w:rPr>
                <w:rFonts w:ascii="Calibri" w:cs="Calibri" w:eastAsia="Calibri" w:hAnsi="Calibri"/>
                <w:sz w:val="12"/>
                <w:szCs w:val="12"/>
                <w:color w:val="auto"/>
              </w:rPr>
              <w:t>628,781</w:t>
            </w:r>
          </w:p>
        </w:tc>
        <w:tc>
          <w:tcPr>
            <w:tcW w:w="1080" w:type="dxa"/>
            <w:vAlign w:val="bottom"/>
            <w:tcBorders>
              <w:right w:val="single" w:sz="8" w:color="auto"/>
            </w:tcBorders>
          </w:tcPr>
          <w:p>
            <w:pPr>
              <w:jc w:val="center"/>
              <w:ind w:left="99"/>
              <w:spacing w:after="0" w:line="126" w:lineRule="exact"/>
              <w:rPr>
                <w:sz w:val="20"/>
                <w:szCs w:val="20"/>
                <w:color w:val="auto"/>
              </w:rPr>
            </w:pPr>
            <w:r>
              <w:rPr>
                <w:rFonts w:ascii="Calibri" w:cs="Calibri" w:eastAsia="Calibri" w:hAnsi="Calibri"/>
                <w:sz w:val="12"/>
                <w:szCs w:val="12"/>
                <w:color w:val="auto"/>
              </w:rPr>
              <w:t>622,174</w:t>
            </w:r>
          </w:p>
        </w:tc>
        <w:tc>
          <w:tcPr>
            <w:tcW w:w="1020" w:type="dxa"/>
            <w:vAlign w:val="bottom"/>
            <w:tcBorders>
              <w:right w:val="single" w:sz="8" w:color="auto"/>
            </w:tcBorders>
          </w:tcPr>
          <w:p>
            <w:pPr>
              <w:jc w:val="center"/>
              <w:spacing w:after="0" w:line="126" w:lineRule="exact"/>
              <w:rPr>
                <w:sz w:val="20"/>
                <w:szCs w:val="20"/>
                <w:color w:val="auto"/>
              </w:rPr>
            </w:pPr>
            <w:r>
              <w:rPr>
                <w:rFonts w:ascii="Calibri" w:cs="Calibri" w:eastAsia="Calibri" w:hAnsi="Calibri"/>
                <w:sz w:val="12"/>
                <w:szCs w:val="12"/>
                <w:color w:val="auto"/>
              </w:rPr>
              <w:t>-1.1%</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Reinsurance Result</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(95,236)</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rPr>
              <w:t>(94,861)</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(107,333)</w:t>
            </w:r>
          </w:p>
        </w:tc>
        <w:tc>
          <w:tcPr>
            <w:tcW w:w="6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13.1%</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12.7%</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w w:val="98"/>
              </w:rPr>
              <w:t>(275,289)</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(202,194)</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-26.6%</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b w:val="1"/>
                <w:bCs w:val="1"/>
                <w:color w:val="auto"/>
              </w:rPr>
              <w:t>Insurance underwritng result</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191,751</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185,070</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234,910</w:t>
            </w:r>
          </w:p>
        </w:tc>
        <w:tc>
          <w:tcPr>
            <w:tcW w:w="640" w:type="dxa"/>
            <w:vAlign w:val="bottom"/>
          </w:tcPr>
          <w:p>
            <w:pPr>
              <w:jc w:val="center"/>
              <w:ind w:left="159"/>
              <w:spacing w:after="0" w:line="143" w:lineRule="exact"/>
              <w:rPr>
                <w:sz w:val="20"/>
                <w:szCs w:val="20"/>
                <w:color w:val="auto"/>
              </w:rPr>
            </w:pPr>
            <w:r>
              <w:rPr>
                <w:rFonts w:ascii="Calibri" w:cs="Calibri" w:eastAsia="Calibri" w:hAnsi="Calibri"/>
                <w:sz w:val="12"/>
                <w:szCs w:val="12"/>
                <w:b w:val="1"/>
                <w:bCs w:val="1"/>
                <w:color w:val="auto"/>
                <w:w w:val="99"/>
              </w:rPr>
              <w:t>26.9%</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b w:val="1"/>
                <w:bCs w:val="1"/>
                <w:color w:val="auto"/>
                <w:w w:val="99"/>
              </w:rPr>
              <w:t>22.5%</w:t>
            </w:r>
          </w:p>
        </w:tc>
        <w:tc>
          <w:tcPr>
            <w:tcW w:w="700" w:type="dxa"/>
            <w:vAlign w:val="bottom"/>
          </w:tcPr>
          <w:p>
            <w:pPr>
              <w:jc w:val="center"/>
              <w:ind w:left="81"/>
              <w:spacing w:after="0" w:line="143" w:lineRule="exact"/>
              <w:rPr>
                <w:sz w:val="20"/>
                <w:szCs w:val="20"/>
                <w:color w:val="auto"/>
              </w:rPr>
            </w:pPr>
            <w:r>
              <w:rPr>
                <w:rFonts w:ascii="Calibri" w:cs="Calibri" w:eastAsia="Calibri" w:hAnsi="Calibri"/>
                <w:sz w:val="12"/>
                <w:szCs w:val="12"/>
                <w:b w:val="1"/>
                <w:bCs w:val="1"/>
                <w:color w:val="auto"/>
              </w:rPr>
              <w:t>353,492</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b w:val="1"/>
                <w:bCs w:val="1"/>
                <w:color w:val="auto"/>
              </w:rPr>
              <w:t>419,980</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w w:val="99"/>
              </w:rPr>
              <w:t>18.8%</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Sale of medical services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rPr>
              <w:t>78,267</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6"/>
              </w:rPr>
              <w:t>474,732</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506.6%</w:t>
            </w:r>
          </w:p>
        </w:tc>
        <w:tc>
          <w:tcPr>
            <w:tcW w:w="1160" w:type="dxa"/>
            <w:vAlign w:val="bottom"/>
            <w:tcBorders>
              <w:right w:val="single" w:sz="8" w:color="auto"/>
            </w:tcBorders>
          </w:tcPr>
          <w:p>
            <w:pPr>
              <w:ind w:left="600"/>
              <w:spacing w:after="0" w:line="143" w:lineRule="exact"/>
              <w:rPr>
                <w:sz w:val="20"/>
                <w:szCs w:val="20"/>
                <w:color w:val="auto"/>
              </w:rPr>
            </w:pPr>
            <w:r>
              <w:rPr>
                <w:rFonts w:ascii="Calibri" w:cs="Calibri" w:eastAsia="Calibri" w:hAnsi="Calibri"/>
                <w:sz w:val="12"/>
                <w:szCs w:val="12"/>
                <w:color w:val="auto"/>
              </w:rPr>
              <w:t>n.a.</w:t>
            </w:r>
          </w:p>
        </w:tc>
        <w:tc>
          <w:tcPr>
            <w:tcW w:w="700" w:type="dxa"/>
            <w:vAlign w:val="bottom"/>
          </w:tcPr>
          <w:p>
            <w:pPr>
              <w:jc w:val="center"/>
              <w:ind w:left="101"/>
              <w:spacing w:after="0"/>
              <w:rPr>
                <w:sz w:val="20"/>
                <w:szCs w:val="20"/>
                <w:color w:val="auto"/>
              </w:rPr>
            </w:pPr>
            <w:r>
              <w:rPr>
                <w:rFonts w:ascii="Calibri" w:cs="Calibri" w:eastAsia="Calibri" w:hAnsi="Calibri"/>
                <w:sz w:val="9"/>
                <w:szCs w:val="9"/>
                <w:color w:val="auto"/>
                <w:w w:val="70"/>
              </w:rPr>
              <w:t>-</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552,999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9"/>
              </w:rPr>
              <w:t>n.a.</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Cost of sales of medical services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rPr>
              <w:t>(35,393)</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(351,512)</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893.2%</w:t>
            </w:r>
          </w:p>
        </w:tc>
        <w:tc>
          <w:tcPr>
            <w:tcW w:w="1160" w:type="dxa"/>
            <w:vAlign w:val="bottom"/>
            <w:tcBorders>
              <w:right w:val="single" w:sz="8" w:color="auto"/>
            </w:tcBorders>
          </w:tcPr>
          <w:p>
            <w:pPr>
              <w:ind w:left="600"/>
              <w:spacing w:after="0" w:line="143" w:lineRule="exact"/>
              <w:rPr>
                <w:sz w:val="20"/>
                <w:szCs w:val="20"/>
                <w:color w:val="auto"/>
              </w:rPr>
            </w:pPr>
            <w:r>
              <w:rPr>
                <w:rFonts w:ascii="Calibri" w:cs="Calibri" w:eastAsia="Calibri" w:hAnsi="Calibri"/>
                <w:sz w:val="12"/>
                <w:szCs w:val="12"/>
                <w:color w:val="auto"/>
              </w:rPr>
              <w:t>n.a.</w:t>
            </w:r>
          </w:p>
        </w:tc>
        <w:tc>
          <w:tcPr>
            <w:tcW w:w="700" w:type="dxa"/>
            <w:vAlign w:val="bottom"/>
          </w:tcPr>
          <w:p>
            <w:pPr>
              <w:jc w:val="center"/>
              <w:ind w:left="101"/>
              <w:spacing w:after="0"/>
              <w:rPr>
                <w:sz w:val="20"/>
                <w:szCs w:val="20"/>
                <w:color w:val="auto"/>
              </w:rPr>
            </w:pPr>
            <w:r>
              <w:rPr>
                <w:rFonts w:ascii="Calibri" w:cs="Calibri" w:eastAsia="Calibri" w:hAnsi="Calibri"/>
                <w:sz w:val="9"/>
                <w:szCs w:val="9"/>
                <w:color w:val="auto"/>
                <w:w w:val="70"/>
              </w:rPr>
              <w:t>-</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(386,905)</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9"/>
              </w:rPr>
              <w:t>n.a.</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b w:val="1"/>
                <w:bCs w:val="1"/>
                <w:color w:val="auto"/>
              </w:rPr>
              <w:t>Medical services result</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42,874</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123,220</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b w:val="1"/>
                <w:bCs w:val="1"/>
                <w:color w:val="auto"/>
                <w:w w:val="99"/>
              </w:rPr>
              <w:t>187.4%</w:t>
            </w:r>
          </w:p>
        </w:tc>
        <w:tc>
          <w:tcPr>
            <w:tcW w:w="1160" w:type="dxa"/>
            <w:vAlign w:val="bottom"/>
            <w:tcBorders>
              <w:right w:val="single" w:sz="8" w:color="auto"/>
            </w:tcBorders>
          </w:tcPr>
          <w:p>
            <w:pPr>
              <w:ind w:left="600"/>
              <w:spacing w:after="0" w:line="143" w:lineRule="exact"/>
              <w:rPr>
                <w:sz w:val="20"/>
                <w:szCs w:val="20"/>
                <w:color w:val="auto"/>
              </w:rPr>
            </w:pPr>
            <w:r>
              <w:rPr>
                <w:rFonts w:ascii="Calibri" w:cs="Calibri" w:eastAsia="Calibri" w:hAnsi="Calibri"/>
                <w:sz w:val="12"/>
                <w:szCs w:val="12"/>
                <w:b w:val="1"/>
                <w:bCs w:val="1"/>
                <w:color w:val="auto"/>
              </w:rPr>
              <w:t>n.a.</w:t>
            </w:r>
          </w:p>
        </w:tc>
        <w:tc>
          <w:tcPr>
            <w:tcW w:w="700" w:type="dxa"/>
            <w:vAlign w:val="bottom"/>
          </w:tcPr>
          <w:p>
            <w:pPr>
              <w:jc w:val="center"/>
              <w:ind w:left="101"/>
              <w:spacing w:after="0"/>
              <w:rPr>
                <w:sz w:val="20"/>
                <w:szCs w:val="20"/>
                <w:color w:val="auto"/>
              </w:rPr>
            </w:pPr>
            <w:r>
              <w:rPr>
                <w:rFonts w:ascii="Calibri" w:cs="Calibri" w:eastAsia="Calibri" w:hAnsi="Calibri"/>
                <w:sz w:val="9"/>
                <w:szCs w:val="9"/>
                <w:b w:val="1"/>
                <w:bCs w:val="1"/>
                <w:color w:val="auto"/>
                <w:w w:val="70"/>
              </w:rPr>
              <w:t>-</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b w:val="1"/>
                <w:bCs w:val="1"/>
                <w:color w:val="auto"/>
              </w:rPr>
              <w:t>166,094</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n.a.</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Interest income</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197,175</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rPr>
              <w:t>238,213</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6"/>
              </w:rPr>
              <w:t>234,866</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-1.4%</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19.1%</w:t>
            </w:r>
          </w:p>
        </w:tc>
        <w:tc>
          <w:tcPr>
            <w:tcW w:w="700" w:type="dxa"/>
            <w:vAlign w:val="bottom"/>
          </w:tcPr>
          <w:p>
            <w:pPr>
              <w:jc w:val="center"/>
              <w:ind w:left="81"/>
              <w:spacing w:after="0" w:line="143" w:lineRule="exact"/>
              <w:rPr>
                <w:sz w:val="20"/>
                <w:szCs w:val="20"/>
                <w:color w:val="auto"/>
              </w:rPr>
            </w:pPr>
            <w:r>
              <w:rPr>
                <w:rFonts w:ascii="Calibri" w:cs="Calibri" w:eastAsia="Calibri" w:hAnsi="Calibri"/>
                <w:sz w:val="12"/>
                <w:szCs w:val="12"/>
                <w:color w:val="auto"/>
              </w:rPr>
              <w:t>416,720</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473,079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13.5%</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Interest Expenses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(131,448)</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(145,698)</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(156,502)</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7.4%</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19.1%</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w w:val="98"/>
              </w:rPr>
              <w:t>(260,562)</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(302,200)</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16.0%</w:t>
            </w:r>
          </w:p>
        </w:tc>
      </w:tr>
      <w:tr>
        <w:trPr>
          <w:trHeight w:val="143"/>
        </w:trPr>
        <w:tc>
          <w:tcPr>
            <w:tcW w:w="3960" w:type="dxa"/>
            <w:vAlign w:val="bottom"/>
            <w:tcBorders>
              <w:left w:val="single" w:sz="8" w:color="auto"/>
              <w:right w:val="single" w:sz="8" w:color="auto"/>
            </w:tcBorders>
          </w:tcPr>
          <w:p>
            <w:pPr>
              <w:ind w:left="280"/>
              <w:spacing w:after="0" w:line="143" w:lineRule="exact"/>
              <w:rPr>
                <w:sz w:val="20"/>
                <w:szCs w:val="20"/>
                <w:color w:val="auto"/>
              </w:rPr>
            </w:pPr>
            <w:r>
              <w:rPr>
                <w:rFonts w:ascii="Calibri" w:cs="Calibri" w:eastAsia="Calibri" w:hAnsi="Calibri"/>
                <w:sz w:val="12"/>
                <w:szCs w:val="12"/>
                <w:color w:val="auto"/>
              </w:rPr>
              <w:t>Interest expenses atributable to insurance actvites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(124,686)</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(135,622)</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(139,054)</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2.5%</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11.5%</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w w:val="98"/>
              </w:rPr>
              <w:t>(246,690)</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(274,676)</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11.3%</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b w:val="1"/>
                <w:bCs w:val="1"/>
                <w:color w:val="auto"/>
              </w:rPr>
              <w:t>Net Interest Income</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65,727</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92,515</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78,364</w:t>
            </w:r>
          </w:p>
        </w:tc>
        <w:tc>
          <w:tcPr>
            <w:tcW w:w="640" w:type="dxa"/>
            <w:vAlign w:val="bottom"/>
          </w:tcPr>
          <w:p>
            <w:pPr>
              <w:jc w:val="center"/>
              <w:ind w:left="159"/>
              <w:spacing w:after="0" w:line="143" w:lineRule="exact"/>
              <w:rPr>
                <w:sz w:val="20"/>
                <w:szCs w:val="20"/>
                <w:color w:val="auto"/>
              </w:rPr>
            </w:pPr>
            <w:r>
              <w:rPr>
                <w:rFonts w:ascii="Calibri" w:cs="Calibri" w:eastAsia="Calibri" w:hAnsi="Calibri"/>
                <w:sz w:val="12"/>
                <w:szCs w:val="12"/>
                <w:b w:val="1"/>
                <w:bCs w:val="1"/>
                <w:color w:val="auto"/>
              </w:rPr>
              <w:t>-15.3%</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b w:val="1"/>
                <w:bCs w:val="1"/>
                <w:color w:val="auto"/>
                <w:w w:val="99"/>
              </w:rPr>
              <w:t>19.2%</w:t>
            </w:r>
          </w:p>
        </w:tc>
        <w:tc>
          <w:tcPr>
            <w:tcW w:w="700" w:type="dxa"/>
            <w:vAlign w:val="bottom"/>
          </w:tcPr>
          <w:p>
            <w:pPr>
              <w:jc w:val="center"/>
              <w:ind w:left="81"/>
              <w:spacing w:after="0" w:line="143" w:lineRule="exact"/>
              <w:rPr>
                <w:sz w:val="20"/>
                <w:szCs w:val="20"/>
                <w:color w:val="auto"/>
              </w:rPr>
            </w:pPr>
            <w:r>
              <w:rPr>
                <w:rFonts w:ascii="Calibri" w:cs="Calibri" w:eastAsia="Calibri" w:hAnsi="Calibri"/>
                <w:sz w:val="12"/>
                <w:szCs w:val="12"/>
                <w:b w:val="1"/>
                <w:bCs w:val="1"/>
                <w:color w:val="auto"/>
              </w:rPr>
              <w:t>156,158</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b w:val="1"/>
                <w:bCs w:val="1"/>
                <w:color w:val="auto"/>
              </w:rPr>
              <w:t>170,879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w w:val="99"/>
              </w:rPr>
              <w:t>9.4%</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Fee Income and Gain in FX</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(2,262)</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(4,151)</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(6,397)</w:t>
            </w:r>
          </w:p>
        </w:tc>
        <w:tc>
          <w:tcPr>
            <w:tcW w:w="6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54.1%</w:t>
            </w:r>
          </w:p>
        </w:tc>
        <w:tc>
          <w:tcPr>
            <w:tcW w:w="116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182.8%</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w w:val="98"/>
              </w:rPr>
              <w:t>(5,524)</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(10,548)</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90.9%</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i w:val="1"/>
                <w:iCs w:val="1"/>
                <w:color w:val="auto"/>
              </w:rPr>
              <w:t>Other Income No Core:</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Net gain (loss) from exchange diferences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(1,817)</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rPr>
              <w:t>(351)</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488</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-239.0%</w:t>
            </w:r>
          </w:p>
        </w:tc>
        <w:tc>
          <w:tcPr>
            <w:tcW w:w="116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-126.9%</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w w:val="98"/>
              </w:rPr>
              <w:t>(1,999)</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137</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-106.9%</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Net loss on securites and associates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24,856</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rPr>
              <w:t>(34,396)</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(15,390)</w:t>
            </w:r>
          </w:p>
        </w:tc>
        <w:tc>
          <w:tcPr>
            <w:tcW w:w="6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-55.3%</w:t>
            </w:r>
          </w:p>
        </w:tc>
        <w:tc>
          <w:tcPr>
            <w:tcW w:w="116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-161.9%</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rPr>
              <w:t>48,078</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(49,786)</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-203.6%</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Other Income not operatonal</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rPr>
              <w:t>44,208</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rPr>
              <w:t>26,264</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34,343</w:t>
            </w:r>
          </w:p>
        </w:tc>
        <w:tc>
          <w:tcPr>
            <w:tcW w:w="6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30.8%</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-22.3%</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rPr>
              <w:t>73,959</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5"/>
              </w:rPr>
              <w:t>60,607</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-18.1%</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b w:val="1"/>
                <w:bCs w:val="1"/>
                <w:color w:val="auto"/>
              </w:rPr>
              <w:t>Other Income</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64,985</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(12,634)</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13,043</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b w:val="1"/>
                <w:bCs w:val="1"/>
                <w:color w:val="auto"/>
                <w:w w:val="99"/>
              </w:rPr>
              <w:t>-203.2%</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b w:val="1"/>
                <w:bCs w:val="1"/>
                <w:color w:val="auto"/>
              </w:rPr>
              <w:t>-79.9%</w:t>
            </w:r>
          </w:p>
        </w:tc>
        <w:tc>
          <w:tcPr>
            <w:tcW w:w="700" w:type="dxa"/>
            <w:vAlign w:val="bottom"/>
          </w:tcPr>
          <w:p>
            <w:pPr>
              <w:jc w:val="center"/>
              <w:ind w:left="81"/>
              <w:spacing w:after="0" w:line="143" w:lineRule="exact"/>
              <w:rPr>
                <w:sz w:val="20"/>
                <w:szCs w:val="20"/>
                <w:color w:val="auto"/>
              </w:rPr>
            </w:pPr>
            <w:r>
              <w:rPr>
                <w:rFonts w:ascii="Calibri" w:cs="Calibri" w:eastAsia="Calibri" w:hAnsi="Calibri"/>
                <w:sz w:val="12"/>
                <w:szCs w:val="12"/>
                <w:b w:val="1"/>
                <w:bCs w:val="1"/>
                <w:color w:val="auto"/>
              </w:rPr>
              <w:t>114,514</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b w:val="1"/>
                <w:bCs w:val="1"/>
                <w:color w:val="auto"/>
              </w:rPr>
              <w:t>409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rPr>
              <w:t>-99.6%</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Operatng expenses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(75,397)</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(105,415)</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w w:val="98"/>
              </w:rPr>
              <w:t>(161,499)</w:t>
            </w:r>
          </w:p>
        </w:tc>
        <w:tc>
          <w:tcPr>
            <w:tcW w:w="640" w:type="dxa"/>
            <w:vAlign w:val="bottom"/>
          </w:tcPr>
          <w:p>
            <w:pPr>
              <w:jc w:val="center"/>
              <w:ind w:left="159"/>
              <w:spacing w:after="0" w:line="143" w:lineRule="exact"/>
              <w:rPr>
                <w:sz w:val="20"/>
                <w:szCs w:val="20"/>
                <w:color w:val="auto"/>
              </w:rPr>
            </w:pPr>
            <w:r>
              <w:rPr>
                <w:rFonts w:ascii="Calibri" w:cs="Calibri" w:eastAsia="Calibri" w:hAnsi="Calibri"/>
                <w:sz w:val="12"/>
                <w:szCs w:val="12"/>
                <w:color w:val="auto"/>
              </w:rPr>
              <w:t>53.2%</w:t>
            </w:r>
          </w:p>
        </w:tc>
        <w:tc>
          <w:tcPr>
            <w:tcW w:w="1160" w:type="dxa"/>
            <w:vAlign w:val="bottom"/>
            <w:tcBorders>
              <w:right w:val="single" w:sz="8" w:color="auto"/>
            </w:tcBorders>
          </w:tcPr>
          <w:p>
            <w:pPr>
              <w:jc w:val="center"/>
              <w:ind w:left="139"/>
              <w:spacing w:after="0" w:line="143" w:lineRule="exact"/>
              <w:rPr>
                <w:sz w:val="20"/>
                <w:szCs w:val="20"/>
                <w:color w:val="auto"/>
              </w:rPr>
            </w:pPr>
            <w:r>
              <w:rPr>
                <w:rFonts w:ascii="Calibri" w:cs="Calibri" w:eastAsia="Calibri" w:hAnsi="Calibri"/>
                <w:sz w:val="12"/>
                <w:szCs w:val="12"/>
                <w:color w:val="auto"/>
              </w:rPr>
              <w:t>114.2%</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w w:val="98"/>
              </w:rPr>
              <w:t>(151,571)</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rPr>
              <w:t>(266,914)</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76.1%</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Other expenses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(29,351)</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(3,837)</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(25,822)</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573.0%</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-12.0%</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rPr>
              <w:t>(34,330)</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(29,659)</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-13.6%</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b w:val="1"/>
                <w:bCs w:val="1"/>
                <w:color w:val="auto"/>
              </w:rPr>
              <w:t>Total Expenses</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(104,748)</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b w:val="1"/>
                <w:bCs w:val="1"/>
                <w:color w:val="auto"/>
              </w:rPr>
              <w:t>(109,252)</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w w:val="97"/>
              </w:rPr>
              <w:t>(187,321)</w:t>
            </w:r>
          </w:p>
        </w:tc>
        <w:tc>
          <w:tcPr>
            <w:tcW w:w="640" w:type="dxa"/>
            <w:vAlign w:val="bottom"/>
          </w:tcPr>
          <w:p>
            <w:pPr>
              <w:jc w:val="center"/>
              <w:ind w:left="159"/>
              <w:spacing w:after="0" w:line="143" w:lineRule="exact"/>
              <w:rPr>
                <w:sz w:val="20"/>
                <w:szCs w:val="20"/>
                <w:color w:val="auto"/>
              </w:rPr>
            </w:pPr>
            <w:r>
              <w:rPr>
                <w:rFonts w:ascii="Calibri" w:cs="Calibri" w:eastAsia="Calibri" w:hAnsi="Calibri"/>
                <w:sz w:val="12"/>
                <w:szCs w:val="12"/>
                <w:b w:val="1"/>
                <w:bCs w:val="1"/>
                <w:color w:val="auto"/>
                <w:w w:val="99"/>
              </w:rPr>
              <w:t>71.5%</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b w:val="1"/>
                <w:bCs w:val="1"/>
                <w:color w:val="auto"/>
                <w:w w:val="99"/>
              </w:rPr>
              <w:t>78.8%</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b w:val="1"/>
                <w:bCs w:val="1"/>
                <w:color w:val="auto"/>
                <w:w w:val="97"/>
              </w:rPr>
              <w:t>(185,901)</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b w:val="1"/>
                <w:bCs w:val="1"/>
                <w:color w:val="auto"/>
              </w:rPr>
              <w:t>(296,573)</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b w:val="1"/>
                <w:bCs w:val="1"/>
                <w:color w:val="auto"/>
                <w:w w:val="99"/>
              </w:rPr>
              <w:t>59.5%</w:t>
            </w:r>
          </w:p>
        </w:tc>
      </w:tr>
      <w:tr>
        <w:trPr>
          <w:trHeight w:val="143"/>
        </w:trPr>
        <w:tc>
          <w:tcPr>
            <w:tcW w:w="3960" w:type="dxa"/>
            <w:vAlign w:val="bottom"/>
            <w:tcBorders>
              <w:left w:val="single" w:sz="8" w:color="auto"/>
              <w:right w:val="single" w:sz="8" w:color="auto"/>
            </w:tcBorders>
          </w:tcPr>
          <w:p>
            <w:pPr>
              <w:ind w:left="120"/>
              <w:spacing w:after="0" w:line="143" w:lineRule="exact"/>
              <w:rPr>
                <w:sz w:val="20"/>
                <w:szCs w:val="20"/>
                <w:color w:val="auto"/>
              </w:rPr>
            </w:pPr>
            <w:r>
              <w:rPr>
                <w:rFonts w:ascii="Calibri" w:cs="Calibri" w:eastAsia="Calibri" w:hAnsi="Calibri"/>
                <w:sz w:val="12"/>
                <w:szCs w:val="12"/>
                <w:color w:val="auto"/>
              </w:rPr>
              <w:t>Income tax</w:t>
            </w:r>
          </w:p>
        </w:tc>
        <w:tc>
          <w:tcPr>
            <w:tcW w:w="880" w:type="dxa"/>
            <w:vAlign w:val="bottom"/>
          </w:tcPr>
          <w:p>
            <w:pPr>
              <w:jc w:val="center"/>
              <w:spacing w:after="0" w:line="143" w:lineRule="exact"/>
              <w:rPr>
                <w:sz w:val="20"/>
                <w:szCs w:val="20"/>
                <w:color w:val="auto"/>
              </w:rPr>
            </w:pPr>
            <w:r>
              <w:rPr>
                <w:rFonts w:ascii="Calibri" w:cs="Calibri" w:eastAsia="Calibri" w:hAnsi="Calibri"/>
                <w:sz w:val="12"/>
                <w:szCs w:val="12"/>
                <w:color w:val="auto"/>
                <w:w w:val="98"/>
              </w:rPr>
              <w:t>(23,596)</w:t>
            </w:r>
          </w:p>
        </w:tc>
        <w:tc>
          <w:tcPr>
            <w:tcW w:w="900" w:type="dxa"/>
            <w:vAlign w:val="bottom"/>
          </w:tcPr>
          <w:p>
            <w:pPr>
              <w:jc w:val="center"/>
              <w:spacing w:after="0" w:line="143" w:lineRule="exact"/>
              <w:rPr>
                <w:sz w:val="20"/>
                <w:szCs w:val="20"/>
                <w:color w:val="auto"/>
              </w:rPr>
            </w:pPr>
            <w:r>
              <w:rPr>
                <w:rFonts w:ascii="Calibri" w:cs="Calibri" w:eastAsia="Calibri" w:hAnsi="Calibri"/>
                <w:sz w:val="12"/>
                <w:szCs w:val="12"/>
                <w:color w:val="auto"/>
              </w:rPr>
              <w:t>(16,052)</w:t>
            </w:r>
          </w:p>
        </w:tc>
        <w:tc>
          <w:tcPr>
            <w:tcW w:w="9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(37,568)</w:t>
            </w:r>
          </w:p>
        </w:tc>
        <w:tc>
          <w:tcPr>
            <w:tcW w:w="640" w:type="dxa"/>
            <w:vAlign w:val="bottom"/>
          </w:tcPr>
          <w:p>
            <w:pPr>
              <w:jc w:val="center"/>
              <w:ind w:left="179"/>
              <w:spacing w:after="0" w:line="143" w:lineRule="exact"/>
              <w:rPr>
                <w:sz w:val="20"/>
                <w:szCs w:val="20"/>
                <w:color w:val="auto"/>
              </w:rPr>
            </w:pPr>
            <w:r>
              <w:rPr>
                <w:rFonts w:ascii="Calibri" w:cs="Calibri" w:eastAsia="Calibri" w:hAnsi="Calibri"/>
                <w:sz w:val="12"/>
                <w:szCs w:val="12"/>
                <w:color w:val="auto"/>
              </w:rPr>
              <w:t>134.0%</w:t>
            </w:r>
          </w:p>
        </w:tc>
        <w:tc>
          <w:tcPr>
            <w:tcW w:w="1160" w:type="dxa"/>
            <w:vAlign w:val="bottom"/>
            <w:tcBorders>
              <w:right w:val="single" w:sz="8" w:color="auto"/>
            </w:tcBorders>
          </w:tcPr>
          <w:p>
            <w:pPr>
              <w:jc w:val="center"/>
              <w:ind w:left="159"/>
              <w:spacing w:after="0" w:line="143" w:lineRule="exact"/>
              <w:rPr>
                <w:sz w:val="20"/>
                <w:szCs w:val="20"/>
                <w:color w:val="auto"/>
              </w:rPr>
            </w:pPr>
            <w:r>
              <w:rPr>
                <w:rFonts w:ascii="Calibri" w:cs="Calibri" w:eastAsia="Calibri" w:hAnsi="Calibri"/>
                <w:sz w:val="12"/>
                <w:szCs w:val="12"/>
                <w:color w:val="auto"/>
              </w:rPr>
              <w:t>59.2%</w:t>
            </w:r>
          </w:p>
        </w:tc>
        <w:tc>
          <w:tcPr>
            <w:tcW w:w="700" w:type="dxa"/>
            <w:vAlign w:val="bottom"/>
          </w:tcPr>
          <w:p>
            <w:pPr>
              <w:jc w:val="center"/>
              <w:ind w:left="101"/>
              <w:spacing w:after="0" w:line="143" w:lineRule="exact"/>
              <w:rPr>
                <w:sz w:val="20"/>
                <w:szCs w:val="20"/>
                <w:color w:val="auto"/>
              </w:rPr>
            </w:pPr>
            <w:r>
              <w:rPr>
                <w:rFonts w:ascii="Calibri" w:cs="Calibri" w:eastAsia="Calibri" w:hAnsi="Calibri"/>
                <w:sz w:val="12"/>
                <w:szCs w:val="12"/>
                <w:color w:val="auto"/>
              </w:rPr>
              <w:t>(27,391)</w:t>
            </w:r>
          </w:p>
        </w:tc>
        <w:tc>
          <w:tcPr>
            <w:tcW w:w="1080" w:type="dxa"/>
            <w:vAlign w:val="bottom"/>
            <w:tcBorders>
              <w:right w:val="single" w:sz="8" w:color="auto"/>
            </w:tcBorders>
          </w:tcPr>
          <w:p>
            <w:pPr>
              <w:jc w:val="center"/>
              <w:ind w:left="99"/>
              <w:spacing w:after="0" w:line="143" w:lineRule="exact"/>
              <w:rPr>
                <w:sz w:val="20"/>
                <w:szCs w:val="20"/>
                <w:color w:val="auto"/>
              </w:rPr>
            </w:pPr>
            <w:r>
              <w:rPr>
                <w:rFonts w:ascii="Calibri" w:cs="Calibri" w:eastAsia="Calibri" w:hAnsi="Calibri"/>
                <w:sz w:val="12"/>
                <w:szCs w:val="12"/>
                <w:color w:val="auto"/>
                <w:w w:val="98"/>
              </w:rPr>
              <w:t>(53,620)</w:t>
            </w:r>
          </w:p>
        </w:tc>
        <w:tc>
          <w:tcPr>
            <w:tcW w:w="1020" w:type="dxa"/>
            <w:vAlign w:val="bottom"/>
            <w:tcBorders>
              <w:right w:val="single" w:sz="8" w:color="auto"/>
            </w:tcBorders>
          </w:tcPr>
          <w:p>
            <w:pPr>
              <w:jc w:val="center"/>
              <w:spacing w:after="0" w:line="143" w:lineRule="exact"/>
              <w:rPr>
                <w:sz w:val="20"/>
                <w:szCs w:val="20"/>
                <w:color w:val="auto"/>
              </w:rPr>
            </w:pPr>
            <w:r>
              <w:rPr>
                <w:rFonts w:ascii="Calibri" w:cs="Calibri" w:eastAsia="Calibri" w:hAnsi="Calibri"/>
                <w:sz w:val="12"/>
                <w:szCs w:val="12"/>
                <w:color w:val="auto"/>
              </w:rPr>
              <w:t>95.8%</w:t>
            </w:r>
          </w:p>
        </w:tc>
      </w:tr>
      <w:tr>
        <w:trPr>
          <w:trHeight w:val="150"/>
        </w:trPr>
        <w:tc>
          <w:tcPr>
            <w:tcW w:w="3960" w:type="dxa"/>
            <w:vAlign w:val="bottom"/>
            <w:tcBorders>
              <w:left w:val="single" w:sz="8" w:color="auto"/>
              <w:bottom w:val="single" w:sz="8" w:color="auto"/>
              <w:right w:val="single" w:sz="8" w:color="auto"/>
            </w:tcBorders>
          </w:tcPr>
          <w:p>
            <w:pPr>
              <w:ind w:left="120"/>
              <w:spacing w:after="0" w:line="145" w:lineRule="exact"/>
              <w:rPr>
                <w:sz w:val="20"/>
                <w:szCs w:val="20"/>
                <w:color w:val="auto"/>
              </w:rPr>
            </w:pPr>
            <w:r>
              <w:rPr>
                <w:rFonts w:ascii="Calibri" w:cs="Calibri" w:eastAsia="Calibri" w:hAnsi="Calibri"/>
                <w:sz w:val="12"/>
                <w:szCs w:val="12"/>
                <w:b w:val="1"/>
                <w:bCs w:val="1"/>
                <w:color w:val="auto"/>
              </w:rPr>
              <w:t>Net income</w:t>
            </w:r>
          </w:p>
        </w:tc>
        <w:tc>
          <w:tcPr>
            <w:tcW w:w="88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194,119</w:t>
            </w:r>
          </w:p>
        </w:tc>
        <w:tc>
          <w:tcPr>
            <w:tcW w:w="900" w:type="dxa"/>
            <w:vAlign w:val="bottom"/>
            <w:tcBorders>
              <w:bottom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182,521</w:t>
            </w:r>
          </w:p>
        </w:tc>
        <w:tc>
          <w:tcPr>
            <w:tcW w:w="92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224,649</w:t>
            </w:r>
          </w:p>
        </w:tc>
        <w:tc>
          <w:tcPr>
            <w:tcW w:w="640" w:type="dxa"/>
            <w:vAlign w:val="bottom"/>
            <w:tcBorders>
              <w:bottom w:val="single" w:sz="8" w:color="auto"/>
            </w:tcBorders>
          </w:tcPr>
          <w:p>
            <w:pPr>
              <w:jc w:val="center"/>
              <w:ind w:left="159"/>
              <w:spacing w:after="0" w:line="145" w:lineRule="exact"/>
              <w:rPr>
                <w:sz w:val="20"/>
                <w:szCs w:val="20"/>
                <w:color w:val="auto"/>
              </w:rPr>
            </w:pPr>
            <w:r>
              <w:rPr>
                <w:rFonts w:ascii="Calibri" w:cs="Calibri" w:eastAsia="Calibri" w:hAnsi="Calibri"/>
                <w:sz w:val="12"/>
                <w:szCs w:val="12"/>
                <w:b w:val="1"/>
                <w:bCs w:val="1"/>
                <w:color w:val="auto"/>
                <w:w w:val="99"/>
              </w:rPr>
              <w:t>23.1%</w:t>
            </w:r>
          </w:p>
        </w:tc>
        <w:tc>
          <w:tcPr>
            <w:tcW w:w="1160" w:type="dxa"/>
            <w:vAlign w:val="bottom"/>
            <w:tcBorders>
              <w:bottom w:val="single" w:sz="8" w:color="auto"/>
              <w:right w:val="single" w:sz="8" w:color="auto"/>
            </w:tcBorders>
          </w:tcPr>
          <w:p>
            <w:pPr>
              <w:jc w:val="center"/>
              <w:ind w:left="159"/>
              <w:spacing w:after="0" w:line="145" w:lineRule="exact"/>
              <w:rPr>
                <w:sz w:val="20"/>
                <w:szCs w:val="20"/>
                <w:color w:val="auto"/>
              </w:rPr>
            </w:pPr>
            <w:r>
              <w:rPr>
                <w:rFonts w:ascii="Calibri" w:cs="Calibri" w:eastAsia="Calibri" w:hAnsi="Calibri"/>
                <w:sz w:val="12"/>
                <w:szCs w:val="12"/>
                <w:b w:val="1"/>
                <w:bCs w:val="1"/>
                <w:color w:val="auto"/>
                <w:w w:val="99"/>
              </w:rPr>
              <w:t>15.7%</w:t>
            </w:r>
          </w:p>
        </w:tc>
        <w:tc>
          <w:tcPr>
            <w:tcW w:w="700" w:type="dxa"/>
            <w:vAlign w:val="bottom"/>
            <w:tcBorders>
              <w:bottom w:val="single" w:sz="8" w:color="auto"/>
            </w:tcBorders>
          </w:tcPr>
          <w:p>
            <w:pPr>
              <w:jc w:val="center"/>
              <w:ind w:left="81"/>
              <w:spacing w:after="0" w:line="145" w:lineRule="exact"/>
              <w:rPr>
                <w:sz w:val="20"/>
                <w:szCs w:val="20"/>
                <w:color w:val="auto"/>
              </w:rPr>
            </w:pPr>
            <w:r>
              <w:rPr>
                <w:rFonts w:ascii="Calibri" w:cs="Calibri" w:eastAsia="Calibri" w:hAnsi="Calibri"/>
                <w:sz w:val="12"/>
                <w:szCs w:val="12"/>
                <w:b w:val="1"/>
                <w:bCs w:val="1"/>
                <w:color w:val="auto"/>
              </w:rPr>
              <w:t>410,872</w:t>
            </w:r>
          </w:p>
        </w:tc>
        <w:tc>
          <w:tcPr>
            <w:tcW w:w="1080" w:type="dxa"/>
            <w:vAlign w:val="bottom"/>
            <w:tcBorders>
              <w:bottom w:val="single" w:sz="8" w:color="auto"/>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b w:val="1"/>
                <w:bCs w:val="1"/>
                <w:color w:val="auto"/>
              </w:rPr>
              <w:t>407,170</w:t>
            </w:r>
          </w:p>
        </w:tc>
        <w:tc>
          <w:tcPr>
            <w:tcW w:w="1020" w:type="dxa"/>
            <w:vAlign w:val="bottom"/>
            <w:tcBorders>
              <w:bottom w:val="single" w:sz="8" w:color="auto"/>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-0.9%</w:t>
            </w:r>
          </w:p>
        </w:tc>
      </w:tr>
    </w:tbl>
    <w:p>
      <w:pPr>
        <w:spacing w:after="0" w:line="180" w:lineRule="exact"/>
        <w:rPr>
          <w:sz w:val="20"/>
          <w:szCs w:val="20"/>
          <w:color w:val="auto"/>
        </w:rPr>
      </w:pPr>
    </w:p>
    <w:p>
      <w:pPr>
        <w:ind w:left="740"/>
        <w:spacing w:after="0"/>
        <w:rPr>
          <w:sz w:val="20"/>
          <w:szCs w:val="20"/>
          <w:color w:val="auto"/>
        </w:rPr>
      </w:pPr>
      <w:r>
        <w:rPr>
          <w:rFonts w:ascii="Calibri" w:cs="Calibri" w:eastAsia="Calibri" w:hAnsi="Calibri"/>
          <w:sz w:val="11"/>
          <w:szCs w:val="11"/>
          <w:color w:val="auto"/>
        </w:rPr>
        <w:t>*Financial statements without consolidaton adjustments.</w:t>
      </w:r>
    </w:p>
    <w:p>
      <w:pPr>
        <w:spacing w:after="0" w:line="9" w:lineRule="exact"/>
        <w:rPr>
          <w:sz w:val="20"/>
          <w:szCs w:val="20"/>
          <w:color w:val="auto"/>
        </w:rPr>
      </w:pPr>
    </w:p>
    <w:p>
      <w:pPr>
        <w:ind w:left="780"/>
        <w:spacing w:after="0"/>
        <w:rPr>
          <w:sz w:val="20"/>
          <w:szCs w:val="20"/>
          <w:color w:val="auto"/>
        </w:rPr>
      </w:pPr>
      <w:r>
        <w:rPr>
          <w:rFonts w:ascii="Calibri" w:cs="Calibri" w:eastAsia="Calibri" w:hAnsi="Calibri"/>
          <w:sz w:val="11"/>
          <w:szCs w:val="11"/>
          <w:color w:val="auto"/>
        </w:rPr>
        <w:t>(1)  Excluding investments in real estate.</w:t>
      </w:r>
    </w:p>
    <w:p>
      <w:pPr>
        <w:spacing w:after="0" w:line="257" w:lineRule="exact"/>
        <w:rPr>
          <w:sz w:val="20"/>
          <w:szCs w:val="20"/>
          <w:color w:val="auto"/>
        </w:rPr>
      </w:pPr>
    </w:p>
    <w:p>
      <w:pPr>
        <w:spacing w:after="0"/>
        <w:rPr>
          <w:sz w:val="20"/>
          <w:szCs w:val="20"/>
          <w:color w:val="auto"/>
        </w:rPr>
      </w:pPr>
      <w:r>
        <w:rPr>
          <w:rFonts w:ascii="Calibri" w:cs="Calibri" w:eastAsia="Calibri" w:hAnsi="Calibri"/>
          <w:sz w:val="16"/>
          <w:szCs w:val="16"/>
          <w:color w:val="auto"/>
        </w:rPr>
        <w:t>Up to February 2025, Grupo Pacifco’s fnancial statements refect the agreement with Banmedica (in equal parts) of the businesses of:</w:t>
      </w:r>
    </w:p>
    <w:p>
      <w:pPr>
        <w:ind w:left="760" w:hanging="301"/>
        <w:spacing w:after="0"/>
        <w:tabs>
          <w:tab w:leader="none" w:pos="760" w:val="left"/>
        </w:tabs>
        <w:numPr>
          <w:ilvl w:val="0"/>
          <w:numId w:val="65"/>
        </w:numPr>
        <w:rPr>
          <w:rFonts w:ascii="Calibri" w:cs="Calibri" w:eastAsia="Calibri" w:hAnsi="Calibri"/>
          <w:sz w:val="16"/>
          <w:szCs w:val="16"/>
          <w:color w:val="auto"/>
        </w:rPr>
      </w:pPr>
      <w:r>
        <w:rPr>
          <w:rFonts w:ascii="Calibri" w:cs="Calibri" w:eastAsia="Calibri" w:hAnsi="Calibri"/>
          <w:sz w:val="16"/>
          <w:szCs w:val="16"/>
          <w:color w:val="auto"/>
        </w:rPr>
        <w:t>private health insurance managed by Grupo Pacifco and included in its Financial Statements in each of the accountng lines;</w:t>
      </w:r>
    </w:p>
    <w:p>
      <w:pPr>
        <w:ind w:left="760" w:hanging="301"/>
        <w:spacing w:after="0"/>
        <w:tabs>
          <w:tab w:leader="none" w:pos="760" w:val="left"/>
        </w:tabs>
        <w:numPr>
          <w:ilvl w:val="0"/>
          <w:numId w:val="65"/>
        </w:numPr>
        <w:rPr>
          <w:rFonts w:ascii="Calibri" w:cs="Calibri" w:eastAsia="Calibri" w:hAnsi="Calibri"/>
          <w:sz w:val="16"/>
          <w:szCs w:val="16"/>
          <w:color w:val="auto"/>
        </w:rPr>
      </w:pPr>
      <w:r>
        <w:rPr>
          <w:rFonts w:ascii="Calibri" w:cs="Calibri" w:eastAsia="Calibri" w:hAnsi="Calibri"/>
          <w:sz w:val="16"/>
          <w:szCs w:val="16"/>
          <w:color w:val="auto"/>
        </w:rPr>
        <w:t>corporate health insurance (dependent workers); and</w:t>
      </w:r>
    </w:p>
    <w:p>
      <w:pPr>
        <w:spacing w:after="0" w:line="12" w:lineRule="exact"/>
        <w:rPr>
          <w:rFonts w:ascii="Calibri" w:cs="Calibri" w:eastAsia="Calibri" w:hAnsi="Calibri"/>
          <w:sz w:val="16"/>
          <w:szCs w:val="16"/>
          <w:color w:val="auto"/>
        </w:rPr>
      </w:pPr>
    </w:p>
    <w:p>
      <w:pPr>
        <w:ind w:left="760" w:hanging="301"/>
        <w:spacing w:after="0"/>
        <w:tabs>
          <w:tab w:leader="none" w:pos="760" w:val="left"/>
        </w:tabs>
        <w:numPr>
          <w:ilvl w:val="0"/>
          <w:numId w:val="65"/>
        </w:numPr>
        <w:rPr>
          <w:rFonts w:ascii="Calibri" w:cs="Calibri" w:eastAsia="Calibri" w:hAnsi="Calibri"/>
          <w:sz w:val="16"/>
          <w:szCs w:val="16"/>
          <w:color w:val="auto"/>
        </w:rPr>
      </w:pPr>
      <w:r>
        <w:rPr>
          <w:rFonts w:ascii="Calibri" w:cs="Calibri" w:eastAsia="Calibri" w:hAnsi="Calibri"/>
          <w:sz w:val="16"/>
          <w:szCs w:val="16"/>
          <w:color w:val="auto"/>
        </w:rPr>
        <w:t>medical services.</w:t>
      </w:r>
    </w:p>
    <w:p>
      <w:pPr>
        <w:spacing w:after="0" w:line="205" w:lineRule="exact"/>
        <w:rPr>
          <w:sz w:val="20"/>
          <w:szCs w:val="20"/>
          <w:color w:val="auto"/>
        </w:rPr>
      </w:pPr>
    </w:p>
    <w:p>
      <w:pPr>
        <w:ind w:right="140"/>
        <w:spacing w:after="0" w:line="233" w:lineRule="auto"/>
        <w:rPr>
          <w:sz w:val="20"/>
          <w:szCs w:val="20"/>
          <w:color w:val="auto"/>
        </w:rPr>
      </w:pPr>
      <w:r>
        <w:rPr>
          <w:rFonts w:ascii="Calibri" w:cs="Calibri" w:eastAsia="Calibri" w:hAnsi="Calibri"/>
          <w:sz w:val="16"/>
          <w:szCs w:val="16"/>
          <w:color w:val="auto"/>
        </w:rPr>
        <w:t>The businesses described in ii) and iii) are managed by Banmedica, therefore they do not consolidate in Grupo Pacifco’s fnancial statements. The 50% of net income generated by Banmedica is recorded in Grupo Pacifco’s Income Statement as a gain/loss on investments in subsidiaries.</w:t>
      </w:r>
    </w:p>
    <w:p>
      <w:pPr>
        <w:spacing w:after="0" w:line="206" w:lineRule="exact"/>
        <w:rPr>
          <w:sz w:val="20"/>
          <w:szCs w:val="20"/>
          <w:color w:val="auto"/>
        </w:rPr>
      </w:pPr>
    </w:p>
    <w:p>
      <w:pPr>
        <w:ind w:right="40"/>
        <w:spacing w:after="0" w:line="233" w:lineRule="auto"/>
        <w:rPr>
          <w:sz w:val="20"/>
          <w:szCs w:val="20"/>
          <w:color w:val="auto"/>
        </w:rPr>
      </w:pPr>
      <w:r>
        <w:rPr>
          <w:rFonts w:ascii="Calibri" w:cs="Calibri" w:eastAsia="Calibri" w:hAnsi="Calibri"/>
          <w:sz w:val="16"/>
          <w:szCs w:val="16"/>
          <w:color w:val="auto"/>
        </w:rPr>
        <w:t>As explained before, corporate health insurance and medical services businesses are consolidated by Banmedica. The following table refects the consolidated results from which Grupo Pacifco receives the 50%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934720</wp:posOffset>
            </wp:positionV>
            <wp:extent cx="7137400"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141605</wp:posOffset>
            </wp:positionV>
            <wp:extent cx="6517640" cy="5702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517640" cy="57023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12. Appendix</w:t>
      </w:r>
    </w:p>
    <w:p>
      <w:pPr>
        <w:spacing w:after="0" w:line="251"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7"/>
          <w:szCs w:val="17"/>
          <w:b w:val="1"/>
          <w:bCs w:val="1"/>
          <w:color w:val="auto"/>
        </w:rPr>
        <w:t>12.7.9.</w:t>
      </w:r>
      <w:r>
        <w:rPr>
          <w:sz w:val="20"/>
          <w:szCs w:val="20"/>
          <w:color w:val="auto"/>
        </w:rPr>
        <w:tab/>
      </w:r>
      <w:r>
        <w:rPr>
          <w:rFonts w:ascii="Calibri" w:cs="Calibri" w:eastAsia="Calibri" w:hAnsi="Calibri"/>
          <w:sz w:val="16"/>
          <w:szCs w:val="16"/>
          <w:b w:val="1"/>
          <w:bCs w:val="1"/>
          <w:color w:val="auto"/>
        </w:rPr>
        <w:t xml:space="preserve">Investment Management &amp; Advisory </w:t>
      </w:r>
      <w:r>
        <w:rPr>
          <w:rFonts w:ascii="Calibri" w:cs="Calibri" w:eastAsia="Calibri" w:hAnsi="Calibri"/>
          <w:sz w:val="26"/>
          <w:szCs w:val="26"/>
          <w:b w:val="1"/>
          <w:bCs w:val="1"/>
          <w:color w:val="auto"/>
          <w:vertAlign w:val="superscript"/>
        </w:rPr>
        <w:t>*</w:t>
      </w:r>
    </w:p>
    <w:p>
      <w:pPr>
        <w:spacing w:after="0" w:line="87" w:lineRule="exact"/>
        <w:rPr>
          <w:sz w:val="20"/>
          <w:szCs w:val="20"/>
          <w:color w:val="auto"/>
        </w:rPr>
      </w:pPr>
    </w:p>
    <w:tbl>
      <w:tblPr>
        <w:tblLayout w:type="fixed"/>
        <w:tblInd w:w="590" w:type="dxa"/>
        <w:tblCellMar>
          <w:top w:w="0" w:type="dxa"/>
          <w:left w:w="0" w:type="dxa"/>
          <w:bottom w:w="0" w:type="dxa"/>
          <w:right w:w="0" w:type="dxa"/>
        </w:tblCellMar>
      </w:tblPr>
      <w:tr>
        <w:trPr>
          <w:trHeight w:val="219"/>
        </w:trPr>
        <w:tc>
          <w:tcPr>
            <w:tcW w:w="282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Calibri" w:cs="Calibri" w:eastAsia="Calibri" w:hAnsi="Calibri"/>
                <w:sz w:val="17"/>
                <w:szCs w:val="17"/>
                <w:b w:val="1"/>
                <w:bCs w:val="1"/>
                <w:color w:val="FFFFFF"/>
              </w:rPr>
              <w:t>Investment Management &amp; Advisory *</w:t>
            </w:r>
          </w:p>
        </w:tc>
        <w:tc>
          <w:tcPr>
            <w:tcW w:w="900" w:type="dxa"/>
            <w:vAlign w:val="bottom"/>
            <w:tcBorders>
              <w:top w:val="single" w:sz="8" w:color="auto"/>
            </w:tcBorders>
            <w:shd w:val="clear" w:color="auto" w:fill="33CCCC"/>
          </w:tcPr>
          <w:p>
            <w:pPr>
              <w:spacing w:after="0"/>
              <w:rPr>
                <w:sz w:val="19"/>
                <w:szCs w:val="19"/>
                <w:color w:val="auto"/>
              </w:rPr>
            </w:pPr>
          </w:p>
        </w:tc>
        <w:tc>
          <w:tcPr>
            <w:tcW w:w="900" w:type="dxa"/>
            <w:vAlign w:val="bottom"/>
            <w:tcBorders>
              <w:top w:val="single" w:sz="8" w:color="auto"/>
            </w:tcBorders>
            <w:shd w:val="clear" w:color="auto" w:fill="33CCCC"/>
          </w:tcPr>
          <w:p>
            <w:pPr>
              <w:ind w:left="160"/>
              <w:spacing w:after="0"/>
              <w:rPr>
                <w:sz w:val="20"/>
                <w:szCs w:val="20"/>
                <w:color w:val="auto"/>
              </w:rPr>
            </w:pPr>
            <w:r>
              <w:rPr>
                <w:rFonts w:ascii="Calibri" w:cs="Calibri" w:eastAsia="Calibri" w:hAnsi="Calibri"/>
                <w:sz w:val="17"/>
                <w:szCs w:val="17"/>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9"/>
                <w:szCs w:val="19"/>
                <w:color w:val="auto"/>
              </w:rPr>
            </w:pPr>
          </w:p>
        </w:tc>
        <w:tc>
          <w:tcPr>
            <w:tcW w:w="1780" w:type="dxa"/>
            <w:vAlign w:val="bottom"/>
            <w:tcBorders>
              <w:top w:val="single" w:sz="8" w:color="auto"/>
              <w:right w:val="single" w:sz="8" w:color="auto"/>
            </w:tcBorders>
            <w:gridSpan w:val="2"/>
            <w:shd w:val="clear" w:color="auto" w:fill="33CCCC"/>
          </w:tcPr>
          <w:p>
            <w:pPr>
              <w:ind w:left="540"/>
              <w:spacing w:after="0"/>
              <w:rPr>
                <w:sz w:val="20"/>
                <w:szCs w:val="20"/>
                <w:color w:val="auto"/>
              </w:rPr>
            </w:pPr>
            <w:r>
              <w:rPr>
                <w:rFonts w:ascii="Calibri" w:cs="Calibri" w:eastAsia="Calibri" w:hAnsi="Calibri"/>
                <w:sz w:val="17"/>
                <w:szCs w:val="17"/>
                <w:b w:val="1"/>
                <w:bCs w:val="1"/>
                <w:color w:val="FFFFFF"/>
              </w:rPr>
              <w:t>% change</w:t>
            </w:r>
          </w:p>
        </w:tc>
        <w:tc>
          <w:tcPr>
            <w:tcW w:w="1800" w:type="dxa"/>
            <w:vAlign w:val="bottom"/>
            <w:tcBorders>
              <w:top w:val="single" w:sz="8" w:color="auto"/>
              <w:right w:val="single" w:sz="8" w:color="auto"/>
            </w:tcBorders>
            <w:gridSpan w:val="2"/>
            <w:shd w:val="clear" w:color="auto" w:fill="33CCCC"/>
          </w:tcPr>
          <w:p>
            <w:pPr>
              <w:ind w:left="680"/>
              <w:spacing w:after="0"/>
              <w:rPr>
                <w:sz w:val="20"/>
                <w:szCs w:val="20"/>
                <w:color w:val="auto"/>
              </w:rPr>
            </w:pPr>
            <w:r>
              <w:rPr>
                <w:rFonts w:ascii="Calibri" w:cs="Calibri" w:eastAsia="Calibri" w:hAnsi="Calibri"/>
                <w:sz w:val="17"/>
                <w:szCs w:val="17"/>
                <w:b w:val="1"/>
                <w:bCs w:val="1"/>
                <w:color w:val="FFFFFF"/>
              </w:rPr>
              <w:t>Up to</w:t>
            </w:r>
          </w:p>
        </w:tc>
        <w:tc>
          <w:tcPr>
            <w:tcW w:w="10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9"/>
              </w:rPr>
              <w:t>% Change</w:t>
            </w:r>
          </w:p>
        </w:tc>
      </w:tr>
      <w:tr>
        <w:trPr>
          <w:trHeight w:val="189"/>
        </w:trPr>
        <w:tc>
          <w:tcPr>
            <w:tcW w:w="2820" w:type="dxa"/>
            <w:vAlign w:val="bottom"/>
            <w:tcBorders>
              <w:left w:val="single" w:sz="8" w:color="auto"/>
              <w:right w:val="single" w:sz="8" w:color="auto"/>
            </w:tcBorders>
            <w:shd w:val="clear" w:color="auto" w:fill="33CCCC"/>
          </w:tcPr>
          <w:p>
            <w:pPr>
              <w:spacing w:after="0" w:line="189" w:lineRule="exact"/>
              <w:rPr>
                <w:sz w:val="20"/>
                <w:szCs w:val="20"/>
                <w:color w:val="auto"/>
              </w:rPr>
            </w:pPr>
            <w:r>
              <w:rPr>
                <w:rFonts w:ascii="Calibri" w:cs="Calibri" w:eastAsia="Calibri" w:hAnsi="Calibri"/>
                <w:sz w:val="17"/>
                <w:szCs w:val="17"/>
                <w:b w:val="1"/>
                <w:bCs w:val="1"/>
                <w:color w:val="FFFFFF"/>
              </w:rPr>
              <w:t>S/ 000</w:t>
            </w:r>
          </w:p>
        </w:tc>
        <w:tc>
          <w:tcPr>
            <w:tcW w:w="900" w:type="dxa"/>
            <w:vAlign w:val="bottom"/>
            <w:shd w:val="clear" w:color="auto" w:fill="33CCCC"/>
          </w:tcPr>
          <w:p>
            <w:pPr>
              <w:jc w:val="center"/>
              <w:spacing w:after="0" w:line="189" w:lineRule="exact"/>
              <w:rPr>
                <w:sz w:val="20"/>
                <w:szCs w:val="20"/>
                <w:color w:val="auto"/>
              </w:rPr>
            </w:pPr>
            <w:r>
              <w:rPr>
                <w:rFonts w:ascii="Calibri" w:cs="Calibri" w:eastAsia="Calibri" w:hAnsi="Calibri"/>
                <w:sz w:val="17"/>
                <w:szCs w:val="17"/>
                <w:b w:val="1"/>
                <w:bCs w:val="1"/>
                <w:color w:val="FFFFFF"/>
              </w:rPr>
              <w:t>2Q24</w:t>
            </w:r>
          </w:p>
        </w:tc>
        <w:tc>
          <w:tcPr>
            <w:tcW w:w="900" w:type="dxa"/>
            <w:vAlign w:val="bottom"/>
            <w:shd w:val="clear" w:color="auto" w:fill="33CCCC"/>
          </w:tcPr>
          <w:p>
            <w:pPr>
              <w:jc w:val="center"/>
              <w:spacing w:after="0" w:line="189" w:lineRule="exact"/>
              <w:rPr>
                <w:sz w:val="20"/>
                <w:szCs w:val="20"/>
                <w:color w:val="auto"/>
              </w:rPr>
            </w:pPr>
            <w:r>
              <w:rPr>
                <w:rFonts w:ascii="Calibri" w:cs="Calibri" w:eastAsia="Calibri" w:hAnsi="Calibri"/>
                <w:sz w:val="17"/>
                <w:szCs w:val="17"/>
                <w:b w:val="1"/>
                <w:bCs w:val="1"/>
                <w:color w:val="FFFFFF"/>
              </w:rPr>
              <w:t>1Q25</w:t>
            </w:r>
          </w:p>
        </w:tc>
        <w:tc>
          <w:tcPr>
            <w:tcW w:w="900" w:type="dxa"/>
            <w:vAlign w:val="bottom"/>
            <w:tcBorders>
              <w:right w:val="single" w:sz="8" w:color="auto"/>
            </w:tcBorders>
            <w:shd w:val="clear" w:color="auto" w:fill="33CCCC"/>
          </w:tcPr>
          <w:p>
            <w:pPr>
              <w:jc w:val="center"/>
              <w:spacing w:after="0" w:line="189" w:lineRule="exact"/>
              <w:rPr>
                <w:sz w:val="20"/>
                <w:szCs w:val="20"/>
                <w:color w:val="auto"/>
              </w:rPr>
            </w:pPr>
            <w:r>
              <w:rPr>
                <w:rFonts w:ascii="Calibri" w:cs="Calibri" w:eastAsia="Calibri" w:hAnsi="Calibri"/>
                <w:sz w:val="17"/>
                <w:szCs w:val="17"/>
                <w:b w:val="1"/>
                <w:bCs w:val="1"/>
                <w:color w:val="FFFFFF"/>
              </w:rPr>
              <w:t>2Q25</w:t>
            </w:r>
          </w:p>
        </w:tc>
        <w:tc>
          <w:tcPr>
            <w:tcW w:w="860" w:type="dxa"/>
            <w:vAlign w:val="bottom"/>
            <w:shd w:val="clear" w:color="auto" w:fill="33CCCC"/>
          </w:tcPr>
          <w:p>
            <w:pPr>
              <w:ind w:left="260"/>
              <w:spacing w:after="0" w:line="189" w:lineRule="exact"/>
              <w:rPr>
                <w:sz w:val="20"/>
                <w:szCs w:val="20"/>
                <w:color w:val="auto"/>
              </w:rPr>
            </w:pPr>
            <w:r>
              <w:rPr>
                <w:rFonts w:ascii="Calibri" w:cs="Calibri" w:eastAsia="Calibri" w:hAnsi="Calibri"/>
                <w:sz w:val="17"/>
                <w:szCs w:val="17"/>
                <w:b w:val="1"/>
                <w:bCs w:val="1"/>
                <w:color w:val="FFFFFF"/>
              </w:rPr>
              <w:t>QoQ</w:t>
            </w:r>
          </w:p>
        </w:tc>
        <w:tc>
          <w:tcPr>
            <w:tcW w:w="920" w:type="dxa"/>
            <w:vAlign w:val="bottom"/>
            <w:tcBorders>
              <w:right w:val="single" w:sz="8" w:color="auto"/>
            </w:tcBorders>
            <w:shd w:val="clear" w:color="auto" w:fill="33CCCC"/>
          </w:tcPr>
          <w:p>
            <w:pPr>
              <w:ind w:left="320"/>
              <w:spacing w:after="0" w:line="189" w:lineRule="exact"/>
              <w:rPr>
                <w:sz w:val="20"/>
                <w:szCs w:val="20"/>
                <w:color w:val="auto"/>
              </w:rPr>
            </w:pPr>
            <w:r>
              <w:rPr>
                <w:rFonts w:ascii="Calibri" w:cs="Calibri" w:eastAsia="Calibri" w:hAnsi="Calibri"/>
                <w:sz w:val="17"/>
                <w:szCs w:val="17"/>
                <w:b w:val="1"/>
                <w:bCs w:val="1"/>
                <w:color w:val="FFFFFF"/>
              </w:rPr>
              <w:t>YoY</w:t>
            </w:r>
          </w:p>
        </w:tc>
        <w:tc>
          <w:tcPr>
            <w:tcW w:w="900" w:type="dxa"/>
            <w:vAlign w:val="bottom"/>
            <w:shd w:val="clear" w:color="auto" w:fill="33CCCC"/>
          </w:tcPr>
          <w:p>
            <w:pPr>
              <w:ind w:left="200"/>
              <w:spacing w:after="0" w:line="189" w:lineRule="exact"/>
              <w:rPr>
                <w:sz w:val="20"/>
                <w:szCs w:val="20"/>
                <w:color w:val="auto"/>
              </w:rPr>
            </w:pPr>
            <w:r>
              <w:rPr>
                <w:rFonts w:ascii="Calibri" w:cs="Calibri" w:eastAsia="Calibri" w:hAnsi="Calibri"/>
                <w:sz w:val="17"/>
                <w:szCs w:val="17"/>
                <w:b w:val="1"/>
                <w:bCs w:val="1"/>
                <w:color w:val="FFFFFF"/>
              </w:rPr>
              <w:t>Jun 24</w:t>
            </w:r>
          </w:p>
        </w:tc>
        <w:tc>
          <w:tcPr>
            <w:tcW w:w="900" w:type="dxa"/>
            <w:vAlign w:val="bottom"/>
            <w:tcBorders>
              <w:right w:val="single" w:sz="8" w:color="auto"/>
            </w:tcBorders>
            <w:shd w:val="clear" w:color="auto" w:fill="33CCCC"/>
          </w:tcPr>
          <w:p>
            <w:pPr>
              <w:ind w:left="200"/>
              <w:spacing w:after="0" w:line="189" w:lineRule="exact"/>
              <w:rPr>
                <w:sz w:val="20"/>
                <w:szCs w:val="20"/>
                <w:color w:val="auto"/>
              </w:rPr>
            </w:pPr>
            <w:r>
              <w:rPr>
                <w:rFonts w:ascii="Calibri" w:cs="Calibri" w:eastAsia="Calibri" w:hAnsi="Calibri"/>
                <w:sz w:val="17"/>
                <w:szCs w:val="17"/>
                <w:b w:val="1"/>
                <w:bCs w:val="1"/>
                <w:color w:val="FFFFFF"/>
              </w:rPr>
              <w:t>Jun 25</w:t>
            </w:r>
          </w:p>
        </w:tc>
        <w:tc>
          <w:tcPr>
            <w:tcW w:w="1020" w:type="dxa"/>
            <w:vAlign w:val="bottom"/>
            <w:tcBorders>
              <w:right w:val="single" w:sz="8" w:color="auto"/>
            </w:tcBorders>
            <w:shd w:val="clear" w:color="auto" w:fill="33CCCC"/>
          </w:tcPr>
          <w:p>
            <w:pPr>
              <w:jc w:val="center"/>
              <w:spacing w:after="0" w:line="189" w:lineRule="exact"/>
              <w:rPr>
                <w:sz w:val="20"/>
                <w:szCs w:val="20"/>
                <w:color w:val="auto"/>
              </w:rPr>
            </w:pPr>
            <w:r>
              <w:rPr>
                <w:rFonts w:ascii="Calibri" w:cs="Calibri" w:eastAsia="Calibri" w:hAnsi="Calibri"/>
                <w:sz w:val="17"/>
                <w:szCs w:val="17"/>
                <w:b w:val="1"/>
                <w:bCs w:val="1"/>
                <w:color w:val="FFFFFF"/>
              </w:rPr>
              <w:t>Jun 25 / Jun</w:t>
            </w:r>
          </w:p>
        </w:tc>
      </w:tr>
      <w:tr>
        <w:trPr>
          <w:trHeight w:val="234"/>
        </w:trPr>
        <w:tc>
          <w:tcPr>
            <w:tcW w:w="2820" w:type="dxa"/>
            <w:vAlign w:val="bottom"/>
            <w:tcBorders>
              <w:left w:val="single" w:sz="8" w:color="auto"/>
              <w:bottom w:val="single" w:sz="8" w:color="33CCCC"/>
              <w:right w:val="single" w:sz="8" w:color="auto"/>
            </w:tcBorders>
            <w:shd w:val="clear" w:color="auto" w:fill="33CCCC"/>
          </w:tcPr>
          <w:p>
            <w:pPr>
              <w:spacing w:after="0"/>
              <w:rPr>
                <w:sz w:val="19"/>
                <w:szCs w:val="19"/>
                <w:color w:val="auto"/>
              </w:rPr>
            </w:pPr>
          </w:p>
        </w:tc>
        <w:tc>
          <w:tcPr>
            <w:tcW w:w="900" w:type="dxa"/>
            <w:vAlign w:val="bottom"/>
            <w:tcBorders>
              <w:bottom w:val="single" w:sz="8" w:color="33CCCC"/>
            </w:tcBorders>
            <w:shd w:val="clear" w:color="auto" w:fill="33CCCC"/>
          </w:tcPr>
          <w:p>
            <w:pPr>
              <w:spacing w:after="0"/>
              <w:rPr>
                <w:sz w:val="19"/>
                <w:szCs w:val="19"/>
                <w:color w:val="auto"/>
              </w:rPr>
            </w:pPr>
          </w:p>
        </w:tc>
        <w:tc>
          <w:tcPr>
            <w:tcW w:w="900" w:type="dxa"/>
            <w:vAlign w:val="bottom"/>
            <w:tcBorders>
              <w:bottom w:val="single" w:sz="8" w:color="33CCCC"/>
            </w:tcBorders>
            <w:shd w:val="clear" w:color="auto" w:fill="33CCCC"/>
          </w:tcPr>
          <w:p>
            <w:pPr>
              <w:spacing w:after="0"/>
              <w:rPr>
                <w:sz w:val="19"/>
                <w:szCs w:val="19"/>
                <w:color w:val="auto"/>
              </w:rPr>
            </w:pPr>
          </w:p>
        </w:tc>
        <w:tc>
          <w:tcPr>
            <w:tcW w:w="900" w:type="dxa"/>
            <w:vAlign w:val="bottom"/>
            <w:tcBorders>
              <w:bottom w:val="single" w:sz="8" w:color="33CCCC"/>
              <w:right w:val="single" w:sz="8" w:color="auto"/>
            </w:tcBorders>
            <w:shd w:val="clear" w:color="auto" w:fill="33CCCC"/>
          </w:tcPr>
          <w:p>
            <w:pPr>
              <w:spacing w:after="0"/>
              <w:rPr>
                <w:sz w:val="19"/>
                <w:szCs w:val="19"/>
                <w:color w:val="auto"/>
              </w:rPr>
            </w:pPr>
          </w:p>
        </w:tc>
        <w:tc>
          <w:tcPr>
            <w:tcW w:w="860" w:type="dxa"/>
            <w:vAlign w:val="bottom"/>
            <w:tcBorders>
              <w:bottom w:val="single" w:sz="8" w:color="33CCCC"/>
            </w:tcBorders>
            <w:shd w:val="clear" w:color="auto" w:fill="33CCCC"/>
          </w:tcPr>
          <w:p>
            <w:pPr>
              <w:spacing w:after="0"/>
              <w:rPr>
                <w:sz w:val="19"/>
                <w:szCs w:val="19"/>
                <w:color w:val="auto"/>
              </w:rPr>
            </w:pPr>
          </w:p>
        </w:tc>
        <w:tc>
          <w:tcPr>
            <w:tcW w:w="920" w:type="dxa"/>
            <w:vAlign w:val="bottom"/>
            <w:tcBorders>
              <w:bottom w:val="single" w:sz="8" w:color="33CCCC"/>
              <w:right w:val="single" w:sz="8" w:color="auto"/>
            </w:tcBorders>
            <w:shd w:val="clear" w:color="auto" w:fill="33CCCC"/>
          </w:tcPr>
          <w:p>
            <w:pPr>
              <w:spacing w:after="0"/>
              <w:rPr>
                <w:sz w:val="19"/>
                <w:szCs w:val="19"/>
                <w:color w:val="auto"/>
              </w:rPr>
            </w:pPr>
          </w:p>
        </w:tc>
        <w:tc>
          <w:tcPr>
            <w:tcW w:w="900" w:type="dxa"/>
            <w:vAlign w:val="bottom"/>
            <w:tcBorders>
              <w:bottom w:val="single" w:sz="8" w:color="33CCCC"/>
            </w:tcBorders>
            <w:shd w:val="clear" w:color="auto" w:fill="33CCCC"/>
          </w:tcPr>
          <w:p>
            <w:pPr>
              <w:spacing w:after="0"/>
              <w:rPr>
                <w:sz w:val="19"/>
                <w:szCs w:val="19"/>
                <w:color w:val="auto"/>
              </w:rPr>
            </w:pPr>
          </w:p>
        </w:tc>
        <w:tc>
          <w:tcPr>
            <w:tcW w:w="900" w:type="dxa"/>
            <w:vAlign w:val="bottom"/>
            <w:tcBorders>
              <w:bottom w:val="single" w:sz="8" w:color="33CCCC"/>
              <w:right w:val="single" w:sz="8" w:color="auto"/>
            </w:tcBorders>
            <w:shd w:val="clear" w:color="auto" w:fill="33CCCC"/>
          </w:tcPr>
          <w:p>
            <w:pPr>
              <w:spacing w:after="0"/>
              <w:rPr>
                <w:sz w:val="19"/>
                <w:szCs w:val="19"/>
                <w:color w:val="auto"/>
              </w:rPr>
            </w:pPr>
          </w:p>
        </w:tc>
        <w:tc>
          <w:tcPr>
            <w:tcW w:w="1020" w:type="dxa"/>
            <w:vAlign w:val="bottom"/>
            <w:tcBorders>
              <w:bottom w:val="single" w:sz="8" w:color="33CCCC"/>
              <w:right w:val="single" w:sz="8" w:color="auto"/>
            </w:tcBorders>
            <w:shd w:val="clear" w:color="auto" w:fill="33CCCC"/>
          </w:tcPr>
          <w:p>
            <w:pPr>
              <w:jc w:val="center"/>
              <w:spacing w:after="0" w:line="206" w:lineRule="exact"/>
              <w:rPr>
                <w:sz w:val="20"/>
                <w:szCs w:val="20"/>
                <w:color w:val="auto"/>
              </w:rPr>
            </w:pPr>
            <w:r>
              <w:rPr>
                <w:rFonts w:ascii="Calibri" w:cs="Calibri" w:eastAsia="Calibri" w:hAnsi="Calibri"/>
                <w:sz w:val="17"/>
                <w:szCs w:val="17"/>
                <w:b w:val="1"/>
                <w:bCs w:val="1"/>
                <w:color w:val="FFFFFF"/>
              </w:rPr>
              <w:t>24</w:t>
            </w:r>
          </w:p>
        </w:tc>
      </w:tr>
      <w:tr>
        <w:trPr>
          <w:trHeight w:val="180"/>
        </w:trPr>
        <w:tc>
          <w:tcPr>
            <w:tcW w:w="2820" w:type="dxa"/>
            <w:vAlign w:val="bottom"/>
            <w:tcBorders>
              <w:top w:val="single" w:sz="8" w:color="auto"/>
              <w:left w:val="single" w:sz="8" w:color="auto"/>
              <w:right w:val="single" w:sz="8" w:color="auto"/>
            </w:tcBorders>
          </w:tcPr>
          <w:p>
            <w:pPr>
              <w:spacing w:after="0" w:line="180" w:lineRule="exact"/>
              <w:rPr>
                <w:sz w:val="20"/>
                <w:szCs w:val="20"/>
                <w:color w:val="auto"/>
              </w:rPr>
            </w:pPr>
            <w:r>
              <w:rPr>
                <w:rFonts w:ascii="Calibri" w:cs="Calibri" w:eastAsia="Calibri" w:hAnsi="Calibri"/>
                <w:sz w:val="17"/>
                <w:szCs w:val="17"/>
                <w:color w:val="auto"/>
              </w:rPr>
              <w:t>Net interest income</w:t>
            </w:r>
          </w:p>
        </w:tc>
        <w:tc>
          <w:tcPr>
            <w:tcW w:w="90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7"/>
                <w:szCs w:val="17"/>
                <w:color w:val="auto"/>
              </w:rPr>
              <w:t>5,278</w:t>
            </w:r>
          </w:p>
        </w:tc>
        <w:tc>
          <w:tcPr>
            <w:tcW w:w="90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7"/>
                <w:szCs w:val="17"/>
                <w:color w:val="auto"/>
                <w:w w:val="97"/>
              </w:rPr>
              <w:t>10,441</w:t>
            </w:r>
          </w:p>
        </w:tc>
        <w:tc>
          <w:tcPr>
            <w:tcW w:w="90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7"/>
                <w:szCs w:val="17"/>
                <w:color w:val="auto"/>
              </w:rPr>
              <w:t>13,978</w:t>
            </w:r>
          </w:p>
        </w:tc>
        <w:tc>
          <w:tcPr>
            <w:tcW w:w="86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7"/>
                <w:szCs w:val="17"/>
                <w:color w:val="auto"/>
                <w:w w:val="99"/>
              </w:rPr>
              <w:t>33.9%</w:t>
            </w:r>
          </w:p>
        </w:tc>
        <w:tc>
          <w:tcPr>
            <w:tcW w:w="92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7"/>
                <w:szCs w:val="17"/>
                <w:color w:val="auto"/>
                <w:w w:val="98"/>
              </w:rPr>
              <w:t>164.8%</w:t>
            </w:r>
          </w:p>
        </w:tc>
        <w:tc>
          <w:tcPr>
            <w:tcW w:w="90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7"/>
                <w:szCs w:val="17"/>
                <w:color w:val="auto"/>
                <w:w w:val="97"/>
              </w:rPr>
              <w:t>11,737</w:t>
            </w:r>
          </w:p>
        </w:tc>
        <w:tc>
          <w:tcPr>
            <w:tcW w:w="90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7"/>
                <w:szCs w:val="17"/>
                <w:color w:val="auto"/>
              </w:rPr>
              <w:t>24,419</w:t>
            </w:r>
          </w:p>
        </w:tc>
        <w:tc>
          <w:tcPr>
            <w:tcW w:w="102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7"/>
                <w:szCs w:val="17"/>
                <w:color w:val="auto"/>
                <w:w w:val="98"/>
              </w:rPr>
              <w:t>108.1%</w:t>
            </w:r>
          </w:p>
        </w:tc>
      </w:tr>
      <w:tr>
        <w:trPr>
          <w:trHeight w:val="206"/>
        </w:trPr>
        <w:tc>
          <w:tcPr>
            <w:tcW w:w="2820" w:type="dxa"/>
            <w:vAlign w:val="bottom"/>
            <w:tcBorders>
              <w:left w:val="single" w:sz="8" w:color="auto"/>
              <w:right w:val="single" w:sz="8" w:color="auto"/>
            </w:tcBorders>
          </w:tcPr>
          <w:p>
            <w:pPr>
              <w:spacing w:after="0" w:line="206" w:lineRule="exact"/>
              <w:rPr>
                <w:sz w:val="20"/>
                <w:szCs w:val="20"/>
                <w:color w:val="auto"/>
              </w:rPr>
            </w:pPr>
            <w:r>
              <w:rPr>
                <w:rFonts w:ascii="Calibri" w:cs="Calibri" w:eastAsia="Calibri" w:hAnsi="Calibri"/>
                <w:sz w:val="17"/>
                <w:szCs w:val="17"/>
                <w:color w:val="auto"/>
              </w:rPr>
              <w:t>Other income</w:t>
            </w:r>
          </w:p>
        </w:tc>
        <w:tc>
          <w:tcPr>
            <w:tcW w:w="900" w:type="dxa"/>
            <w:vAlign w:val="bottom"/>
          </w:tcPr>
          <w:p>
            <w:pPr>
              <w:jc w:val="center"/>
              <w:spacing w:after="0" w:line="206" w:lineRule="exact"/>
              <w:rPr>
                <w:sz w:val="20"/>
                <w:szCs w:val="20"/>
                <w:color w:val="auto"/>
              </w:rPr>
            </w:pPr>
            <w:r>
              <w:rPr>
                <w:rFonts w:ascii="Calibri" w:cs="Calibri" w:eastAsia="Calibri" w:hAnsi="Calibri"/>
                <w:sz w:val="17"/>
                <w:szCs w:val="17"/>
                <w:color w:val="auto"/>
                <w:w w:val="99"/>
              </w:rPr>
              <w:t>255,814</w:t>
            </w:r>
          </w:p>
        </w:tc>
        <w:tc>
          <w:tcPr>
            <w:tcW w:w="900" w:type="dxa"/>
            <w:vAlign w:val="bottom"/>
          </w:tcPr>
          <w:p>
            <w:pPr>
              <w:jc w:val="center"/>
              <w:spacing w:after="0" w:line="206" w:lineRule="exact"/>
              <w:rPr>
                <w:sz w:val="20"/>
                <w:szCs w:val="20"/>
                <w:color w:val="auto"/>
              </w:rPr>
            </w:pPr>
            <w:r>
              <w:rPr>
                <w:rFonts w:ascii="Calibri" w:cs="Calibri" w:eastAsia="Calibri" w:hAnsi="Calibri"/>
                <w:sz w:val="17"/>
                <w:szCs w:val="17"/>
                <w:color w:val="auto"/>
                <w:w w:val="99"/>
              </w:rPr>
              <w:t>264,926</w:t>
            </w:r>
          </w:p>
        </w:tc>
        <w:tc>
          <w:tcPr>
            <w:tcW w:w="9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9"/>
              </w:rPr>
              <w:t>232,110</w:t>
            </w:r>
          </w:p>
        </w:tc>
        <w:tc>
          <w:tcPr>
            <w:tcW w:w="860" w:type="dxa"/>
            <w:vAlign w:val="bottom"/>
          </w:tcPr>
          <w:p>
            <w:pPr>
              <w:jc w:val="center"/>
              <w:spacing w:after="0" w:line="206" w:lineRule="exact"/>
              <w:rPr>
                <w:sz w:val="20"/>
                <w:szCs w:val="20"/>
                <w:color w:val="auto"/>
              </w:rPr>
            </w:pPr>
            <w:r>
              <w:rPr>
                <w:rFonts w:ascii="Calibri" w:cs="Calibri" w:eastAsia="Calibri" w:hAnsi="Calibri"/>
                <w:sz w:val="17"/>
                <w:szCs w:val="17"/>
                <w:color w:val="auto"/>
              </w:rPr>
              <w:t>-12.4%</w:t>
            </w:r>
          </w:p>
        </w:tc>
        <w:tc>
          <w:tcPr>
            <w:tcW w:w="92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7"/>
              </w:rPr>
              <w:t>-9.3%</w:t>
            </w:r>
          </w:p>
        </w:tc>
        <w:tc>
          <w:tcPr>
            <w:tcW w:w="900" w:type="dxa"/>
            <w:vAlign w:val="bottom"/>
          </w:tcPr>
          <w:p>
            <w:pPr>
              <w:jc w:val="center"/>
              <w:spacing w:after="0" w:line="206" w:lineRule="exact"/>
              <w:rPr>
                <w:sz w:val="20"/>
                <w:szCs w:val="20"/>
                <w:color w:val="auto"/>
              </w:rPr>
            </w:pPr>
            <w:r>
              <w:rPr>
                <w:rFonts w:ascii="Calibri" w:cs="Calibri" w:eastAsia="Calibri" w:hAnsi="Calibri"/>
                <w:sz w:val="17"/>
                <w:szCs w:val="17"/>
                <w:color w:val="auto"/>
                <w:w w:val="99"/>
              </w:rPr>
              <w:t>489,204</w:t>
            </w:r>
          </w:p>
        </w:tc>
        <w:tc>
          <w:tcPr>
            <w:tcW w:w="9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9"/>
              </w:rPr>
              <w:t>497,036</w:t>
            </w:r>
          </w:p>
        </w:tc>
        <w:tc>
          <w:tcPr>
            <w:tcW w:w="102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9"/>
              </w:rPr>
              <w:t>22.2%</w:t>
            </w:r>
          </w:p>
        </w:tc>
      </w:tr>
      <w:tr>
        <w:trPr>
          <w:trHeight w:val="208"/>
        </w:trPr>
        <w:tc>
          <w:tcPr>
            <w:tcW w:w="282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Fee income</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168,823</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150,272</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147,138</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-2.1%</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6"/>
              </w:rPr>
              <w:t>-12.8%</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313,921</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297,410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22.5%</w:t>
            </w:r>
          </w:p>
        </w:tc>
      </w:tr>
      <w:tr>
        <w:trPr>
          <w:trHeight w:val="208"/>
        </w:trPr>
        <w:tc>
          <w:tcPr>
            <w:tcW w:w="2820" w:type="dxa"/>
            <w:vAlign w:val="bottom"/>
            <w:tcBorders>
              <w:left w:val="single" w:sz="8" w:color="auto"/>
              <w:right w:val="single" w:sz="8" w:color="auto"/>
            </w:tcBorders>
          </w:tcPr>
          <w:p>
            <w:pPr>
              <w:ind w:left="320"/>
              <w:spacing w:after="0"/>
              <w:rPr>
                <w:sz w:val="20"/>
                <w:szCs w:val="20"/>
                <w:color w:val="auto"/>
              </w:rPr>
            </w:pPr>
            <w:r>
              <w:rPr>
                <w:rFonts w:ascii="Calibri" w:cs="Calibri" w:eastAsia="Calibri" w:hAnsi="Calibri"/>
                <w:sz w:val="17"/>
                <w:szCs w:val="17"/>
                <w:color w:val="auto"/>
              </w:rPr>
              <w:t>Net gain on foreign exchange</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19,083</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15,069</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21,497</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42.7%</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12.7%</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31,720</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36,566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9.7%</w:t>
            </w:r>
          </w:p>
        </w:tc>
      </w:tr>
      <w:tr>
        <w:trPr>
          <w:trHeight w:val="208"/>
        </w:trPr>
        <w:tc>
          <w:tcPr>
            <w:tcW w:w="2820" w:type="dxa"/>
            <w:vAlign w:val="bottom"/>
            <w:tcBorders>
              <w:left w:val="single" w:sz="8" w:color="auto"/>
              <w:right w:val="single" w:sz="8" w:color="auto"/>
            </w:tcBorders>
          </w:tcPr>
          <w:p>
            <w:pPr>
              <w:ind w:left="320"/>
              <w:spacing w:after="0"/>
              <w:rPr>
                <w:sz w:val="20"/>
                <w:szCs w:val="20"/>
                <w:color w:val="auto"/>
              </w:rPr>
            </w:pPr>
            <w:r>
              <w:rPr>
                <w:rFonts w:ascii="Calibri" w:cs="Calibri" w:eastAsia="Calibri" w:hAnsi="Calibri"/>
                <w:sz w:val="17"/>
                <w:szCs w:val="17"/>
                <w:color w:val="auto"/>
              </w:rPr>
              <w:t>transactons</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08"/>
        </w:trPr>
        <w:tc>
          <w:tcPr>
            <w:tcW w:w="282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Net gain on sales of securites</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45,641</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41,192</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64,298</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56.1%</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40.9%</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100,212</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105,490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-13.6%</w:t>
            </w:r>
          </w:p>
        </w:tc>
      </w:tr>
      <w:tr>
        <w:trPr>
          <w:trHeight w:val="208"/>
        </w:trPr>
        <w:tc>
          <w:tcPr>
            <w:tcW w:w="282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Derivatve Result</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20,551</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3,864</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(8,789)</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-327.5%</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-142.8%</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42,579</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(4,925)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-184.3%</w:t>
            </w:r>
          </w:p>
        </w:tc>
      </w:tr>
      <w:tr>
        <w:trPr>
          <w:trHeight w:val="208"/>
        </w:trPr>
        <w:tc>
          <w:tcPr>
            <w:tcW w:w="2820" w:type="dxa"/>
            <w:vAlign w:val="bottom"/>
            <w:tcBorders>
              <w:left w:val="single" w:sz="8" w:color="auto"/>
              <w:right w:val="single" w:sz="8" w:color="auto"/>
            </w:tcBorders>
          </w:tcPr>
          <w:p>
            <w:pPr>
              <w:ind w:left="320"/>
              <w:spacing w:after="0"/>
              <w:rPr>
                <w:sz w:val="20"/>
                <w:szCs w:val="20"/>
                <w:color w:val="auto"/>
              </w:rPr>
            </w:pPr>
            <w:r>
              <w:rPr>
                <w:rFonts w:ascii="Calibri" w:cs="Calibri" w:eastAsia="Calibri" w:hAnsi="Calibri"/>
                <w:sz w:val="17"/>
                <w:szCs w:val="17"/>
                <w:color w:val="auto"/>
              </w:rPr>
              <w:t>Result from exposure to the</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(4,378)</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12,599</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4,870</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-61.3%</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-211.2%</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(17,351)</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17,469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-155.1%</w:t>
            </w:r>
          </w:p>
        </w:tc>
      </w:tr>
      <w:tr>
        <w:trPr>
          <w:trHeight w:val="208"/>
        </w:trPr>
        <w:tc>
          <w:tcPr>
            <w:tcW w:w="2820" w:type="dxa"/>
            <w:vAlign w:val="bottom"/>
            <w:tcBorders>
              <w:left w:val="single" w:sz="8" w:color="auto"/>
              <w:right w:val="single" w:sz="8" w:color="auto"/>
            </w:tcBorders>
          </w:tcPr>
          <w:p>
            <w:pPr>
              <w:ind w:left="320"/>
              <w:spacing w:after="0"/>
              <w:rPr>
                <w:sz w:val="20"/>
                <w:szCs w:val="20"/>
                <w:color w:val="auto"/>
              </w:rPr>
            </w:pPr>
            <w:r>
              <w:rPr>
                <w:rFonts w:ascii="Calibri" w:cs="Calibri" w:eastAsia="Calibri" w:hAnsi="Calibri"/>
                <w:sz w:val="17"/>
                <w:szCs w:val="17"/>
                <w:color w:val="auto"/>
              </w:rPr>
              <w:t>exchange rate</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08"/>
        </w:trPr>
        <w:tc>
          <w:tcPr>
            <w:tcW w:w="282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Other income</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6,094</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41,930</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3,096</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-92.6%</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6"/>
              </w:rPr>
              <w:t>-49.2%</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18,123</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45,026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0.1%</w:t>
            </w:r>
          </w:p>
        </w:tc>
      </w:tr>
      <w:tr>
        <w:trPr>
          <w:trHeight w:val="231"/>
        </w:trPr>
        <w:tc>
          <w:tcPr>
            <w:tcW w:w="2820" w:type="dxa"/>
            <w:vAlign w:val="bottom"/>
            <w:tcBorders>
              <w:left w:val="single" w:sz="8" w:color="auto"/>
              <w:bottom w:val="single" w:sz="8" w:color="auto"/>
              <w:right w:val="single" w:sz="8" w:color="auto"/>
            </w:tcBorders>
          </w:tcPr>
          <w:p>
            <w:pPr>
              <w:spacing w:after="0" w:line="231" w:lineRule="exact"/>
              <w:rPr>
                <w:sz w:val="20"/>
                <w:szCs w:val="20"/>
                <w:color w:val="auto"/>
              </w:rPr>
            </w:pPr>
            <w:r>
              <w:rPr>
                <w:rFonts w:ascii="Calibri" w:cs="Calibri" w:eastAsia="Calibri" w:hAnsi="Calibri"/>
                <w:sz w:val="16"/>
                <w:szCs w:val="16"/>
                <w:color w:val="auto"/>
              </w:rPr>
              <w:t xml:space="preserve">Operatng expenses </w:t>
            </w:r>
            <w:r>
              <w:rPr>
                <w:rFonts w:ascii="Calibri" w:cs="Calibri" w:eastAsia="Calibri" w:hAnsi="Calibri"/>
                <w:sz w:val="25"/>
                <w:szCs w:val="25"/>
                <w:color w:val="auto"/>
                <w:vertAlign w:val="superscript"/>
              </w:rPr>
              <w:t>(1)</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w w:val="99"/>
              </w:rPr>
              <w:t>(172,693)</w:t>
            </w:r>
          </w:p>
        </w:tc>
        <w:tc>
          <w:tcPr>
            <w:tcW w:w="900" w:type="dxa"/>
            <w:vAlign w:val="bottom"/>
            <w:tcBorders>
              <w:bottom w:val="single" w:sz="8" w:color="auto"/>
            </w:tcBorders>
          </w:tcPr>
          <w:p>
            <w:pPr>
              <w:jc w:val="right"/>
              <w:ind w:right="33"/>
              <w:spacing w:after="0"/>
              <w:rPr>
                <w:sz w:val="20"/>
                <w:szCs w:val="20"/>
                <w:color w:val="auto"/>
              </w:rPr>
            </w:pPr>
            <w:r>
              <w:rPr>
                <w:rFonts w:ascii="Calibri" w:cs="Calibri" w:eastAsia="Calibri" w:hAnsi="Calibri"/>
                <w:sz w:val="17"/>
                <w:szCs w:val="17"/>
                <w:color w:val="auto"/>
              </w:rPr>
              <w:t>(202,074)</w:t>
            </w:r>
          </w:p>
        </w:tc>
        <w:tc>
          <w:tcPr>
            <w:tcW w:w="9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w w:val="99"/>
              </w:rPr>
              <w:t>(183,696)</w:t>
            </w: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rPr>
              <w:t>-9.1%</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rPr>
              <w:t>6.4%</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w w:val="99"/>
              </w:rPr>
              <w:t>(352,784)</w:t>
            </w:r>
          </w:p>
        </w:tc>
        <w:tc>
          <w:tcPr>
            <w:tcW w:w="9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w w:val="99"/>
              </w:rPr>
              <w:t>(385,770)</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rPr>
              <w:t>6.6%</w:t>
            </w:r>
          </w:p>
        </w:tc>
      </w:tr>
      <w:tr>
        <w:trPr>
          <w:trHeight w:val="200"/>
        </w:trPr>
        <w:tc>
          <w:tcPr>
            <w:tcW w:w="2820" w:type="dxa"/>
            <w:vAlign w:val="bottom"/>
            <w:tcBorders>
              <w:left w:val="single" w:sz="8" w:color="auto"/>
              <w:bottom w:val="single" w:sz="8" w:color="auto"/>
              <w:right w:val="single" w:sz="8" w:color="auto"/>
            </w:tcBorders>
          </w:tcPr>
          <w:p>
            <w:pPr>
              <w:spacing w:after="0" w:line="200" w:lineRule="exact"/>
              <w:rPr>
                <w:sz w:val="20"/>
                <w:szCs w:val="20"/>
                <w:color w:val="auto"/>
              </w:rPr>
            </w:pPr>
            <w:r>
              <w:rPr>
                <w:rFonts w:ascii="Calibri" w:cs="Calibri" w:eastAsia="Calibri" w:hAnsi="Calibri"/>
                <w:sz w:val="17"/>
                <w:szCs w:val="17"/>
                <w:b w:val="1"/>
                <w:bCs w:val="1"/>
                <w:color w:val="auto"/>
              </w:rPr>
              <w:t>Operatng income</w:t>
            </w:r>
          </w:p>
        </w:tc>
        <w:tc>
          <w:tcPr>
            <w:tcW w:w="90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88,399</w:t>
            </w:r>
          </w:p>
        </w:tc>
        <w:tc>
          <w:tcPr>
            <w:tcW w:w="90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6"/>
              </w:rPr>
              <w:t>73,293</w:t>
            </w:r>
          </w:p>
        </w:tc>
        <w:tc>
          <w:tcPr>
            <w:tcW w:w="90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62,392</w:t>
            </w:r>
          </w:p>
        </w:tc>
        <w:tc>
          <w:tcPr>
            <w:tcW w:w="86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-14.9%</w:t>
            </w:r>
          </w:p>
        </w:tc>
        <w:tc>
          <w:tcPr>
            <w:tcW w:w="92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-29.4%</w:t>
            </w:r>
          </w:p>
        </w:tc>
        <w:tc>
          <w:tcPr>
            <w:tcW w:w="90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148,157</w:t>
            </w:r>
          </w:p>
        </w:tc>
        <w:tc>
          <w:tcPr>
            <w:tcW w:w="90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135,685</w:t>
            </w:r>
          </w:p>
        </w:tc>
        <w:tc>
          <w:tcPr>
            <w:tcW w:w="102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8"/>
              </w:rPr>
              <w:t>31.7%</w:t>
            </w:r>
          </w:p>
        </w:tc>
      </w:tr>
      <w:tr>
        <w:trPr>
          <w:trHeight w:val="181"/>
        </w:trPr>
        <w:tc>
          <w:tcPr>
            <w:tcW w:w="2820" w:type="dxa"/>
            <w:vAlign w:val="bottom"/>
            <w:tcBorders>
              <w:left w:val="single" w:sz="8" w:color="auto"/>
              <w:right w:val="single" w:sz="8" w:color="auto"/>
            </w:tcBorders>
          </w:tcPr>
          <w:p>
            <w:pPr>
              <w:spacing w:after="0" w:line="181" w:lineRule="exact"/>
              <w:rPr>
                <w:sz w:val="20"/>
                <w:szCs w:val="20"/>
                <w:color w:val="auto"/>
              </w:rPr>
            </w:pPr>
            <w:r>
              <w:rPr>
                <w:rFonts w:ascii="Calibri" w:cs="Calibri" w:eastAsia="Calibri" w:hAnsi="Calibri"/>
                <w:sz w:val="17"/>
                <w:szCs w:val="17"/>
                <w:color w:val="auto"/>
              </w:rPr>
              <w:t>Income taxes</w:t>
            </w:r>
          </w:p>
        </w:tc>
        <w:tc>
          <w:tcPr>
            <w:tcW w:w="900" w:type="dxa"/>
            <w:vAlign w:val="bottom"/>
          </w:tcPr>
          <w:p>
            <w:pPr>
              <w:jc w:val="center"/>
              <w:spacing w:after="0" w:line="181" w:lineRule="exact"/>
              <w:rPr>
                <w:sz w:val="20"/>
                <w:szCs w:val="20"/>
                <w:color w:val="auto"/>
              </w:rPr>
            </w:pPr>
            <w:r>
              <w:rPr>
                <w:rFonts w:ascii="Calibri" w:cs="Calibri" w:eastAsia="Calibri" w:hAnsi="Calibri"/>
                <w:sz w:val="17"/>
                <w:szCs w:val="17"/>
                <w:color w:val="auto"/>
              </w:rPr>
              <w:t>(23,942)</w:t>
            </w:r>
          </w:p>
        </w:tc>
        <w:tc>
          <w:tcPr>
            <w:tcW w:w="900" w:type="dxa"/>
            <w:vAlign w:val="bottom"/>
          </w:tcPr>
          <w:p>
            <w:pPr>
              <w:jc w:val="right"/>
              <w:ind w:right="73"/>
              <w:spacing w:after="0" w:line="181" w:lineRule="exact"/>
              <w:rPr>
                <w:sz w:val="20"/>
                <w:szCs w:val="20"/>
                <w:color w:val="auto"/>
              </w:rPr>
            </w:pPr>
            <w:r>
              <w:rPr>
                <w:rFonts w:ascii="Calibri" w:cs="Calibri" w:eastAsia="Calibri" w:hAnsi="Calibri"/>
                <w:sz w:val="17"/>
                <w:szCs w:val="17"/>
                <w:color w:val="auto"/>
              </w:rPr>
              <w:t>(11,098)</w:t>
            </w:r>
          </w:p>
        </w:tc>
        <w:tc>
          <w:tcPr>
            <w:tcW w:w="9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color w:val="auto"/>
              </w:rPr>
              <w:t>(11,686)</w:t>
            </w:r>
          </w:p>
        </w:tc>
        <w:tc>
          <w:tcPr>
            <w:tcW w:w="860" w:type="dxa"/>
            <w:vAlign w:val="bottom"/>
          </w:tcPr>
          <w:p>
            <w:pPr>
              <w:jc w:val="center"/>
              <w:spacing w:after="0" w:line="181" w:lineRule="exact"/>
              <w:rPr>
                <w:sz w:val="20"/>
                <w:szCs w:val="20"/>
                <w:color w:val="auto"/>
              </w:rPr>
            </w:pPr>
            <w:r>
              <w:rPr>
                <w:rFonts w:ascii="Calibri" w:cs="Calibri" w:eastAsia="Calibri" w:hAnsi="Calibri"/>
                <w:sz w:val="17"/>
                <w:szCs w:val="17"/>
                <w:color w:val="auto"/>
              </w:rPr>
              <w:t>5.3%</w:t>
            </w:r>
          </w:p>
        </w:tc>
        <w:tc>
          <w:tcPr>
            <w:tcW w:w="92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color w:val="auto"/>
                <w:w w:val="96"/>
              </w:rPr>
              <w:t>-51.2%</w:t>
            </w:r>
          </w:p>
        </w:tc>
        <w:tc>
          <w:tcPr>
            <w:tcW w:w="900" w:type="dxa"/>
            <w:vAlign w:val="bottom"/>
          </w:tcPr>
          <w:p>
            <w:pPr>
              <w:jc w:val="center"/>
              <w:spacing w:after="0" w:line="181" w:lineRule="exact"/>
              <w:rPr>
                <w:sz w:val="20"/>
                <w:szCs w:val="20"/>
                <w:color w:val="auto"/>
              </w:rPr>
            </w:pPr>
            <w:r>
              <w:rPr>
                <w:rFonts w:ascii="Calibri" w:cs="Calibri" w:eastAsia="Calibri" w:hAnsi="Calibri"/>
                <w:sz w:val="17"/>
                <w:szCs w:val="17"/>
                <w:color w:val="auto"/>
              </w:rPr>
              <w:t>(34,885)</w:t>
            </w:r>
          </w:p>
        </w:tc>
        <w:tc>
          <w:tcPr>
            <w:tcW w:w="9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color w:val="auto"/>
                <w:w w:val="97"/>
              </w:rPr>
              <w:t>(22,784)</w:t>
            </w:r>
          </w:p>
        </w:tc>
        <w:tc>
          <w:tcPr>
            <w:tcW w:w="102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7"/>
                <w:szCs w:val="17"/>
                <w:color w:val="auto"/>
                <w:w w:val="98"/>
              </w:rPr>
              <w:t>112.1%</w:t>
            </w:r>
          </w:p>
        </w:tc>
      </w:tr>
      <w:tr>
        <w:trPr>
          <w:trHeight w:val="206"/>
        </w:trPr>
        <w:tc>
          <w:tcPr>
            <w:tcW w:w="2820" w:type="dxa"/>
            <w:vAlign w:val="bottom"/>
            <w:tcBorders>
              <w:left w:val="single" w:sz="8" w:color="auto"/>
              <w:right w:val="single" w:sz="8" w:color="auto"/>
            </w:tcBorders>
          </w:tcPr>
          <w:p>
            <w:pPr>
              <w:spacing w:after="0" w:line="206" w:lineRule="exact"/>
              <w:rPr>
                <w:sz w:val="20"/>
                <w:szCs w:val="20"/>
                <w:color w:val="auto"/>
              </w:rPr>
            </w:pPr>
            <w:r>
              <w:rPr>
                <w:rFonts w:ascii="Calibri" w:cs="Calibri" w:eastAsia="Calibri" w:hAnsi="Calibri"/>
                <w:sz w:val="17"/>
                <w:szCs w:val="17"/>
                <w:color w:val="auto"/>
              </w:rPr>
              <w:t>Non-controlling interest</w:t>
            </w:r>
          </w:p>
        </w:tc>
        <w:tc>
          <w:tcPr>
            <w:tcW w:w="900" w:type="dxa"/>
            <w:vAlign w:val="bottom"/>
          </w:tcPr>
          <w:p>
            <w:pPr>
              <w:jc w:val="center"/>
              <w:spacing w:after="0" w:line="206" w:lineRule="exact"/>
              <w:rPr>
                <w:sz w:val="20"/>
                <w:szCs w:val="20"/>
                <w:color w:val="auto"/>
              </w:rPr>
            </w:pPr>
            <w:r>
              <w:rPr>
                <w:rFonts w:ascii="Calibri" w:cs="Calibri" w:eastAsia="Calibri" w:hAnsi="Calibri"/>
                <w:sz w:val="17"/>
                <w:szCs w:val="17"/>
                <w:color w:val="auto"/>
                <w:w w:val="97"/>
              </w:rPr>
              <w:t>(2,426)</w:t>
            </w:r>
          </w:p>
        </w:tc>
        <w:tc>
          <w:tcPr>
            <w:tcW w:w="900" w:type="dxa"/>
            <w:vAlign w:val="bottom"/>
          </w:tcPr>
          <w:p>
            <w:pPr>
              <w:jc w:val="center"/>
              <w:spacing w:after="0" w:line="206" w:lineRule="exact"/>
              <w:rPr>
                <w:sz w:val="20"/>
                <w:szCs w:val="20"/>
                <w:color w:val="auto"/>
              </w:rPr>
            </w:pPr>
            <w:r>
              <w:rPr>
                <w:rFonts w:ascii="Calibri" w:cs="Calibri" w:eastAsia="Calibri" w:hAnsi="Calibri"/>
                <w:sz w:val="17"/>
                <w:szCs w:val="17"/>
                <w:color w:val="auto"/>
              </w:rPr>
              <w:t>152</w:t>
            </w:r>
          </w:p>
        </w:tc>
        <w:tc>
          <w:tcPr>
            <w:tcW w:w="9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167</w:t>
            </w:r>
          </w:p>
        </w:tc>
        <w:tc>
          <w:tcPr>
            <w:tcW w:w="860" w:type="dxa"/>
            <w:vAlign w:val="bottom"/>
          </w:tcPr>
          <w:p>
            <w:pPr>
              <w:jc w:val="center"/>
              <w:spacing w:after="0" w:line="206" w:lineRule="exact"/>
              <w:rPr>
                <w:sz w:val="20"/>
                <w:szCs w:val="20"/>
                <w:color w:val="auto"/>
              </w:rPr>
            </w:pPr>
            <w:r>
              <w:rPr>
                <w:rFonts w:ascii="Calibri" w:cs="Calibri" w:eastAsia="Calibri" w:hAnsi="Calibri"/>
                <w:sz w:val="17"/>
                <w:szCs w:val="17"/>
                <w:color w:val="auto"/>
              </w:rPr>
              <w:t>9.9%</w:t>
            </w:r>
          </w:p>
        </w:tc>
        <w:tc>
          <w:tcPr>
            <w:tcW w:w="92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9"/>
              </w:rPr>
              <w:t>-106.9%</w:t>
            </w:r>
          </w:p>
        </w:tc>
        <w:tc>
          <w:tcPr>
            <w:tcW w:w="900" w:type="dxa"/>
            <w:vAlign w:val="bottom"/>
          </w:tcPr>
          <w:p>
            <w:pPr>
              <w:jc w:val="center"/>
              <w:spacing w:after="0" w:line="206" w:lineRule="exact"/>
              <w:rPr>
                <w:sz w:val="20"/>
                <w:szCs w:val="20"/>
                <w:color w:val="auto"/>
              </w:rPr>
            </w:pPr>
            <w:r>
              <w:rPr>
                <w:rFonts w:ascii="Calibri" w:cs="Calibri" w:eastAsia="Calibri" w:hAnsi="Calibri"/>
                <w:sz w:val="17"/>
                <w:szCs w:val="17"/>
                <w:color w:val="auto"/>
              </w:rPr>
              <w:t>150</w:t>
            </w:r>
          </w:p>
        </w:tc>
        <w:tc>
          <w:tcPr>
            <w:tcW w:w="90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319</w:t>
            </w:r>
          </w:p>
        </w:tc>
        <w:tc>
          <w:tcPr>
            <w:tcW w:w="102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w w:val="99"/>
              </w:rPr>
              <w:t>-108.1%</w:t>
            </w: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00"/>
        </w:trPr>
        <w:tc>
          <w:tcPr>
            <w:tcW w:w="2820" w:type="dxa"/>
            <w:vAlign w:val="bottom"/>
            <w:tcBorders>
              <w:left w:val="single" w:sz="8" w:color="auto"/>
              <w:bottom w:val="single" w:sz="8" w:color="auto"/>
              <w:right w:val="single" w:sz="8" w:color="auto"/>
            </w:tcBorders>
          </w:tcPr>
          <w:p>
            <w:pPr>
              <w:spacing w:after="0" w:line="200" w:lineRule="exact"/>
              <w:rPr>
                <w:sz w:val="20"/>
                <w:szCs w:val="20"/>
                <w:color w:val="auto"/>
              </w:rPr>
            </w:pPr>
            <w:r>
              <w:rPr>
                <w:rFonts w:ascii="Calibri" w:cs="Calibri" w:eastAsia="Calibri" w:hAnsi="Calibri"/>
                <w:sz w:val="17"/>
                <w:szCs w:val="17"/>
                <w:b w:val="1"/>
                <w:bCs w:val="1"/>
                <w:color w:val="auto"/>
              </w:rPr>
              <w:t>Net income</w:t>
            </w:r>
          </w:p>
        </w:tc>
        <w:tc>
          <w:tcPr>
            <w:tcW w:w="90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66,883</w:t>
            </w:r>
          </w:p>
        </w:tc>
        <w:tc>
          <w:tcPr>
            <w:tcW w:w="90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6"/>
              </w:rPr>
              <w:t>62,043</w:t>
            </w:r>
          </w:p>
        </w:tc>
        <w:tc>
          <w:tcPr>
            <w:tcW w:w="90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50,539</w:t>
            </w:r>
          </w:p>
        </w:tc>
        <w:tc>
          <w:tcPr>
            <w:tcW w:w="86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-18.5%</w:t>
            </w:r>
          </w:p>
        </w:tc>
        <w:tc>
          <w:tcPr>
            <w:tcW w:w="92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-24.4%</w:t>
            </w:r>
          </w:p>
        </w:tc>
        <w:tc>
          <w:tcPr>
            <w:tcW w:w="900" w:type="dxa"/>
            <w:vAlign w:val="bottom"/>
            <w:tcBorders>
              <w:bottom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113,122</w:t>
            </w:r>
          </w:p>
        </w:tc>
        <w:tc>
          <w:tcPr>
            <w:tcW w:w="90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9"/>
              </w:rPr>
              <w:t>112,582</w:t>
            </w:r>
          </w:p>
        </w:tc>
        <w:tc>
          <w:tcPr>
            <w:tcW w:w="1020" w:type="dxa"/>
            <w:vAlign w:val="bottom"/>
            <w:tcBorders>
              <w:bottom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w w:val="98"/>
              </w:rPr>
              <w:t>15.6%</w:t>
            </w:r>
          </w:p>
        </w:tc>
      </w:tr>
    </w:tbl>
    <w:p>
      <w:pPr>
        <w:spacing w:after="0" w:line="141" w:lineRule="exact"/>
        <w:rPr>
          <w:sz w:val="20"/>
          <w:szCs w:val="20"/>
          <w:color w:val="auto"/>
        </w:rPr>
      </w:pPr>
    </w:p>
    <w:p>
      <w:pPr>
        <w:ind w:left="1560"/>
        <w:spacing w:after="0"/>
        <w:rPr>
          <w:sz w:val="20"/>
          <w:szCs w:val="20"/>
          <w:color w:val="auto"/>
        </w:rPr>
      </w:pPr>
      <w:r>
        <w:rPr>
          <w:rFonts w:ascii="Calibri" w:cs="Calibri" w:eastAsia="Calibri" w:hAnsi="Calibri"/>
          <w:sz w:val="11"/>
          <w:szCs w:val="11"/>
          <w:color w:val="auto"/>
        </w:rPr>
        <w:t>* Includes ASB and Credicorp Capital. Does not include Wealth Management at BCP.</w:t>
      </w:r>
    </w:p>
    <w:p>
      <w:pPr>
        <w:ind w:left="1860" w:hanging="308"/>
        <w:spacing w:after="0" w:line="232" w:lineRule="auto"/>
        <w:tabs>
          <w:tab w:leader="none" w:pos="1860" w:val="left"/>
        </w:tabs>
        <w:numPr>
          <w:ilvl w:val="0"/>
          <w:numId w:val="66"/>
        </w:numPr>
        <w:rPr>
          <w:rFonts w:ascii="Calibri" w:cs="Calibri" w:eastAsia="Calibri" w:hAnsi="Calibri"/>
          <w:sz w:val="11"/>
          <w:szCs w:val="11"/>
          <w:color w:val="auto"/>
        </w:rPr>
      </w:pPr>
      <w:r>
        <w:rPr>
          <w:rFonts w:ascii="Calibri" w:cs="Calibri" w:eastAsia="Calibri" w:hAnsi="Calibri"/>
          <w:sz w:val="11"/>
          <w:szCs w:val="11"/>
          <w:color w:val="auto"/>
        </w:rPr>
        <w:t>Includes: Salaries and employee’s benefts + Administratve expenses + Assigned expenses + Depreciaton and amortzaton + Tax and contributons +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941070</wp:posOffset>
            </wp:positionV>
            <wp:extent cx="7137400"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172720</wp:posOffset>
            </wp:positionV>
            <wp:extent cx="6509385" cy="545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509385" cy="545465"/>
                    </a:xfrm>
                    <a:prstGeom prst="rect">
                      <a:avLst/>
                    </a:prstGeom>
                    <a:noFill/>
                  </pic:spPr>
                </pic:pic>
              </a:graphicData>
            </a:graphic>
          </wp:anchor>
        </w:drawing>
      </w:r>
    </w:p>
    <w:p>
      <w:pPr>
        <w:sectPr>
          <w:pgSz w:w="11900" w:h="16838" w:orient="portrait"/>
          <w:cols w:equalWidth="0" w:num="1">
            <w:col w:w="10680"/>
          </w:cols>
          <w:pgMar w:left="320" w:top="445" w:right="899" w:bottom="1440" w:gutter="0" w:footer="0" w:header="0"/>
        </w:sectPr>
      </w:pPr>
    </w:p>
    <w:bookmarkStart w:id="71" w:name="page72"/>
    <w:bookmarkEnd w:id="71"/>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12. Appendix</w:t>
      </w:r>
    </w:p>
    <w:p>
      <w:pPr>
        <w:spacing w:after="0" w:line="251"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7"/>
          <w:szCs w:val="17"/>
          <w:b w:val="1"/>
          <w:bCs w:val="1"/>
          <w:color w:val="auto"/>
        </w:rPr>
        <w:t>12.8.</w:t>
      </w:r>
      <w:r>
        <w:rPr>
          <w:sz w:val="20"/>
          <w:szCs w:val="20"/>
          <w:color w:val="auto"/>
        </w:rPr>
        <w:tab/>
      </w:r>
      <w:r>
        <w:rPr>
          <w:rFonts w:ascii="Calibri" w:cs="Calibri" w:eastAsia="Calibri" w:hAnsi="Calibri"/>
          <w:sz w:val="17"/>
          <w:szCs w:val="17"/>
          <w:b w:val="1"/>
          <w:bCs w:val="1"/>
          <w:color w:val="auto"/>
        </w:rPr>
        <w:t>Table of calculatons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138430</wp:posOffset>
            </wp:positionV>
            <wp:extent cx="5708015" cy="764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08015" cy="7649210"/>
                    </a:xfrm>
                    <a:prstGeom prst="rect">
                      <a:avLst/>
                    </a:prstGeom>
                    <a:noFill/>
                  </pic:spPr>
                </pic:pic>
              </a:graphicData>
            </a:graphic>
          </wp:anchor>
        </w:drawing>
      </w:r>
    </w:p>
    <w:p>
      <w:pPr>
        <w:spacing w:after="0" w:line="204" w:lineRule="exact"/>
        <w:rPr>
          <w:sz w:val="20"/>
          <w:szCs w:val="20"/>
          <w:color w:val="auto"/>
        </w:rPr>
      </w:pPr>
    </w:p>
    <w:p>
      <w:pPr>
        <w:jc w:val="center"/>
        <w:ind w:right="-299"/>
        <w:spacing w:after="0"/>
        <w:rPr>
          <w:sz w:val="20"/>
          <w:szCs w:val="20"/>
          <w:color w:val="auto"/>
        </w:rPr>
      </w:pPr>
      <w:r>
        <w:rPr>
          <w:rFonts w:ascii="Calibri" w:cs="Calibri" w:eastAsia="Calibri" w:hAnsi="Calibri"/>
          <w:sz w:val="14"/>
          <w:szCs w:val="14"/>
          <w:b w:val="1"/>
          <w:bCs w:val="1"/>
          <w:color w:val="FFFFFF"/>
        </w:rPr>
        <w:t xml:space="preserve">Table of calculatons </w:t>
      </w:r>
      <w:r>
        <w:rPr>
          <w:rFonts w:ascii="Calibri" w:cs="Calibri" w:eastAsia="Calibri" w:hAnsi="Calibri"/>
          <w:sz w:val="23"/>
          <w:szCs w:val="23"/>
          <w:color w:val="FFFFFF"/>
          <w:vertAlign w:val="superscript"/>
        </w:rPr>
        <w:t>(1)</w:t>
      </w:r>
    </w:p>
    <w:tbl>
      <w:tblPr>
        <w:tblLayout w:type="fixed"/>
        <w:tblInd w:w="1140" w:type="dxa"/>
        <w:tblCellMar>
          <w:top w:w="0" w:type="dxa"/>
          <w:left w:w="0" w:type="dxa"/>
          <w:bottom w:w="0" w:type="dxa"/>
          <w:right w:w="0" w:type="dxa"/>
        </w:tblCellMar>
      </w:tblPr>
      <w:tr>
        <w:trPr>
          <w:trHeight w:val="196"/>
        </w:trPr>
        <w:tc>
          <w:tcPr>
            <w:tcW w:w="1620" w:type="dxa"/>
            <w:vAlign w:val="bottom"/>
            <w:tcBorders>
              <w:top w:val="single" w:sz="8" w:color="auto"/>
              <w:right w:val="single" w:sz="8" w:color="auto"/>
            </w:tcBorders>
          </w:tcPr>
          <w:p>
            <w:pPr>
              <w:spacing w:after="0"/>
              <w:rPr>
                <w:sz w:val="17"/>
                <w:szCs w:val="17"/>
                <w:color w:val="auto"/>
              </w:rPr>
            </w:pPr>
          </w:p>
        </w:tc>
        <w:tc>
          <w:tcPr>
            <w:tcW w:w="2480" w:type="dxa"/>
            <w:vAlign w:val="bottom"/>
            <w:tcBorders>
              <w:top w:val="single" w:sz="8" w:color="auto"/>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Interest earning assets</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gridSpan w:val="34"/>
          </w:tcPr>
          <w:p>
            <w:pPr>
              <w:jc w:val="center"/>
              <w:ind w:right="1080"/>
              <w:spacing w:after="0"/>
              <w:rPr>
                <w:sz w:val="20"/>
                <w:szCs w:val="20"/>
                <w:color w:val="auto"/>
              </w:rPr>
            </w:pPr>
            <w:r>
              <w:rPr>
                <w:rFonts w:ascii="Calibri" w:cs="Calibri" w:eastAsia="Calibri" w:hAnsi="Calibri"/>
                <w:sz w:val="14"/>
                <w:szCs w:val="14"/>
                <w:color w:val="auto"/>
                <w:w w:val="98"/>
              </w:rPr>
              <w:t>Cash and due from banks+Total investments</w:t>
            </w:r>
          </w:p>
        </w:tc>
        <w:tc>
          <w:tcPr>
            <w:tcW w:w="0" w:type="dxa"/>
            <w:vAlign w:val="bottom"/>
          </w:tcPr>
          <w:p>
            <w:pPr>
              <w:spacing w:after="0"/>
              <w:rPr>
                <w:sz w:val="1"/>
                <w:szCs w:val="1"/>
                <w:color w:val="auto"/>
              </w:rPr>
            </w:pPr>
          </w:p>
        </w:tc>
      </w:tr>
      <w:tr>
        <w:trPr>
          <w:trHeight w:val="78"/>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4820" w:type="dxa"/>
            <w:vAlign w:val="bottom"/>
            <w:gridSpan w:val="41"/>
            <w:vMerge w:val="restart"/>
          </w:tcPr>
          <w:p>
            <w:pPr>
              <w:jc w:val="center"/>
              <w:ind w:right="80"/>
              <w:spacing w:after="0" w:line="169" w:lineRule="exact"/>
              <w:rPr>
                <w:sz w:val="20"/>
                <w:szCs w:val="20"/>
                <w:color w:val="auto"/>
              </w:rPr>
            </w:pPr>
            <w:r>
              <w:rPr>
                <w:rFonts w:ascii="Calibri" w:cs="Calibri" w:eastAsia="Calibri" w:hAnsi="Calibri"/>
                <w:sz w:val="14"/>
                <w:szCs w:val="14"/>
                <w:color w:val="auto"/>
                <w:w w:val="99"/>
              </w:rPr>
              <w:t>+Cash collateral, reverse repurchase agreements and securites borrowing+Loans</w:t>
            </w: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20" w:type="dxa"/>
            <w:vAlign w:val="bottom"/>
            <w:gridSpan w:val="4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Funding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gridSpan w:val="40"/>
          </w:tcPr>
          <w:p>
            <w:pPr>
              <w:jc w:val="center"/>
              <w:ind w:right="180"/>
              <w:spacing w:after="0"/>
              <w:rPr>
                <w:sz w:val="20"/>
                <w:szCs w:val="20"/>
                <w:color w:val="auto"/>
              </w:rPr>
            </w:pPr>
            <w:r>
              <w:rPr>
                <w:rFonts w:ascii="Calibri" w:cs="Calibri" w:eastAsia="Calibri" w:hAnsi="Calibri"/>
                <w:sz w:val="14"/>
                <w:szCs w:val="14"/>
                <w:color w:val="auto"/>
                <w:w w:val="99"/>
              </w:rPr>
              <w:t>Deposits and obligatons+Due to banks and correspondents+BCRP instruments</w:t>
            </w:r>
          </w:p>
        </w:tc>
        <w:tc>
          <w:tcPr>
            <w:tcW w:w="0" w:type="dxa"/>
            <w:vAlign w:val="bottom"/>
          </w:tcPr>
          <w:p>
            <w:pPr>
              <w:spacing w:after="0"/>
              <w:rPr>
                <w:sz w:val="1"/>
                <w:szCs w:val="1"/>
                <w:color w:val="auto"/>
              </w:rPr>
            </w:pPr>
          </w:p>
        </w:tc>
      </w:tr>
      <w:tr>
        <w:trPr>
          <w:trHeight w:val="78"/>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720" w:type="dxa"/>
            <w:vAlign w:val="bottom"/>
            <w:gridSpan w:val="40"/>
            <w:vMerge w:val="restart"/>
          </w:tcPr>
          <w:p>
            <w:pPr>
              <w:jc w:val="center"/>
              <w:ind w:right="180"/>
              <w:spacing w:after="0" w:line="169" w:lineRule="exact"/>
              <w:rPr>
                <w:sz w:val="20"/>
                <w:szCs w:val="20"/>
                <w:color w:val="auto"/>
              </w:rPr>
            </w:pPr>
            <w:r>
              <w:rPr>
                <w:rFonts w:ascii="Calibri" w:cs="Calibri" w:eastAsia="Calibri" w:hAnsi="Calibri"/>
                <w:sz w:val="14"/>
                <w:szCs w:val="14"/>
                <w:color w:val="auto"/>
                <w:w w:val="99"/>
              </w:rPr>
              <w:t>+Repurchase agreements with clients and third partes+Bonds and notes issued</w:t>
            </w: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20" w:type="dxa"/>
            <w:vAlign w:val="bottom"/>
            <w:gridSpan w:val="4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Net Interest Margin (NIM)</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Borders>
              <w:bottom w:val="single" w:sz="8" w:color="auto"/>
            </w:tcBorders>
            <w:gridSpan w:val="27"/>
          </w:tcPr>
          <w:p>
            <w:pPr>
              <w:jc w:val="center"/>
              <w:spacing w:after="0"/>
              <w:rPr>
                <w:sz w:val="20"/>
                <w:szCs w:val="20"/>
                <w:color w:val="auto"/>
              </w:rPr>
            </w:pPr>
            <w:r>
              <w:rPr>
                <w:rFonts w:ascii="Calibri" w:cs="Calibri" w:eastAsia="Calibri" w:hAnsi="Calibri"/>
                <w:sz w:val="14"/>
                <w:szCs w:val="14"/>
                <w:color w:val="auto"/>
                <w:w w:val="99"/>
              </w:rPr>
              <w:t>Net Interest Income (excluding Net Insurance Financial Expenses)</w:t>
            </w:r>
          </w:p>
        </w:tc>
        <w:tc>
          <w:tcPr>
            <w:tcW w:w="6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40" w:type="dxa"/>
            <w:vAlign w:val="bottom"/>
            <w:gridSpan w:val="33"/>
            <w:vMerge w:val="restart"/>
          </w:tcPr>
          <w:p>
            <w:pPr>
              <w:jc w:val="center"/>
              <w:ind w:right="1280"/>
              <w:spacing w:after="0"/>
              <w:rPr>
                <w:sz w:val="20"/>
                <w:szCs w:val="20"/>
                <w:color w:val="auto"/>
              </w:rPr>
            </w:pPr>
            <w:r>
              <w:rPr>
                <w:rFonts w:ascii="Calibri" w:cs="Calibri" w:eastAsia="Calibri" w:hAnsi="Calibri"/>
                <w:sz w:val="14"/>
                <w:szCs w:val="14"/>
                <w:color w:val="auto"/>
                <w:w w:val="97"/>
              </w:rPr>
              <w:t>Average Interest Earning Assets</w:t>
            </w: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40" w:type="dxa"/>
            <w:vAlign w:val="bottom"/>
            <w:gridSpan w:val="3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Risk-adjusted Net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80" w:type="dxa"/>
            <w:vAlign w:val="bottom"/>
            <w:tcBorders>
              <w:bottom w:val="single" w:sz="8" w:color="auto"/>
            </w:tcBorders>
            <w:gridSpan w:val="36"/>
          </w:tcPr>
          <w:p>
            <w:pPr>
              <w:jc w:val="center"/>
              <w:ind w:right="20"/>
              <w:spacing w:after="0"/>
              <w:rPr>
                <w:sz w:val="20"/>
                <w:szCs w:val="20"/>
                <w:color w:val="auto"/>
              </w:rPr>
            </w:pPr>
            <w:r>
              <w:rPr>
                <w:rFonts w:ascii="Calibri" w:cs="Calibri" w:eastAsia="Calibri" w:hAnsi="Calibri"/>
                <w:sz w:val="14"/>
                <w:szCs w:val="14"/>
                <w:color w:val="auto"/>
                <w:w w:val="98"/>
              </w:rPr>
              <w:t>Annualized Net Interest Income (excluding Net Insurance Financial Expenses)-</w:t>
            </w:r>
          </w:p>
        </w:tc>
        <w:tc>
          <w:tcPr>
            <w:tcW w:w="2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2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tcPr>
          <w:p>
            <w:pPr>
              <w:ind w:left="40"/>
              <w:spacing w:after="0" w:line="149" w:lineRule="exact"/>
              <w:rPr>
                <w:sz w:val="20"/>
                <w:szCs w:val="20"/>
                <w:color w:val="auto"/>
              </w:rPr>
            </w:pPr>
            <w:r>
              <w:rPr>
                <w:rFonts w:ascii="Calibri" w:cs="Calibri" w:eastAsia="Calibri" w:hAnsi="Calibri"/>
                <w:sz w:val="14"/>
                <w:szCs w:val="14"/>
                <w:b w:val="1"/>
                <w:bCs w:val="1"/>
                <w:color w:val="auto"/>
              </w:rPr>
              <w:t>Interest Margin (Risk-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auto"/>
            </w:tcBorders>
            <w:gridSpan w:val="14"/>
          </w:tcPr>
          <w:p>
            <w:pPr>
              <w:jc w:val="center"/>
              <w:spacing w:after="0" w:line="149" w:lineRule="exact"/>
              <w:rPr>
                <w:sz w:val="20"/>
                <w:szCs w:val="20"/>
                <w:color w:val="auto"/>
              </w:rPr>
            </w:pPr>
            <w:r>
              <w:rPr>
                <w:rFonts w:ascii="Calibri" w:cs="Calibri" w:eastAsia="Calibri" w:hAnsi="Calibri"/>
                <w:sz w:val="14"/>
                <w:szCs w:val="14"/>
                <w:color w:val="auto"/>
                <w:w w:val="98"/>
              </w:rPr>
              <w:t>Annualized Provisions )</w:t>
            </w:r>
          </w:p>
        </w:tc>
        <w:tc>
          <w:tcPr>
            <w:tcW w:w="18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adjusted NIM)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gridSpan w:val="35"/>
          </w:tcPr>
          <w:p>
            <w:pPr>
              <w:jc w:val="center"/>
              <w:ind w:right="600"/>
              <w:spacing w:after="0"/>
              <w:rPr>
                <w:sz w:val="20"/>
                <w:szCs w:val="20"/>
                <w:color w:val="auto"/>
              </w:rPr>
            </w:pPr>
            <w:r>
              <w:rPr>
                <w:rFonts w:ascii="Calibri" w:cs="Calibri" w:eastAsia="Calibri" w:hAnsi="Calibri"/>
                <w:sz w:val="14"/>
                <w:szCs w:val="14"/>
                <w:color w:val="auto"/>
                <w:w w:val="98"/>
              </w:rPr>
              <w:t>Average period end and period beginning interest earning assets</w:t>
            </w: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Funding cost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Borders>
              <w:bottom w:val="single" w:sz="8" w:color="auto"/>
            </w:tcBorders>
            <w:gridSpan w:val="29"/>
          </w:tcPr>
          <w:p>
            <w:pPr>
              <w:jc w:val="center"/>
              <w:spacing w:after="0"/>
              <w:rPr>
                <w:sz w:val="20"/>
                <w:szCs w:val="20"/>
                <w:color w:val="auto"/>
              </w:rPr>
            </w:pPr>
            <w:r>
              <w:rPr>
                <w:rFonts w:ascii="Calibri" w:cs="Calibri" w:eastAsia="Calibri" w:hAnsi="Calibri"/>
                <w:sz w:val="14"/>
                <w:szCs w:val="14"/>
                <w:color w:val="auto"/>
                <w:w w:val="99"/>
              </w:rPr>
              <w:t>Interest Expense (Does not Include Net Insurance Financial Expenses)</w:t>
            </w:r>
          </w:p>
        </w:tc>
        <w:tc>
          <w:tcPr>
            <w:tcW w:w="5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28"/>
            <w:vMerge w:val="restart"/>
          </w:tcPr>
          <w:p>
            <w:pPr>
              <w:jc w:val="center"/>
              <w:ind w:right="1940"/>
              <w:spacing w:after="0"/>
              <w:rPr>
                <w:sz w:val="20"/>
                <w:szCs w:val="20"/>
                <w:color w:val="auto"/>
              </w:rPr>
            </w:pPr>
            <w:r>
              <w:rPr>
                <w:rFonts w:ascii="Calibri" w:cs="Calibri" w:eastAsia="Calibri" w:hAnsi="Calibri"/>
                <w:sz w:val="14"/>
                <w:szCs w:val="14"/>
                <w:color w:val="auto"/>
                <w:w w:val="98"/>
              </w:rPr>
              <w:t>Average Funding</w:t>
            </w: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2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Core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38"/>
          </w:tcPr>
          <w:p>
            <w:pPr>
              <w:jc w:val="center"/>
              <w:ind w:right="280"/>
              <w:spacing w:after="0"/>
              <w:rPr>
                <w:sz w:val="20"/>
                <w:szCs w:val="20"/>
                <w:color w:val="auto"/>
              </w:rPr>
            </w:pPr>
            <w:r>
              <w:rPr>
                <w:rFonts w:ascii="Calibri" w:cs="Calibri" w:eastAsia="Calibri" w:hAnsi="Calibri"/>
                <w:sz w:val="14"/>
                <w:szCs w:val="14"/>
                <w:color w:val="auto"/>
                <w:w w:val="98"/>
              </w:rPr>
              <w:t>Net Interest Income+Fee Income+Net Gain on Foreign exchange transactons</w:t>
            </w: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Other core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gridSpan w:val="35"/>
          </w:tcPr>
          <w:p>
            <w:pPr>
              <w:jc w:val="center"/>
              <w:ind w:right="620"/>
              <w:spacing w:after="0"/>
              <w:rPr>
                <w:sz w:val="20"/>
                <w:szCs w:val="20"/>
                <w:color w:val="auto"/>
              </w:rPr>
            </w:pPr>
            <w:r>
              <w:rPr>
                <w:rFonts w:ascii="Calibri" w:cs="Calibri" w:eastAsia="Calibri" w:hAnsi="Calibri"/>
                <w:sz w:val="14"/>
                <w:szCs w:val="14"/>
                <w:color w:val="auto"/>
                <w:w w:val="99"/>
              </w:rPr>
              <w:t>Fee Income+Net Gain on Foreign exchange transactons</w:t>
            </w: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gridSpan w:val="40"/>
          </w:tcPr>
          <w:p>
            <w:pPr>
              <w:jc w:val="center"/>
              <w:ind w:right="200"/>
              <w:spacing w:after="0"/>
              <w:rPr>
                <w:sz w:val="20"/>
                <w:szCs w:val="20"/>
                <w:color w:val="auto"/>
              </w:rPr>
            </w:pPr>
            <w:r>
              <w:rPr>
                <w:rFonts w:ascii="Calibri" w:cs="Calibri" w:eastAsia="Calibri" w:hAnsi="Calibri"/>
                <w:sz w:val="14"/>
                <w:szCs w:val="14"/>
                <w:color w:val="auto"/>
              </w:rPr>
              <w:t>Net Gain Securites+Net Gain from associates+Net Gain of derivatves held for</w:t>
            </w: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40"/>
              <w:spacing w:after="0" w:line="169" w:lineRule="exact"/>
              <w:rPr>
                <w:sz w:val="20"/>
                <w:szCs w:val="20"/>
                <w:color w:val="auto"/>
              </w:rPr>
            </w:pPr>
            <w:r>
              <w:rPr>
                <w:rFonts w:ascii="Calibri" w:cs="Calibri" w:eastAsia="Calibri" w:hAnsi="Calibri"/>
                <w:sz w:val="14"/>
                <w:szCs w:val="14"/>
                <w:b w:val="1"/>
                <w:bCs w:val="1"/>
                <w:color w:val="auto"/>
              </w:rPr>
              <w:t>Other non-core income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25"/>
          </w:tcPr>
          <w:p>
            <w:pPr>
              <w:jc w:val="center"/>
              <w:ind w:right="2240"/>
              <w:spacing w:after="0" w:line="169" w:lineRule="exact"/>
              <w:rPr>
                <w:sz w:val="20"/>
                <w:szCs w:val="20"/>
                <w:color w:val="auto"/>
              </w:rPr>
            </w:pPr>
            <w:r>
              <w:rPr>
                <w:rFonts w:ascii="Calibri" w:cs="Calibri" w:eastAsia="Calibri" w:hAnsi="Calibri"/>
                <w:sz w:val="14"/>
                <w:szCs w:val="14"/>
                <w:color w:val="auto"/>
                <w:w w:val="97"/>
              </w:rPr>
              <w:t>trading</w:t>
            </w: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0" w:type="dxa"/>
            <w:vAlign w:val="bottom"/>
            <w:gridSpan w:val="36"/>
          </w:tcPr>
          <w:p>
            <w:pPr>
              <w:jc w:val="center"/>
              <w:ind w:right="500"/>
              <w:spacing w:after="0" w:line="169" w:lineRule="exact"/>
              <w:rPr>
                <w:sz w:val="20"/>
                <w:szCs w:val="20"/>
                <w:color w:val="auto"/>
              </w:rPr>
            </w:pPr>
            <w:r>
              <w:rPr>
                <w:rFonts w:ascii="Calibri" w:cs="Calibri" w:eastAsia="Calibri" w:hAnsi="Calibri"/>
                <w:sz w:val="14"/>
                <w:szCs w:val="14"/>
                <w:color w:val="auto"/>
              </w:rPr>
              <w:t>+Net Gain from exchange diferences+Other non operatve income</w:t>
            </w: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Return on average assets (ROA)</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40" w:type="dxa"/>
            <w:vAlign w:val="bottom"/>
            <w:gridSpan w:val="34"/>
          </w:tcPr>
          <w:p>
            <w:pPr>
              <w:jc w:val="center"/>
              <w:ind w:right="1080"/>
              <w:spacing w:after="0"/>
              <w:rPr>
                <w:sz w:val="20"/>
                <w:szCs w:val="20"/>
                <w:color w:val="auto"/>
              </w:rPr>
            </w:pPr>
            <w:r>
              <w:rPr>
                <w:rFonts w:ascii="Calibri" w:cs="Calibri" w:eastAsia="Calibri" w:hAnsi="Calibri"/>
                <w:sz w:val="14"/>
                <w:szCs w:val="14"/>
                <w:color w:val="auto"/>
              </w:rPr>
              <w:t>Annualized Net Income atributable to Credicorp</w:t>
            </w:r>
          </w:p>
        </w:tc>
        <w:tc>
          <w:tcPr>
            <w:tcW w:w="0" w:type="dxa"/>
            <w:vAlign w:val="bottom"/>
          </w:tcPr>
          <w:p>
            <w:pPr>
              <w:spacing w:after="0"/>
              <w:rPr>
                <w:sz w:val="1"/>
                <w:szCs w:val="1"/>
                <w:color w:val="auto"/>
              </w:rPr>
            </w:pPr>
          </w:p>
        </w:tc>
      </w:tr>
      <w:tr>
        <w:trPr>
          <w:trHeight w:val="79"/>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880" w:type="dxa"/>
            <w:vAlign w:val="bottom"/>
            <w:tcBorders>
              <w:top w:val="single" w:sz="8" w:color="auto"/>
            </w:tcBorders>
            <w:gridSpan w:val="19"/>
            <w:vMerge w:val="restart"/>
          </w:tcPr>
          <w:p>
            <w:pPr>
              <w:jc w:val="center"/>
              <w:ind w:right="880"/>
              <w:spacing w:after="0"/>
              <w:rPr>
                <w:sz w:val="20"/>
                <w:szCs w:val="20"/>
                <w:color w:val="auto"/>
              </w:rPr>
            </w:pPr>
            <w:r>
              <w:rPr>
                <w:rFonts w:ascii="Calibri" w:cs="Calibri" w:eastAsia="Calibri" w:hAnsi="Calibri"/>
                <w:sz w:val="14"/>
                <w:szCs w:val="14"/>
                <w:color w:val="auto"/>
                <w:w w:val="97"/>
              </w:rPr>
              <w:t>Average Assets</w:t>
            </w:r>
          </w:p>
        </w:tc>
        <w:tc>
          <w:tcPr>
            <w:tcW w:w="1080" w:type="dxa"/>
            <w:vAlign w:val="bottom"/>
            <w:gridSpan w:val="9"/>
            <w:vMerge w:val="restart"/>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80" w:type="dxa"/>
            <w:vAlign w:val="bottom"/>
            <w:gridSpan w:val="19"/>
            <w:vMerge w:val="continue"/>
          </w:tcPr>
          <w:p>
            <w:pPr>
              <w:spacing w:after="0"/>
              <w:rPr>
                <w:sz w:val="7"/>
                <w:szCs w:val="7"/>
                <w:color w:val="auto"/>
              </w:rPr>
            </w:pPr>
          </w:p>
        </w:tc>
        <w:tc>
          <w:tcPr>
            <w:tcW w:w="10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Return on average equity (ROE)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40" w:type="dxa"/>
            <w:vAlign w:val="bottom"/>
            <w:gridSpan w:val="34"/>
          </w:tcPr>
          <w:p>
            <w:pPr>
              <w:jc w:val="center"/>
              <w:ind w:right="1080"/>
              <w:spacing w:after="0"/>
              <w:rPr>
                <w:sz w:val="20"/>
                <w:szCs w:val="20"/>
                <w:color w:val="auto"/>
              </w:rPr>
            </w:pPr>
            <w:r>
              <w:rPr>
                <w:rFonts w:ascii="Calibri" w:cs="Calibri" w:eastAsia="Calibri" w:hAnsi="Calibri"/>
                <w:sz w:val="14"/>
                <w:szCs w:val="14"/>
                <w:color w:val="auto"/>
              </w:rPr>
              <w:t>Annualized Net Income atributable to Credicorp</w:t>
            </w:r>
          </w:p>
        </w:tc>
        <w:tc>
          <w:tcPr>
            <w:tcW w:w="0" w:type="dxa"/>
            <w:vAlign w:val="bottom"/>
          </w:tcPr>
          <w:p>
            <w:pPr>
              <w:spacing w:after="0"/>
              <w:rPr>
                <w:sz w:val="1"/>
                <w:szCs w:val="1"/>
                <w:color w:val="auto"/>
              </w:rPr>
            </w:pPr>
          </w:p>
        </w:tc>
      </w:tr>
      <w:tr>
        <w:trPr>
          <w:trHeight w:val="79"/>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20" w:type="dxa"/>
            <w:vAlign w:val="bottom"/>
            <w:tcBorders>
              <w:top w:val="single" w:sz="8" w:color="auto"/>
            </w:tcBorders>
            <w:gridSpan w:val="20"/>
            <w:vMerge w:val="restart"/>
          </w:tcPr>
          <w:p>
            <w:pPr>
              <w:jc w:val="center"/>
              <w:ind w:right="720"/>
              <w:spacing w:after="0"/>
              <w:rPr>
                <w:sz w:val="20"/>
                <w:szCs w:val="20"/>
                <w:color w:val="auto"/>
              </w:rPr>
            </w:pPr>
            <w:r>
              <w:rPr>
                <w:rFonts w:ascii="Calibri" w:cs="Calibri" w:eastAsia="Calibri" w:hAnsi="Calibri"/>
                <w:sz w:val="14"/>
                <w:szCs w:val="14"/>
                <w:color w:val="auto"/>
                <w:w w:val="96"/>
              </w:rPr>
              <w:t>Average Net Equity</w:t>
            </w:r>
          </w:p>
        </w:tc>
        <w:tc>
          <w:tcPr>
            <w:tcW w:w="1080" w:type="dxa"/>
            <w:vAlign w:val="bottom"/>
            <w:gridSpan w:val="9"/>
            <w:vMerge w:val="restart"/>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20"/>
            <w:vMerge w:val="continue"/>
          </w:tcPr>
          <w:p>
            <w:pPr>
              <w:spacing w:after="0"/>
              <w:rPr>
                <w:sz w:val="7"/>
                <w:szCs w:val="7"/>
                <w:color w:val="auto"/>
              </w:rPr>
            </w:pPr>
          </w:p>
        </w:tc>
        <w:tc>
          <w:tcPr>
            <w:tcW w:w="10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Internal overdue rato</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30"/>
          </w:tcPr>
          <w:p>
            <w:pPr>
              <w:jc w:val="center"/>
              <w:ind w:right="1780"/>
              <w:spacing w:after="0"/>
              <w:rPr>
                <w:sz w:val="20"/>
                <w:szCs w:val="20"/>
                <w:color w:val="auto"/>
              </w:rPr>
            </w:pPr>
            <w:r>
              <w:rPr>
                <w:rFonts w:ascii="Calibri" w:cs="Calibri" w:eastAsia="Calibri" w:hAnsi="Calibri"/>
                <w:sz w:val="14"/>
                <w:szCs w:val="14"/>
                <w:color w:val="auto"/>
                <w:w w:val="97"/>
              </w:rPr>
              <w:t>(Internal overdue loans)</w:t>
            </w:r>
          </w:p>
        </w:tc>
        <w:tc>
          <w:tcPr>
            <w:tcW w:w="0" w:type="dxa"/>
            <w:vAlign w:val="bottom"/>
          </w:tcPr>
          <w:p>
            <w:pPr>
              <w:spacing w:after="0"/>
              <w:rPr>
                <w:sz w:val="1"/>
                <w:szCs w:val="1"/>
                <w:color w:val="auto"/>
              </w:rPr>
            </w:pPr>
          </w:p>
        </w:tc>
      </w:tr>
      <w:tr>
        <w:trPr>
          <w:trHeight w:val="79"/>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gridSpan w:val="12"/>
            <w:vMerge w:val="restart"/>
          </w:tcPr>
          <w:p>
            <w:pPr>
              <w:jc w:val="center"/>
              <w:ind w:right="300"/>
              <w:spacing w:after="0"/>
              <w:rPr>
                <w:sz w:val="20"/>
                <w:szCs w:val="20"/>
                <w:color w:val="auto"/>
              </w:rPr>
            </w:pPr>
            <w:r>
              <w:rPr>
                <w:rFonts w:ascii="Calibri" w:cs="Calibri" w:eastAsia="Calibri" w:hAnsi="Calibri"/>
                <w:sz w:val="14"/>
                <w:szCs w:val="14"/>
                <w:color w:val="auto"/>
                <w:w w:val="95"/>
              </w:rPr>
              <w:t>Total Loans</w:t>
            </w:r>
          </w:p>
        </w:tc>
        <w:tc>
          <w:tcPr>
            <w:tcW w:w="1780" w:type="dxa"/>
            <w:vAlign w:val="bottom"/>
            <w:gridSpan w:val="14"/>
            <w:vMerge w:val="restart"/>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gridSpan w:val="12"/>
            <w:vMerge w:val="continue"/>
          </w:tcPr>
          <w:p>
            <w:pPr>
              <w:spacing w:after="0"/>
              <w:rPr>
                <w:sz w:val="7"/>
                <w:szCs w:val="7"/>
                <w:color w:val="auto"/>
              </w:rPr>
            </w:pPr>
          </w:p>
        </w:tc>
        <w:tc>
          <w:tcPr>
            <w:tcW w:w="178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Non – performing loans rato (NPL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tcBorders>
              <w:bottom w:val="single" w:sz="8" w:color="auto"/>
            </w:tcBorders>
            <w:gridSpan w:val="23"/>
          </w:tcPr>
          <w:p>
            <w:pPr>
              <w:jc w:val="center"/>
              <w:spacing w:after="0"/>
              <w:rPr>
                <w:sz w:val="20"/>
                <w:szCs w:val="20"/>
                <w:color w:val="auto"/>
              </w:rPr>
            </w:pPr>
            <w:r>
              <w:rPr>
                <w:rFonts w:ascii="Calibri" w:cs="Calibri" w:eastAsia="Calibri" w:hAnsi="Calibri"/>
                <w:sz w:val="14"/>
                <w:szCs w:val="14"/>
                <w:color w:val="auto"/>
              </w:rPr>
              <w:t>(Internal overdue loans+Refnanced loans)</w:t>
            </w:r>
          </w:p>
        </w:tc>
        <w:tc>
          <w:tcPr>
            <w:tcW w:w="1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rato)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26"/>
          </w:tcPr>
          <w:p>
            <w:pPr>
              <w:jc w:val="center"/>
              <w:ind w:right="2080"/>
              <w:spacing w:after="0"/>
              <w:rPr>
                <w:sz w:val="20"/>
                <w:szCs w:val="20"/>
                <w:color w:val="auto"/>
              </w:rPr>
            </w:pPr>
            <w:r>
              <w:rPr>
                <w:rFonts w:ascii="Calibri" w:cs="Calibri" w:eastAsia="Calibri" w:hAnsi="Calibri"/>
                <w:sz w:val="14"/>
                <w:szCs w:val="14"/>
                <w:color w:val="auto"/>
                <w:w w:val="95"/>
              </w:rPr>
              <w:t>Total Loans</w:t>
            </w: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Coverage rato of internal overdue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32"/>
          </w:tcPr>
          <w:p>
            <w:pPr>
              <w:jc w:val="center"/>
              <w:ind w:right="1640"/>
              <w:spacing w:after="0"/>
              <w:rPr>
                <w:sz w:val="20"/>
                <w:szCs w:val="20"/>
                <w:color w:val="auto"/>
              </w:rPr>
            </w:pPr>
            <w:r>
              <w:rPr>
                <w:rFonts w:ascii="Calibri" w:cs="Calibri" w:eastAsia="Calibri" w:hAnsi="Calibri"/>
                <w:sz w:val="14"/>
                <w:szCs w:val="14"/>
                <w:color w:val="auto"/>
                <w:w w:val="97"/>
              </w:rPr>
              <w:t>Allowance for loans losses</w:t>
            </w:r>
          </w:p>
        </w:tc>
        <w:tc>
          <w:tcPr>
            <w:tcW w:w="0" w:type="dxa"/>
            <w:vAlign w:val="bottom"/>
          </w:tcPr>
          <w:p>
            <w:pPr>
              <w:spacing w:after="0"/>
              <w:rPr>
                <w:sz w:val="1"/>
                <w:szCs w:val="1"/>
                <w:color w:val="auto"/>
              </w:rPr>
            </w:pPr>
          </w:p>
        </w:tc>
      </w:tr>
      <w:tr>
        <w:trPr>
          <w:trHeight w:val="170"/>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loans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16"/>
          </w:tcPr>
          <w:p>
            <w:pPr>
              <w:jc w:val="center"/>
              <w:ind w:right="80"/>
              <w:spacing w:after="0"/>
              <w:rPr>
                <w:sz w:val="20"/>
                <w:szCs w:val="20"/>
                <w:color w:val="auto"/>
              </w:rPr>
            </w:pPr>
            <w:r>
              <w:rPr>
                <w:rFonts w:ascii="Calibri" w:cs="Calibri" w:eastAsia="Calibri" w:hAnsi="Calibri"/>
                <w:sz w:val="14"/>
                <w:szCs w:val="14"/>
                <w:color w:val="auto"/>
                <w:w w:val="98"/>
              </w:rPr>
              <w:t>Internal overdue loans</w:t>
            </w:r>
          </w:p>
        </w:tc>
        <w:tc>
          <w:tcPr>
            <w:tcW w:w="17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Coverage rato of non – performing loans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32"/>
          </w:tcPr>
          <w:p>
            <w:pPr>
              <w:jc w:val="center"/>
              <w:ind w:right="1640"/>
              <w:spacing w:after="0"/>
              <w:rPr>
                <w:sz w:val="20"/>
                <w:szCs w:val="20"/>
                <w:color w:val="auto"/>
              </w:rPr>
            </w:pPr>
            <w:r>
              <w:rPr>
                <w:rFonts w:ascii="Calibri" w:cs="Calibri" w:eastAsia="Calibri" w:hAnsi="Calibri"/>
                <w:sz w:val="14"/>
                <w:szCs w:val="14"/>
                <w:color w:val="auto"/>
                <w:w w:val="97"/>
              </w:rPr>
              <w:t>Allowance for loans losses</w:t>
            </w:r>
          </w:p>
        </w:tc>
        <w:tc>
          <w:tcPr>
            <w:tcW w:w="0" w:type="dxa"/>
            <w:vAlign w:val="bottom"/>
          </w:tcPr>
          <w:p>
            <w:pPr>
              <w:spacing w:after="0"/>
              <w:rPr>
                <w:sz w:val="1"/>
                <w:szCs w:val="1"/>
                <w:color w:val="auto"/>
              </w:rPr>
            </w:pPr>
          </w:p>
        </w:tc>
      </w:tr>
      <w:tr>
        <w:trPr>
          <w:trHeight w:val="79"/>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380" w:type="dxa"/>
            <w:vAlign w:val="bottom"/>
            <w:tcBorders>
              <w:top w:val="single" w:sz="8" w:color="auto"/>
            </w:tcBorders>
            <w:gridSpan w:val="16"/>
            <w:vMerge w:val="restart"/>
          </w:tcPr>
          <w:p>
            <w:pPr>
              <w:jc w:val="center"/>
              <w:ind w:right="100"/>
              <w:spacing w:after="0"/>
              <w:rPr>
                <w:sz w:val="20"/>
                <w:szCs w:val="20"/>
                <w:color w:val="auto"/>
              </w:rPr>
            </w:pPr>
            <w:r>
              <w:rPr>
                <w:rFonts w:ascii="Calibri" w:cs="Calibri" w:eastAsia="Calibri" w:hAnsi="Calibri"/>
                <w:sz w:val="14"/>
                <w:szCs w:val="14"/>
                <w:color w:val="auto"/>
                <w:w w:val="98"/>
              </w:rPr>
              <w:t>Non-performing loans</w:t>
            </w:r>
          </w:p>
        </w:tc>
        <w:tc>
          <w:tcPr>
            <w:tcW w:w="1720" w:type="dxa"/>
            <w:vAlign w:val="bottom"/>
            <w:gridSpan w:val="13"/>
            <w:vMerge w:val="restart"/>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gridSpan w:val="16"/>
            <w:vMerge w:val="continue"/>
          </w:tcPr>
          <w:p>
            <w:pPr>
              <w:spacing w:after="0"/>
              <w:rPr>
                <w:sz w:val="7"/>
                <w:szCs w:val="7"/>
                <w:color w:val="auto"/>
              </w:rPr>
            </w:pPr>
          </w:p>
        </w:tc>
        <w:tc>
          <w:tcPr>
            <w:tcW w:w="172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Cost of risk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38"/>
          </w:tcPr>
          <w:p>
            <w:pPr>
              <w:jc w:val="center"/>
              <w:ind w:right="300"/>
              <w:spacing w:after="0"/>
              <w:rPr>
                <w:sz w:val="20"/>
                <w:szCs w:val="20"/>
                <w:color w:val="auto"/>
              </w:rPr>
            </w:pPr>
            <w:r>
              <w:rPr>
                <w:rFonts w:ascii="Calibri" w:cs="Calibri" w:eastAsia="Calibri" w:hAnsi="Calibri"/>
                <w:sz w:val="14"/>
                <w:szCs w:val="14"/>
                <w:color w:val="auto"/>
                <w:w w:val="99"/>
              </w:rPr>
              <w:t>Annualized provision for credit losses on loans portolio, net of recoveries</w:t>
            </w:r>
          </w:p>
        </w:tc>
        <w:tc>
          <w:tcPr>
            <w:tcW w:w="0" w:type="dxa"/>
            <w:vAlign w:val="bottom"/>
          </w:tcPr>
          <w:p>
            <w:pPr>
              <w:spacing w:after="0"/>
              <w:rPr>
                <w:sz w:val="1"/>
                <w:szCs w:val="1"/>
                <w:color w:val="auto"/>
              </w:rPr>
            </w:pPr>
          </w:p>
        </w:tc>
      </w:tr>
      <w:tr>
        <w:trPr>
          <w:trHeight w:val="79"/>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720" w:type="dxa"/>
            <w:vAlign w:val="bottom"/>
            <w:tcBorders>
              <w:top w:val="single" w:sz="8" w:color="auto"/>
            </w:tcBorders>
            <w:gridSpan w:val="23"/>
            <w:vMerge w:val="restart"/>
          </w:tcPr>
          <w:p>
            <w:pPr>
              <w:jc w:val="center"/>
              <w:ind w:right="1420"/>
              <w:spacing w:after="0"/>
              <w:rPr>
                <w:sz w:val="20"/>
                <w:szCs w:val="20"/>
                <w:color w:val="auto"/>
              </w:rPr>
            </w:pPr>
            <w:r>
              <w:rPr>
                <w:rFonts w:ascii="Calibri" w:cs="Calibri" w:eastAsia="Calibri" w:hAnsi="Calibri"/>
                <w:sz w:val="14"/>
                <w:szCs w:val="14"/>
                <w:color w:val="auto"/>
                <w:w w:val="96"/>
              </w:rPr>
              <w:t>Average Total Loans</w:t>
            </w:r>
          </w:p>
        </w:tc>
        <w:tc>
          <w:tcPr>
            <w:tcW w:w="380" w:type="dxa"/>
            <w:vAlign w:val="bottom"/>
            <w:gridSpan w:val="6"/>
            <w:vMerge w:val="restart"/>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720" w:type="dxa"/>
            <w:vAlign w:val="bottom"/>
            <w:gridSpan w:val="23"/>
            <w:vMerge w:val="continue"/>
          </w:tcPr>
          <w:p>
            <w:pPr>
              <w:spacing w:after="0"/>
              <w:rPr>
                <w:sz w:val="7"/>
                <w:szCs w:val="7"/>
                <w:color w:val="auto"/>
              </w:rPr>
            </w:pPr>
          </w:p>
        </w:tc>
        <w:tc>
          <w:tcPr>
            <w:tcW w:w="3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38"/>
          </w:tcPr>
          <w:p>
            <w:pPr>
              <w:jc w:val="center"/>
              <w:ind w:right="280"/>
              <w:spacing w:after="0"/>
              <w:rPr>
                <w:sz w:val="20"/>
                <w:szCs w:val="20"/>
                <w:color w:val="auto"/>
              </w:rPr>
            </w:pPr>
            <w:r>
              <w:rPr>
                <w:rFonts w:ascii="Calibri" w:cs="Calibri" w:eastAsia="Calibri" w:hAnsi="Calibri"/>
                <w:sz w:val="14"/>
                <w:szCs w:val="14"/>
                <w:color w:val="auto"/>
              </w:rPr>
              <w:t>Salaries and employees benefts+Administrtve expenses+Depreciaton and</w:t>
            </w: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40"/>
              <w:spacing w:after="0" w:line="169" w:lineRule="exact"/>
              <w:rPr>
                <w:sz w:val="20"/>
                <w:szCs w:val="20"/>
                <w:color w:val="auto"/>
              </w:rPr>
            </w:pPr>
            <w:r>
              <w:rPr>
                <w:rFonts w:ascii="Calibri" w:cs="Calibri" w:eastAsia="Calibri" w:hAnsi="Calibri"/>
                <w:sz w:val="14"/>
                <w:szCs w:val="14"/>
                <w:b w:val="1"/>
                <w:bCs w:val="1"/>
                <w:color w:val="auto"/>
              </w:rPr>
              <w:t>Operatng expenses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26"/>
          </w:tcPr>
          <w:p>
            <w:pPr>
              <w:jc w:val="center"/>
              <w:ind w:right="2100"/>
              <w:spacing w:after="0" w:line="169" w:lineRule="exact"/>
              <w:rPr>
                <w:sz w:val="20"/>
                <w:szCs w:val="20"/>
                <w:color w:val="auto"/>
              </w:rPr>
            </w:pPr>
            <w:r>
              <w:rPr>
                <w:rFonts w:ascii="Calibri" w:cs="Calibri" w:eastAsia="Calibri" w:hAnsi="Calibri"/>
                <w:sz w:val="14"/>
                <w:szCs w:val="14"/>
                <w:color w:val="auto"/>
              </w:rPr>
              <w:t>amortzaton</w:t>
            </w: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40" w:type="dxa"/>
            <w:vAlign w:val="bottom"/>
            <w:gridSpan w:val="34"/>
          </w:tcPr>
          <w:p>
            <w:pPr>
              <w:jc w:val="center"/>
              <w:ind w:right="1060"/>
              <w:spacing w:after="0" w:line="169" w:lineRule="exact"/>
              <w:rPr>
                <w:sz w:val="20"/>
                <w:szCs w:val="20"/>
                <w:color w:val="auto"/>
              </w:rPr>
            </w:pPr>
            <w:r>
              <w:rPr>
                <w:rFonts w:ascii="Calibri" w:cs="Calibri" w:eastAsia="Calibri" w:hAnsi="Calibri"/>
                <w:sz w:val="14"/>
                <w:szCs w:val="14"/>
                <w:color w:val="auto"/>
              </w:rPr>
              <w:t>+Associaton in partcipaton +Acquisiton cost</w:t>
            </w: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38"/>
          </w:tcPr>
          <w:p>
            <w:pPr>
              <w:jc w:val="center"/>
              <w:ind w:right="300"/>
              <w:spacing w:after="0"/>
              <w:rPr>
                <w:sz w:val="20"/>
                <w:szCs w:val="20"/>
                <w:color w:val="auto"/>
              </w:rPr>
            </w:pPr>
            <w:r>
              <w:rPr>
                <w:rFonts w:ascii="Calibri" w:cs="Calibri" w:eastAsia="Calibri" w:hAnsi="Calibri"/>
                <w:sz w:val="14"/>
                <w:szCs w:val="14"/>
                <w:color w:val="auto"/>
                <w:w w:val="98"/>
              </w:rPr>
              <w:t>Net interest, similar income, and expenses+Fee income+Net gain on foreign</w:t>
            </w: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Operatng Income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gridSpan w:val="29"/>
          </w:tcPr>
          <w:p>
            <w:pPr>
              <w:jc w:val="center"/>
              <w:ind w:right="1820"/>
              <w:spacing w:after="0" w:line="169" w:lineRule="exact"/>
              <w:rPr>
                <w:sz w:val="20"/>
                <w:szCs w:val="20"/>
                <w:color w:val="auto"/>
              </w:rPr>
            </w:pPr>
            <w:r>
              <w:rPr>
                <w:rFonts w:ascii="Calibri" w:cs="Calibri" w:eastAsia="Calibri" w:hAnsi="Calibri"/>
                <w:sz w:val="14"/>
                <w:szCs w:val="14"/>
                <w:color w:val="auto"/>
              </w:rPr>
              <w:t>exchange transactons</w:t>
            </w:r>
          </w:p>
        </w:tc>
        <w:tc>
          <w:tcPr>
            <w:tcW w:w="0" w:type="dxa"/>
            <w:vAlign w:val="bottom"/>
          </w:tcPr>
          <w:p>
            <w:pPr>
              <w:spacing w:after="0"/>
              <w:rPr>
                <w:sz w:val="1"/>
                <w:szCs w:val="1"/>
                <w:color w:val="auto"/>
              </w:rPr>
            </w:pPr>
          </w:p>
        </w:tc>
      </w:tr>
      <w:tr>
        <w:trPr>
          <w:trHeight w:val="78"/>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4820" w:type="dxa"/>
            <w:vAlign w:val="bottom"/>
            <w:gridSpan w:val="41"/>
            <w:vMerge w:val="restart"/>
          </w:tcPr>
          <w:p>
            <w:pPr>
              <w:jc w:val="center"/>
              <w:ind w:right="80"/>
              <w:spacing w:after="0" w:line="169" w:lineRule="exact"/>
              <w:rPr>
                <w:sz w:val="20"/>
                <w:szCs w:val="20"/>
                <w:color w:val="auto"/>
              </w:rPr>
            </w:pPr>
            <w:r>
              <w:rPr>
                <w:rFonts w:ascii="Calibri" w:cs="Calibri" w:eastAsia="Calibri" w:hAnsi="Calibri"/>
                <w:sz w:val="14"/>
                <w:szCs w:val="14"/>
                <w:color w:val="auto"/>
                <w:w w:val="98"/>
              </w:rPr>
              <w:t>+Net gain from associates+Net gain on derivatves held for trading+Net gain from</w:t>
            </w: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20" w:type="dxa"/>
            <w:vAlign w:val="bottom"/>
            <w:gridSpan w:val="4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gridSpan w:val="35"/>
          </w:tcPr>
          <w:p>
            <w:pPr>
              <w:jc w:val="center"/>
              <w:ind w:right="600"/>
              <w:spacing w:after="0" w:line="169" w:lineRule="exact"/>
              <w:rPr>
                <w:sz w:val="20"/>
                <w:szCs w:val="20"/>
                <w:color w:val="auto"/>
              </w:rPr>
            </w:pPr>
            <w:r>
              <w:rPr>
                <w:rFonts w:ascii="Calibri" w:cs="Calibri" w:eastAsia="Calibri" w:hAnsi="Calibri"/>
                <w:sz w:val="14"/>
                <w:szCs w:val="14"/>
                <w:color w:val="auto"/>
              </w:rPr>
              <w:t>echange diferences+ Net Insurance Underwritng Results</w:t>
            </w: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bottom w:val="single" w:sz="8" w:color="auto"/>
            </w:tcBorders>
            <w:gridSpan w:val="34"/>
          </w:tcPr>
          <w:p>
            <w:pPr>
              <w:jc w:val="center"/>
              <w:spacing w:after="0"/>
              <w:rPr>
                <w:sz w:val="20"/>
                <w:szCs w:val="20"/>
                <w:color w:val="auto"/>
              </w:rPr>
            </w:pPr>
            <w:r>
              <w:rPr>
                <w:rFonts w:ascii="Calibri" w:cs="Calibri" w:eastAsia="Calibri" w:hAnsi="Calibri"/>
                <w:sz w:val="14"/>
                <w:szCs w:val="14"/>
                <w:color w:val="auto"/>
              </w:rPr>
              <w:t>Salaries and employee benefts + Administratve expenses + Depreciaton and</w:t>
            </w:r>
          </w:p>
        </w:tc>
        <w:tc>
          <w:tcPr>
            <w:tcW w:w="2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2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gridSpan w:val="26"/>
          </w:tcPr>
          <w:p>
            <w:pPr>
              <w:jc w:val="center"/>
              <w:ind w:right="2100"/>
              <w:spacing w:after="0" w:line="149" w:lineRule="exact"/>
              <w:rPr>
                <w:sz w:val="20"/>
                <w:szCs w:val="20"/>
                <w:color w:val="auto"/>
              </w:rPr>
            </w:pPr>
            <w:r>
              <w:rPr>
                <w:rFonts w:ascii="Calibri" w:cs="Calibri" w:eastAsia="Calibri" w:hAnsi="Calibri"/>
                <w:sz w:val="14"/>
                <w:szCs w:val="14"/>
                <w:color w:val="auto"/>
              </w:rPr>
              <w:t>amortzaton</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2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Borders>
              <w:bottom w:val="single" w:sz="8" w:color="auto"/>
            </w:tcBorders>
            <w:gridSpan w:val="20"/>
          </w:tcPr>
          <w:p>
            <w:pPr>
              <w:jc w:val="center"/>
              <w:spacing w:after="0" w:line="149" w:lineRule="exact"/>
              <w:rPr>
                <w:sz w:val="20"/>
                <w:szCs w:val="20"/>
                <w:color w:val="auto"/>
              </w:rPr>
            </w:pPr>
            <w:r>
              <w:rPr>
                <w:rFonts w:ascii="Calibri" w:cs="Calibri" w:eastAsia="Calibri" w:hAnsi="Calibri"/>
                <w:sz w:val="14"/>
                <w:szCs w:val="14"/>
                <w:color w:val="auto"/>
              </w:rPr>
              <w:t>+ Associaton in partcipaton</w:t>
            </w:r>
          </w:p>
        </w:tc>
        <w:tc>
          <w:tcPr>
            <w:tcW w:w="16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Efciency rato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38"/>
          </w:tcPr>
          <w:p>
            <w:pPr>
              <w:jc w:val="center"/>
              <w:ind w:right="280"/>
              <w:spacing w:after="0"/>
              <w:rPr>
                <w:sz w:val="20"/>
                <w:szCs w:val="20"/>
                <w:color w:val="auto"/>
              </w:rPr>
            </w:pPr>
            <w:r>
              <w:rPr>
                <w:rFonts w:ascii="Calibri" w:cs="Calibri" w:eastAsia="Calibri" w:hAnsi="Calibri"/>
                <w:sz w:val="14"/>
                <w:szCs w:val="14"/>
                <w:color w:val="auto"/>
                <w:w w:val="98"/>
              </w:rPr>
              <w:t>Net interest, similar income and expenses + Fee Income + Net gain on foreign</w:t>
            </w: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20" w:type="dxa"/>
            <w:vAlign w:val="bottom"/>
            <w:gridSpan w:val="41"/>
          </w:tcPr>
          <w:p>
            <w:pPr>
              <w:jc w:val="center"/>
              <w:ind w:right="80"/>
              <w:spacing w:after="0" w:line="169" w:lineRule="exact"/>
              <w:rPr>
                <w:sz w:val="20"/>
                <w:szCs w:val="20"/>
                <w:color w:val="auto"/>
              </w:rPr>
            </w:pPr>
            <w:r>
              <w:rPr>
                <w:rFonts w:ascii="Calibri" w:cs="Calibri" w:eastAsia="Calibri" w:hAnsi="Calibri"/>
                <w:sz w:val="14"/>
                <w:szCs w:val="14"/>
                <w:color w:val="auto"/>
                <w:w w:val="99"/>
              </w:rPr>
              <w:t>exchange transactons + Net gain from associates+Net gain on derivatves held for</w:t>
            </w: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25"/>
          </w:tcPr>
          <w:p>
            <w:pPr>
              <w:jc w:val="center"/>
              <w:ind w:right="2240"/>
              <w:spacing w:after="0" w:line="169" w:lineRule="exact"/>
              <w:rPr>
                <w:sz w:val="20"/>
                <w:szCs w:val="20"/>
                <w:color w:val="auto"/>
              </w:rPr>
            </w:pPr>
            <w:r>
              <w:rPr>
                <w:rFonts w:ascii="Calibri" w:cs="Calibri" w:eastAsia="Calibri" w:hAnsi="Calibri"/>
                <w:sz w:val="14"/>
                <w:szCs w:val="14"/>
                <w:color w:val="auto"/>
                <w:w w:val="97"/>
              </w:rPr>
              <w:t>trading</w:t>
            </w:r>
          </w:p>
        </w:tc>
        <w:tc>
          <w:tcPr>
            <w:tcW w:w="0" w:type="dxa"/>
            <w:vAlign w:val="bottom"/>
          </w:tcPr>
          <w:p>
            <w:pPr>
              <w:spacing w:after="0"/>
              <w:rPr>
                <w:sz w:val="1"/>
                <w:szCs w:val="1"/>
                <w:color w:val="auto"/>
              </w:rPr>
            </w:pPr>
          </w:p>
        </w:tc>
      </w:tr>
      <w:tr>
        <w:trPr>
          <w:trHeight w:val="169"/>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gridSpan w:val="35"/>
          </w:tcPr>
          <w:p>
            <w:pPr>
              <w:jc w:val="center"/>
              <w:ind w:right="600"/>
              <w:spacing w:after="0" w:line="169" w:lineRule="exact"/>
              <w:rPr>
                <w:sz w:val="20"/>
                <w:szCs w:val="20"/>
                <w:color w:val="auto"/>
              </w:rPr>
            </w:pPr>
            <w:r>
              <w:rPr>
                <w:rFonts w:ascii="Calibri" w:cs="Calibri" w:eastAsia="Calibri" w:hAnsi="Calibri"/>
                <w:sz w:val="14"/>
                <w:szCs w:val="14"/>
                <w:color w:val="auto"/>
              </w:rPr>
              <w:t>+ Result on exchange diferences+Insurance Underwritng Result</w:t>
            </w:r>
          </w:p>
        </w:tc>
        <w:tc>
          <w:tcPr>
            <w:tcW w:w="0" w:type="dxa"/>
            <w:vAlign w:val="bottom"/>
          </w:tcPr>
          <w:p>
            <w:pPr>
              <w:spacing w:after="0"/>
              <w:rPr>
                <w:sz w:val="1"/>
                <w:szCs w:val="1"/>
                <w:color w:val="auto"/>
              </w:rPr>
            </w:pPr>
          </w:p>
        </w:tc>
      </w:tr>
      <w:tr>
        <w:trPr>
          <w:trHeight w:val="70"/>
        </w:trPr>
        <w:tc>
          <w:tcPr>
            <w:tcW w:w="162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gridSpan w:val="40"/>
          </w:tcPr>
          <w:p>
            <w:pPr>
              <w:jc w:val="center"/>
              <w:ind w:right="180"/>
              <w:spacing w:after="0" w:line="162" w:lineRule="exact"/>
              <w:rPr>
                <w:sz w:val="20"/>
                <w:szCs w:val="20"/>
                <w:color w:val="auto"/>
              </w:rPr>
            </w:pPr>
            <w:r>
              <w:rPr>
                <w:rFonts w:ascii="Calibri" w:cs="Calibri" w:eastAsia="Calibri" w:hAnsi="Calibri"/>
                <w:sz w:val="14"/>
                <w:szCs w:val="14"/>
                <w:color w:val="auto"/>
              </w:rPr>
              <w:t xml:space="preserve">Total High Quality Liquid Assets + Min(Total Infow </w:t>
            </w:r>
            <w:r>
              <w:rPr>
                <w:rFonts w:ascii="Calibri" w:cs="Calibri" w:eastAsia="Calibri" w:hAnsi="Calibri"/>
                <w:sz w:val="11"/>
                <w:szCs w:val="11"/>
                <w:color w:val="auto"/>
              </w:rPr>
              <w:t>30 days</w:t>
            </w:r>
            <w:r>
              <w:rPr>
                <w:rFonts w:ascii="Calibri" w:cs="Calibri" w:eastAsia="Calibri" w:hAnsi="Calibri"/>
                <w:sz w:val="14"/>
                <w:szCs w:val="14"/>
                <w:color w:val="auto"/>
              </w:rPr>
              <w:t xml:space="preserve">; 75% * Total Outlow </w:t>
            </w:r>
            <w:r>
              <w:rPr>
                <w:rFonts w:ascii="Calibri" w:cs="Calibri" w:eastAsia="Calibri" w:hAnsi="Calibri"/>
                <w:sz w:val="11"/>
                <w:szCs w:val="11"/>
                <w:color w:val="auto"/>
              </w:rPr>
              <w:t>30</w:t>
            </w: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tcPr>
          <w:p>
            <w:pPr>
              <w:ind w:left="40"/>
              <w:spacing w:after="0" w:line="142" w:lineRule="exact"/>
              <w:rPr>
                <w:sz w:val="20"/>
                <w:szCs w:val="20"/>
                <w:color w:val="auto"/>
              </w:rPr>
            </w:pPr>
            <w:r>
              <w:rPr>
                <w:rFonts w:ascii="Calibri" w:cs="Calibri" w:eastAsia="Calibri" w:hAnsi="Calibri"/>
                <w:sz w:val="14"/>
                <w:szCs w:val="14"/>
                <w:b w:val="1"/>
                <w:bCs w:val="1"/>
                <w:color w:val="auto"/>
              </w:rPr>
              <w:t>Liquidity Coverage rato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8"/>
          </w:tcPr>
          <w:p>
            <w:pPr>
              <w:jc w:val="center"/>
              <w:ind w:right="371"/>
              <w:spacing w:after="0" w:line="142" w:lineRule="exact"/>
              <w:rPr>
                <w:sz w:val="20"/>
                <w:szCs w:val="20"/>
                <w:color w:val="auto"/>
              </w:rPr>
            </w:pPr>
            <w:r>
              <w:rPr>
                <w:rFonts w:ascii="Calibri" w:cs="Calibri" w:eastAsia="Calibri" w:hAnsi="Calibri"/>
                <w:sz w:val="12"/>
                <w:szCs w:val="12"/>
                <w:color w:val="auto"/>
                <w:w w:val="99"/>
              </w:rPr>
              <w:t>days</w:t>
            </w:r>
            <w:r>
              <w:rPr>
                <w:rFonts w:ascii="Calibri" w:cs="Calibri" w:eastAsia="Calibri" w:hAnsi="Calibri"/>
                <w:sz w:val="13"/>
                <w:szCs w:val="13"/>
                <w:u w:val="single" w:color="auto"/>
                <w:color w:val="auto"/>
                <w:w w:val="99"/>
              </w:rPr>
              <w:t>)</w:t>
            </w:r>
          </w:p>
        </w:tc>
        <w:tc>
          <w:tcPr>
            <w:tcW w:w="360" w:type="dxa"/>
            <w:vAlign w:val="bottom"/>
            <w:tcBorders>
              <w:top w:val="single" w:sz="8" w:color="auto"/>
            </w:tcBorders>
            <w:gridSpan w:val="5"/>
          </w:tcPr>
          <w:p>
            <w:pPr>
              <w:spacing w:after="0"/>
              <w:rPr>
                <w:sz w:val="12"/>
                <w:szCs w:val="12"/>
                <w:color w:val="auto"/>
              </w:rPr>
            </w:pPr>
          </w:p>
        </w:tc>
        <w:tc>
          <w:tcPr>
            <w:tcW w:w="1220" w:type="dxa"/>
            <w:vAlign w:val="bottom"/>
            <w:tcBorders>
              <w:top w:val="single" w:sz="8" w:color="auto"/>
            </w:tcBorders>
            <w:gridSpan w:val="6"/>
          </w:tcPr>
          <w:p>
            <w:pPr>
              <w:spacing w:after="0"/>
              <w:rPr>
                <w:sz w:val="12"/>
                <w:szCs w:val="12"/>
                <w:color w:val="auto"/>
              </w:rPr>
            </w:pPr>
          </w:p>
        </w:tc>
        <w:tc>
          <w:tcPr>
            <w:tcW w:w="120" w:type="dxa"/>
            <w:vAlign w:val="bottom"/>
            <w:tcBorders>
              <w:top w:val="single" w:sz="8" w:color="auto"/>
            </w:tcBorders>
            <w:gridSpan w:val="3"/>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6"/>
          </w:tcPr>
          <w:p>
            <w:pPr>
              <w:jc w:val="right"/>
              <w:spacing w:after="0" w:line="164" w:lineRule="exact"/>
              <w:rPr>
                <w:sz w:val="20"/>
                <w:szCs w:val="20"/>
                <w:color w:val="auto"/>
              </w:rPr>
            </w:pPr>
            <w:r>
              <w:rPr>
                <w:rFonts w:ascii="Calibri" w:cs="Calibri" w:eastAsia="Calibri" w:hAnsi="Calibri"/>
                <w:sz w:val="14"/>
                <w:szCs w:val="14"/>
                <w:color w:val="auto"/>
                <w:w w:val="97"/>
              </w:rPr>
              <w:t>Total Outlow</w:t>
            </w:r>
          </w:p>
        </w:tc>
        <w:tc>
          <w:tcPr>
            <w:tcW w:w="2360" w:type="dxa"/>
            <w:vAlign w:val="bottom"/>
            <w:gridSpan w:val="23"/>
          </w:tcPr>
          <w:p>
            <w:pPr>
              <w:ind w:left="120"/>
              <w:spacing w:after="0"/>
              <w:rPr>
                <w:sz w:val="20"/>
                <w:szCs w:val="20"/>
                <w:color w:val="auto"/>
              </w:rPr>
            </w:pPr>
            <w:r>
              <w:rPr>
                <w:rFonts w:ascii="Calibri" w:cs="Calibri" w:eastAsia="Calibri" w:hAnsi="Calibri"/>
                <w:sz w:val="12"/>
                <w:szCs w:val="12"/>
                <w:color w:val="auto"/>
              </w:rPr>
              <w:t>30 days</w:t>
            </w:r>
          </w:p>
        </w:tc>
        <w:tc>
          <w:tcPr>
            <w:tcW w:w="0" w:type="dxa"/>
            <w:vAlign w:val="bottom"/>
          </w:tcPr>
          <w:p>
            <w:pPr>
              <w:spacing w:after="0"/>
              <w:rPr>
                <w:sz w:val="1"/>
                <w:szCs w:val="1"/>
                <w:color w:val="auto"/>
              </w:rPr>
            </w:pPr>
          </w:p>
        </w:tc>
      </w:tr>
      <w:tr>
        <w:trPr>
          <w:trHeight w:val="63"/>
        </w:trPr>
        <w:tc>
          <w:tcPr>
            <w:tcW w:w="1620" w:type="dxa"/>
            <w:vAlign w:val="bottom"/>
            <w:tcBorders>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Regulatory Capital rato</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bottom w:val="single" w:sz="8" w:color="auto"/>
            </w:tcBorders>
            <w:gridSpan w:val="10"/>
          </w:tcPr>
          <w:p>
            <w:pPr>
              <w:jc w:val="center"/>
              <w:spacing w:after="0"/>
              <w:rPr>
                <w:sz w:val="20"/>
                <w:szCs w:val="20"/>
                <w:color w:val="auto"/>
              </w:rPr>
            </w:pPr>
            <w:r>
              <w:rPr>
                <w:rFonts w:ascii="Calibri" w:cs="Calibri" w:eastAsia="Calibri" w:hAnsi="Calibri"/>
                <w:sz w:val="14"/>
                <w:szCs w:val="14"/>
                <w:color w:val="auto"/>
                <w:w w:val="97"/>
              </w:rPr>
              <w:t>Regulatory Capital</w:t>
            </w:r>
          </w:p>
        </w:tc>
        <w:tc>
          <w:tcPr>
            <w:tcW w:w="194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620" w:type="dxa"/>
            <w:vAlign w:val="bottom"/>
            <w:tcBorders>
              <w:right w:val="single" w:sz="8" w:color="auto"/>
            </w:tcBorders>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100" w:type="dxa"/>
            <w:vAlign w:val="bottom"/>
            <w:gridSpan w:val="29"/>
            <w:vMerge w:val="restart"/>
          </w:tcPr>
          <w:p>
            <w:pPr>
              <w:jc w:val="center"/>
              <w:ind w:right="1820"/>
              <w:spacing w:after="0"/>
              <w:rPr>
                <w:sz w:val="20"/>
                <w:szCs w:val="20"/>
                <w:color w:val="auto"/>
              </w:rPr>
            </w:pPr>
            <w:r>
              <w:rPr>
                <w:rFonts w:ascii="Calibri" w:cs="Calibri" w:eastAsia="Calibri" w:hAnsi="Calibri"/>
                <w:sz w:val="14"/>
                <w:szCs w:val="14"/>
                <w:color w:val="auto"/>
                <w:w w:val="98"/>
              </w:rPr>
              <w:t>(Risk -weighted assets)</w:t>
            </w: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gridSpan w:val="2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62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Tier 1 rato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3"/>
          </w:tcPr>
          <w:p>
            <w:pPr>
              <w:jc w:val="right"/>
              <w:spacing w:after="0" w:line="149" w:lineRule="exact"/>
              <w:rPr>
                <w:sz w:val="20"/>
                <w:szCs w:val="20"/>
                <w:color w:val="auto"/>
              </w:rPr>
            </w:pPr>
            <w:r>
              <w:rPr>
                <w:rFonts w:ascii="Calibri" w:cs="Calibri" w:eastAsia="Calibri" w:hAnsi="Calibri"/>
                <w:sz w:val="14"/>
                <w:szCs w:val="14"/>
                <w:color w:val="auto"/>
              </w:rPr>
              <w:t>Tier 1</w:t>
            </w:r>
          </w:p>
        </w:tc>
        <w:tc>
          <w:tcPr>
            <w:tcW w:w="120" w:type="dxa"/>
            <w:vAlign w:val="bottom"/>
            <w:tcBorders>
              <w:bottom w:val="single" w:sz="8" w:color="auto"/>
            </w:tcBorders>
          </w:tcPr>
          <w:p>
            <w:pPr>
              <w:jc w:val="right"/>
              <w:spacing w:after="0" w:line="136" w:lineRule="exact"/>
              <w:rPr>
                <w:sz w:val="20"/>
                <w:szCs w:val="20"/>
                <w:color w:val="auto"/>
              </w:rPr>
            </w:pPr>
            <w:r>
              <w:rPr>
                <w:rFonts w:ascii="Calibri" w:cs="Calibri" w:eastAsia="Calibri" w:hAnsi="Calibri"/>
                <w:sz w:val="12"/>
                <w:szCs w:val="12"/>
                <w:color w:val="auto"/>
                <w:w w:val="74"/>
              </w:rPr>
              <w:t>(2)</w:t>
            </w: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800" w:type="dxa"/>
            <w:vAlign w:val="bottom"/>
            <w:gridSpan w:val="16"/>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2480" w:type="dxa"/>
            <w:vAlign w:val="bottom"/>
            <w:tcBorders>
              <w:right w:val="single" w:sz="8" w:color="auto"/>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1620" w:type="dxa"/>
            <w:vAlign w:val="bottom"/>
            <w:tcBorders>
              <w:right w:val="single" w:sz="8" w:color="auto"/>
            </w:tcBorders>
          </w:tcPr>
          <w:p>
            <w:pPr>
              <w:spacing w:after="0"/>
              <w:rPr>
                <w:sz w:val="5"/>
                <w:szCs w:val="5"/>
                <w:color w:val="auto"/>
              </w:rPr>
            </w:pPr>
          </w:p>
        </w:tc>
        <w:tc>
          <w:tcPr>
            <w:tcW w:w="248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100" w:type="dxa"/>
            <w:vAlign w:val="bottom"/>
            <w:gridSpan w:val="29"/>
            <w:vMerge w:val="restart"/>
          </w:tcPr>
          <w:p>
            <w:pPr>
              <w:jc w:val="center"/>
              <w:ind w:right="1820"/>
              <w:spacing w:after="0" w:line="156" w:lineRule="exact"/>
              <w:rPr>
                <w:sz w:val="20"/>
                <w:szCs w:val="20"/>
                <w:color w:val="auto"/>
              </w:rPr>
            </w:pPr>
            <w:r>
              <w:rPr>
                <w:rFonts w:ascii="Calibri" w:cs="Calibri" w:eastAsia="Calibri" w:hAnsi="Calibri"/>
                <w:sz w:val="14"/>
                <w:szCs w:val="14"/>
                <w:color w:val="auto"/>
                <w:w w:val="98"/>
              </w:rPr>
              <w:t>Risk -weighted assets</w:t>
            </w:r>
          </w:p>
        </w:tc>
        <w:tc>
          <w:tcPr>
            <w:tcW w:w="0" w:type="dxa"/>
            <w:vAlign w:val="bottom"/>
          </w:tcPr>
          <w:p>
            <w:pPr>
              <w:spacing w:after="0"/>
              <w:rPr>
                <w:sz w:val="1"/>
                <w:szCs w:val="1"/>
                <w:color w:val="auto"/>
              </w:rPr>
            </w:pPr>
          </w:p>
        </w:tc>
      </w:tr>
      <w:tr>
        <w:trPr>
          <w:trHeight w:val="91"/>
        </w:trPr>
        <w:tc>
          <w:tcPr>
            <w:tcW w:w="162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gridSpan w:val="2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62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0" w:type="dxa"/>
            <w:vAlign w:val="bottom"/>
            <w:gridSpan w:val="22"/>
            <w:vMerge w:val="restart"/>
          </w:tcPr>
          <w:p>
            <w:pPr>
              <w:spacing w:after="0"/>
              <w:rPr>
                <w:sz w:val="20"/>
                <w:szCs w:val="20"/>
                <w:color w:val="auto"/>
              </w:rPr>
            </w:pPr>
            <w:r>
              <w:rPr>
                <w:rFonts w:ascii="Calibri" w:cs="Calibri" w:eastAsia="Calibri" w:hAnsi="Calibri"/>
                <w:sz w:val="14"/>
                <w:szCs w:val="14"/>
                <w:color w:val="auto"/>
              </w:rPr>
              <w:t>Capital+Reserves -100% of applicable deductons</w:t>
            </w:r>
          </w:p>
        </w:tc>
        <w:tc>
          <w:tcPr>
            <w:tcW w:w="120" w:type="dxa"/>
            <w:vAlign w:val="bottom"/>
            <w:tcBorders>
              <w:bottom w:val="single" w:sz="8" w:color="auto"/>
            </w:tcBorders>
            <w:gridSpan w:val="2"/>
          </w:tcPr>
          <w:p>
            <w:pPr>
              <w:jc w:val="right"/>
              <w:spacing w:after="0" w:line="123" w:lineRule="exact"/>
              <w:rPr>
                <w:sz w:val="20"/>
                <w:szCs w:val="20"/>
                <w:color w:val="auto"/>
              </w:rPr>
            </w:pPr>
            <w:r>
              <w:rPr>
                <w:rFonts w:ascii="Calibri" w:cs="Calibri" w:eastAsia="Calibri" w:hAnsi="Calibri"/>
                <w:sz w:val="12"/>
                <w:szCs w:val="12"/>
                <w:color w:val="auto"/>
                <w:w w:val="74"/>
              </w:rPr>
              <w:t>(4)</w:t>
            </w:r>
          </w:p>
        </w:tc>
        <w:tc>
          <w:tcPr>
            <w:tcW w:w="1900" w:type="dxa"/>
            <w:vAlign w:val="bottom"/>
            <w:gridSpan w:val="17"/>
            <w:vMerge w:val="restart"/>
          </w:tcPr>
          <w:p>
            <w:pPr>
              <w:spacing w:after="0"/>
              <w:rPr>
                <w:sz w:val="20"/>
                <w:szCs w:val="20"/>
                <w:color w:val="auto"/>
              </w:rPr>
            </w:pPr>
            <w:r>
              <w:rPr>
                <w:rFonts w:ascii="Calibri" w:cs="Calibri" w:eastAsia="Calibri" w:hAnsi="Calibri"/>
                <w:sz w:val="14"/>
                <w:szCs w:val="14"/>
                <w:color w:val="auto"/>
              </w:rPr>
              <w:t>+ Retained Earnings+Unrealized</w:t>
            </w:r>
          </w:p>
        </w:tc>
        <w:tc>
          <w:tcPr>
            <w:tcW w:w="0" w:type="dxa"/>
            <w:vAlign w:val="bottom"/>
          </w:tcPr>
          <w:p>
            <w:pPr>
              <w:spacing w:after="0"/>
              <w:rPr>
                <w:sz w:val="1"/>
                <w:szCs w:val="1"/>
                <w:color w:val="auto"/>
              </w:rPr>
            </w:pPr>
          </w:p>
        </w:tc>
      </w:tr>
      <w:tr>
        <w:trPr>
          <w:trHeight w:val="58"/>
        </w:trPr>
        <w:tc>
          <w:tcPr>
            <w:tcW w:w="1620" w:type="dxa"/>
            <w:vAlign w:val="bottom"/>
            <w:tcBorders>
              <w:right w:val="single" w:sz="8" w:color="auto"/>
            </w:tcBorders>
          </w:tcPr>
          <w:p>
            <w:pPr>
              <w:spacing w:after="0"/>
              <w:rPr>
                <w:sz w:val="5"/>
                <w:szCs w:val="5"/>
                <w:color w:val="auto"/>
              </w:rPr>
            </w:pPr>
          </w:p>
        </w:tc>
        <w:tc>
          <w:tcPr>
            <w:tcW w:w="2480" w:type="dxa"/>
            <w:vAlign w:val="bottom"/>
            <w:tcBorders>
              <w:right w:val="single" w:sz="8" w:color="auto"/>
            </w:tcBorders>
            <w:vMerge w:val="restart"/>
          </w:tcPr>
          <w:p>
            <w:pPr>
              <w:ind w:left="40"/>
              <w:spacing w:after="0" w:line="227" w:lineRule="exact"/>
              <w:rPr>
                <w:sz w:val="20"/>
                <w:szCs w:val="20"/>
                <w:color w:val="auto"/>
              </w:rPr>
            </w:pPr>
            <w:r>
              <w:rPr>
                <w:rFonts w:ascii="Calibri" w:cs="Calibri" w:eastAsia="Calibri" w:hAnsi="Calibri"/>
                <w:sz w:val="14"/>
                <w:szCs w:val="14"/>
                <w:b w:val="1"/>
                <w:bCs w:val="1"/>
                <w:color w:val="auto"/>
              </w:rPr>
              <w:t xml:space="preserve">Common Equity Tier 1 rato </w:t>
            </w:r>
            <w:r>
              <w:rPr>
                <w:rFonts w:ascii="Calibri" w:cs="Calibri" w:eastAsia="Calibri" w:hAnsi="Calibri"/>
                <w:sz w:val="23"/>
                <w:szCs w:val="23"/>
                <w:b w:val="1"/>
                <w:bCs w:val="1"/>
                <w:color w:val="auto"/>
                <w:vertAlign w:val="superscript"/>
              </w:rPr>
              <w:t>(3)</w:t>
            </w:r>
          </w:p>
        </w:tc>
        <w:tc>
          <w:tcPr>
            <w:tcW w:w="60" w:type="dxa"/>
            <w:vAlign w:val="bottom"/>
          </w:tcPr>
          <w:p>
            <w:pPr>
              <w:spacing w:after="0"/>
              <w:rPr>
                <w:sz w:val="5"/>
                <w:szCs w:val="5"/>
                <w:color w:val="auto"/>
              </w:rPr>
            </w:pPr>
          </w:p>
        </w:tc>
        <w:tc>
          <w:tcPr>
            <w:tcW w:w="2800" w:type="dxa"/>
            <w:vAlign w:val="bottom"/>
            <w:gridSpan w:val="22"/>
            <w:vMerge w:val="continue"/>
          </w:tcPr>
          <w:p>
            <w:pPr>
              <w:spacing w:after="0"/>
              <w:rPr>
                <w:sz w:val="5"/>
                <w:szCs w:val="5"/>
                <w:color w:val="auto"/>
              </w:rPr>
            </w:pPr>
          </w:p>
        </w:tc>
        <w:tc>
          <w:tcPr>
            <w:tcW w:w="120" w:type="dxa"/>
            <w:vAlign w:val="bottom"/>
            <w:gridSpan w:val="2"/>
          </w:tcPr>
          <w:p>
            <w:pPr>
              <w:spacing w:after="0"/>
              <w:rPr>
                <w:sz w:val="5"/>
                <w:szCs w:val="5"/>
                <w:color w:val="auto"/>
              </w:rPr>
            </w:pPr>
          </w:p>
        </w:tc>
        <w:tc>
          <w:tcPr>
            <w:tcW w:w="19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2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7"/>
          </w:tcPr>
          <w:p>
            <w:pPr>
              <w:jc w:val="center"/>
              <w:spacing w:after="0" w:line="149" w:lineRule="exact"/>
              <w:rPr>
                <w:sz w:val="20"/>
                <w:szCs w:val="20"/>
                <w:color w:val="auto"/>
              </w:rPr>
            </w:pPr>
            <w:r>
              <w:rPr>
                <w:rFonts w:ascii="Calibri" w:cs="Calibri" w:eastAsia="Calibri" w:hAnsi="Calibri"/>
                <w:sz w:val="14"/>
                <w:szCs w:val="14"/>
                <w:color w:val="auto"/>
              </w:rPr>
              <w:t>gains or losses</w:t>
            </w:r>
          </w:p>
        </w:tc>
        <w:tc>
          <w:tcPr>
            <w:tcW w:w="20" w:type="dxa"/>
            <w:vAlign w:val="bottom"/>
            <w:tcBorders>
              <w:top w:val="single" w:sz="8" w:color="auto"/>
            </w:tcBorders>
          </w:tcPr>
          <w:p>
            <w:pPr>
              <w:spacing w:after="0"/>
              <w:rPr>
                <w:sz w:val="12"/>
                <w:szCs w:val="12"/>
                <w:color w:val="auto"/>
              </w:rPr>
            </w:pPr>
          </w:p>
        </w:tc>
        <w:tc>
          <w:tcPr>
            <w:tcW w:w="120" w:type="dxa"/>
            <w:vAlign w:val="bottom"/>
            <w:gridSpan w:val="2"/>
          </w:tcPr>
          <w:p>
            <w:pPr>
              <w:spacing w:after="0"/>
              <w:rPr>
                <w:sz w:val="12"/>
                <w:szCs w:val="12"/>
                <w:color w:val="auto"/>
              </w:rPr>
            </w:pPr>
          </w:p>
        </w:tc>
        <w:tc>
          <w:tcPr>
            <w:tcW w:w="1800" w:type="dxa"/>
            <w:vAlign w:val="bottom"/>
            <w:tcBorders>
              <w:top w:val="single" w:sz="8" w:color="auto"/>
            </w:tcBorders>
            <w:gridSpan w:val="16"/>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2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gridSpan w:val="29"/>
          </w:tcPr>
          <w:p>
            <w:pPr>
              <w:jc w:val="center"/>
              <w:ind w:right="1820"/>
              <w:spacing w:after="0"/>
              <w:rPr>
                <w:sz w:val="20"/>
                <w:szCs w:val="20"/>
                <w:color w:val="auto"/>
              </w:rPr>
            </w:pPr>
            <w:r>
              <w:rPr>
                <w:rFonts w:ascii="Calibri" w:cs="Calibri" w:eastAsia="Calibri" w:hAnsi="Calibri"/>
                <w:sz w:val="14"/>
                <w:szCs w:val="14"/>
                <w:color w:val="auto"/>
                <w:w w:val="98"/>
              </w:rPr>
              <w:t>Risk -weighted assets</w:t>
            </w:r>
          </w:p>
        </w:tc>
        <w:tc>
          <w:tcPr>
            <w:tcW w:w="0" w:type="dxa"/>
            <w:vAlign w:val="bottom"/>
          </w:tcPr>
          <w:p>
            <w:pPr>
              <w:spacing w:after="0"/>
              <w:rPr>
                <w:sz w:val="1"/>
                <w:szCs w:val="1"/>
                <w:color w:val="auto"/>
              </w:rPr>
            </w:pPr>
          </w:p>
        </w:tc>
      </w:tr>
      <w:tr>
        <w:trPr>
          <w:trHeight w:val="70"/>
        </w:trPr>
        <w:tc>
          <w:tcPr>
            <w:tcW w:w="162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20" w:hanging="148"/>
        <w:spacing w:after="0"/>
        <w:tabs>
          <w:tab w:leader="none" w:pos="620" w:val="left"/>
        </w:tabs>
        <w:numPr>
          <w:ilvl w:val="0"/>
          <w:numId w:val="67"/>
        </w:numPr>
        <w:rPr>
          <w:rFonts w:ascii="Calibri" w:cs="Calibri" w:eastAsia="Calibri" w:hAnsi="Calibri"/>
          <w:sz w:val="11"/>
          <w:szCs w:val="11"/>
          <w:color w:val="auto"/>
        </w:rPr>
      </w:pPr>
      <w:r>
        <w:rPr>
          <w:rFonts w:ascii="Calibri" w:cs="Calibri" w:eastAsia="Calibri" w:hAnsi="Calibri"/>
          <w:sz w:val="11"/>
          <w:szCs w:val="11"/>
          <w:color w:val="auto"/>
        </w:rPr>
        <w:t>Averages are determined as the average of period-beginning and period-ending balances.</w:t>
      </w:r>
    </w:p>
    <w:p>
      <w:pPr>
        <w:spacing w:after="0" w:line="60" w:lineRule="exact"/>
        <w:rPr>
          <w:rFonts w:ascii="Calibri" w:cs="Calibri" w:eastAsia="Calibri" w:hAnsi="Calibri"/>
          <w:sz w:val="11"/>
          <w:szCs w:val="11"/>
          <w:color w:val="auto"/>
        </w:rPr>
      </w:pPr>
    </w:p>
    <w:p>
      <w:pPr>
        <w:ind w:left="620" w:hanging="148"/>
        <w:spacing w:after="0"/>
        <w:tabs>
          <w:tab w:leader="none" w:pos="620" w:val="left"/>
        </w:tabs>
        <w:numPr>
          <w:ilvl w:val="0"/>
          <w:numId w:val="67"/>
        </w:numPr>
        <w:rPr>
          <w:rFonts w:ascii="Calibri" w:cs="Calibri" w:eastAsia="Calibri" w:hAnsi="Calibri"/>
          <w:sz w:val="11"/>
          <w:szCs w:val="11"/>
          <w:color w:val="auto"/>
        </w:rPr>
      </w:pPr>
      <w:r>
        <w:rPr>
          <w:rFonts w:ascii="Calibri" w:cs="Calibri" w:eastAsia="Calibri" w:hAnsi="Calibri"/>
          <w:sz w:val="11"/>
          <w:szCs w:val="11"/>
          <w:color w:val="auto"/>
        </w:rPr>
        <w:t>Includes investment in subsidiaries, goodwill, intangibles, and deferred tax that rely on future proftability.</w:t>
      </w:r>
    </w:p>
    <w:p>
      <w:pPr>
        <w:spacing w:after="0" w:line="60" w:lineRule="exact"/>
        <w:rPr>
          <w:rFonts w:ascii="Calibri" w:cs="Calibri" w:eastAsia="Calibri" w:hAnsi="Calibri"/>
          <w:sz w:val="11"/>
          <w:szCs w:val="11"/>
          <w:color w:val="auto"/>
        </w:rPr>
      </w:pPr>
    </w:p>
    <w:p>
      <w:pPr>
        <w:ind w:left="620" w:hanging="148"/>
        <w:spacing w:after="0"/>
        <w:tabs>
          <w:tab w:leader="none" w:pos="620" w:val="left"/>
        </w:tabs>
        <w:numPr>
          <w:ilvl w:val="0"/>
          <w:numId w:val="67"/>
        </w:numPr>
        <w:rPr>
          <w:rFonts w:ascii="Calibri" w:cs="Calibri" w:eastAsia="Calibri" w:hAnsi="Calibri"/>
          <w:sz w:val="11"/>
          <w:szCs w:val="11"/>
          <w:color w:val="auto"/>
        </w:rPr>
      </w:pPr>
      <w:r>
        <w:rPr>
          <w:rFonts w:ascii="Calibri" w:cs="Calibri" w:eastAsia="Calibri" w:hAnsi="Calibri"/>
          <w:sz w:val="11"/>
          <w:szCs w:val="11"/>
          <w:color w:val="auto"/>
        </w:rPr>
        <w:t>Common Equity Tier 1 = Capital Stock + Reserves + Accumulated earnings – Unrealized profts or losses - 100% deductons (investment in subsidiaries, goodwill, intangible assets, and deferred tax assets based on future returns).</w:t>
      </w:r>
    </w:p>
    <w:p>
      <w:pPr>
        <w:spacing w:after="0" w:line="60" w:lineRule="exact"/>
        <w:rPr>
          <w:rFonts w:ascii="Calibri" w:cs="Calibri" w:eastAsia="Calibri" w:hAnsi="Calibri"/>
          <w:sz w:val="11"/>
          <w:szCs w:val="11"/>
          <w:color w:val="auto"/>
        </w:rPr>
      </w:pPr>
    </w:p>
    <w:p>
      <w:pPr>
        <w:ind w:left="620" w:hanging="148"/>
        <w:spacing w:after="0"/>
        <w:tabs>
          <w:tab w:leader="none" w:pos="620" w:val="left"/>
        </w:tabs>
        <w:numPr>
          <w:ilvl w:val="0"/>
          <w:numId w:val="67"/>
        </w:numPr>
        <w:rPr>
          <w:rFonts w:ascii="Calibri" w:cs="Calibri" w:eastAsia="Calibri" w:hAnsi="Calibri"/>
          <w:sz w:val="11"/>
          <w:szCs w:val="11"/>
          <w:color w:val="auto"/>
        </w:rPr>
      </w:pPr>
      <w:r>
        <w:rPr>
          <w:rFonts w:ascii="Calibri" w:cs="Calibri" w:eastAsia="Calibri" w:hAnsi="Calibri"/>
          <w:sz w:val="11"/>
          <w:szCs w:val="11"/>
          <w:color w:val="auto"/>
        </w:rPr>
        <w:t>Includes investment in subsidiaries, goodwill, intangible assets, and deferred taxes based on future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981710</wp:posOffset>
            </wp:positionV>
            <wp:extent cx="7137400"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172085</wp:posOffset>
            </wp:positionV>
            <wp:extent cx="6509385" cy="5867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509385" cy="586740"/>
                    </a:xfrm>
                    <a:prstGeom prst="rect">
                      <a:avLst/>
                    </a:prstGeom>
                    <a:noFill/>
                  </pic:spPr>
                </pic:pic>
              </a:graphicData>
            </a:graphic>
          </wp:anchor>
        </w:drawing>
      </w:r>
    </w:p>
    <w:p>
      <w:pPr>
        <w:sectPr>
          <w:pgSz w:w="11900" w:h="16838" w:orient="portrait"/>
          <w:cols w:equalWidth="0" w:num="1">
            <w:col w:w="10960"/>
          </w:cols>
          <w:pgMar w:left="320" w:top="445" w:right="619" w:bottom="1440" w:gutter="0" w:footer="0" w:header="0"/>
        </w:sectPr>
      </w:pPr>
    </w:p>
    <w:bookmarkStart w:id="72" w:name="page73"/>
    <w:bookmarkEnd w:id="72"/>
    <w:p>
      <w:pPr>
        <w:ind w:left="2580"/>
        <w:spacing w:after="0"/>
        <w:tabs>
          <w:tab w:leader="none" w:pos="3020" w:val="left"/>
          <w:tab w:leader="none" w:pos="7680" w:val="left"/>
        </w:tabs>
        <w:rPr>
          <w:sz w:val="20"/>
          <w:szCs w:val="20"/>
          <w:color w:val="auto"/>
        </w:rPr>
      </w:pPr>
      <w:r>
        <w:rPr>
          <w:rFonts w:ascii="Calibri" w:cs="Calibri" w:eastAsia="Calibri" w:hAnsi="Calibri"/>
          <w:sz w:val="16"/>
          <w:szCs w:val="16"/>
          <w:color w:val="A6A6A6"/>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817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7400" cy="817880"/>
                    </a:xfrm>
                    <a:prstGeom prst="rect">
                      <a:avLst/>
                    </a:prstGeom>
                    <a:noFill/>
                  </pic:spPr>
                </pic:pic>
              </a:graphicData>
            </a:graphic>
          </wp:anchor>
        </w:drawing>
        <w:t>|</w:t>
      </w:r>
      <w:r>
        <w:rPr>
          <w:sz w:val="20"/>
          <w:szCs w:val="20"/>
          <w:color w:val="auto"/>
        </w:rPr>
        <w:tab/>
      </w:r>
      <w:r>
        <w:rPr>
          <w:rFonts w:ascii="Calibri" w:cs="Calibri" w:eastAsia="Calibri" w:hAnsi="Calibri"/>
          <w:sz w:val="14"/>
          <w:szCs w:val="14"/>
          <w:color w:val="FFFFFF"/>
        </w:rPr>
        <w:t>Earnings Release 2Q / 2025</w:t>
      </w:r>
      <w:r>
        <w:rPr>
          <w:sz w:val="20"/>
          <w:szCs w:val="20"/>
          <w:color w:val="auto"/>
        </w:rPr>
        <w:tab/>
      </w:r>
      <w:r>
        <w:rPr>
          <w:rFonts w:ascii="Calibri" w:cs="Calibri" w:eastAsia="Calibri" w:hAnsi="Calibri"/>
          <w:sz w:val="13"/>
          <w:szCs w:val="13"/>
          <w:color w:val="ED3FA8"/>
        </w:rPr>
        <w:t>Analysis of 2Q25 Consolidated Results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Calibri" w:cs="Calibri" w:eastAsia="Calibri" w:hAnsi="Calibri"/>
          <w:sz w:val="21"/>
          <w:szCs w:val="21"/>
          <w:b w:val="1"/>
          <w:bCs w:val="1"/>
          <w:color w:val="FFFFFF"/>
        </w:rPr>
        <w:t>12. Appendix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0" w:type="dxa"/>
            <w:vAlign w:val="bottom"/>
          </w:tcPr>
          <w:p>
            <w:pPr>
              <w:jc w:val="right"/>
              <w:ind w:right="153"/>
              <w:spacing w:after="0"/>
              <w:rPr>
                <w:sz w:val="20"/>
                <w:szCs w:val="20"/>
                <w:color w:val="auto"/>
              </w:rPr>
            </w:pPr>
            <w:r>
              <w:rPr>
                <w:rFonts w:ascii="Calibri" w:cs="Calibri" w:eastAsia="Calibri" w:hAnsi="Calibri"/>
                <w:sz w:val="17"/>
                <w:szCs w:val="17"/>
                <w:b w:val="1"/>
                <w:bCs w:val="1"/>
                <w:color w:val="auto"/>
                <w:w w:val="97"/>
              </w:rPr>
              <w:t>12.9.</w:t>
            </w:r>
          </w:p>
        </w:tc>
        <w:tc>
          <w:tcPr>
            <w:tcW w:w="3460" w:type="dxa"/>
            <w:vAlign w:val="bottom"/>
          </w:tcPr>
          <w:p>
            <w:pPr>
              <w:ind w:left="20"/>
              <w:spacing w:after="0"/>
              <w:rPr>
                <w:sz w:val="20"/>
                <w:szCs w:val="20"/>
                <w:color w:val="auto"/>
              </w:rPr>
            </w:pPr>
            <w:r>
              <w:rPr>
                <w:rFonts w:ascii="Calibri" w:cs="Calibri" w:eastAsia="Calibri" w:hAnsi="Calibri"/>
                <w:sz w:val="17"/>
                <w:szCs w:val="17"/>
                <w:b w:val="1"/>
                <w:bCs w:val="1"/>
                <w:color w:val="auto"/>
              </w:rPr>
              <w:t>Glossary of terms</w:t>
            </w:r>
          </w:p>
        </w:tc>
        <w:tc>
          <w:tcPr>
            <w:tcW w:w="66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1"/>
        </w:trPr>
        <w:tc>
          <w:tcPr>
            <w:tcW w:w="600" w:type="dxa"/>
            <w:vAlign w:val="bottom"/>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207"/>
        </w:trPr>
        <w:tc>
          <w:tcPr>
            <w:tcW w:w="60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shd w:val="clear" w:color="auto" w:fill="33CCCC"/>
          </w:tcPr>
          <w:p>
            <w:pPr>
              <w:ind w:left="1560"/>
              <w:spacing w:after="0" w:line="206" w:lineRule="exact"/>
              <w:rPr>
                <w:sz w:val="20"/>
                <w:szCs w:val="20"/>
                <w:color w:val="auto"/>
              </w:rPr>
            </w:pPr>
            <w:r>
              <w:rPr>
                <w:rFonts w:ascii="Calibri" w:cs="Calibri" w:eastAsia="Calibri" w:hAnsi="Calibri"/>
                <w:sz w:val="17"/>
                <w:szCs w:val="17"/>
                <w:b w:val="1"/>
                <w:bCs w:val="1"/>
                <w:color w:val="FFFFFF"/>
              </w:rPr>
              <w:t>Term</w:t>
            </w:r>
          </w:p>
        </w:tc>
        <w:tc>
          <w:tcPr>
            <w:tcW w:w="6640" w:type="dxa"/>
            <w:vAlign w:val="bottom"/>
            <w:tcBorders>
              <w:bottom w:val="single" w:sz="8" w:color="auto"/>
              <w:right w:val="single" w:sz="8" w:color="auto"/>
            </w:tcBorders>
            <w:shd w:val="clear" w:color="auto" w:fill="33CCCC"/>
          </w:tcPr>
          <w:p>
            <w:pPr>
              <w:ind w:left="2940"/>
              <w:spacing w:after="0" w:line="206" w:lineRule="exact"/>
              <w:rPr>
                <w:sz w:val="20"/>
                <w:szCs w:val="20"/>
                <w:color w:val="auto"/>
              </w:rPr>
            </w:pPr>
            <w:r>
              <w:rPr>
                <w:rFonts w:ascii="Calibri" w:cs="Calibri" w:eastAsia="Calibri" w:hAnsi="Calibri"/>
                <w:sz w:val="17"/>
                <w:szCs w:val="17"/>
                <w:b w:val="1"/>
                <w:bCs w:val="1"/>
                <w:color w:val="FFFFFF"/>
              </w:rPr>
              <w:t>Defniton</w:t>
            </w:r>
          </w:p>
        </w:tc>
        <w:tc>
          <w:tcPr>
            <w:tcW w:w="540" w:type="dxa"/>
            <w:vAlign w:val="bottom"/>
          </w:tcPr>
          <w:p>
            <w:pPr>
              <w:spacing w:after="0"/>
              <w:rPr>
                <w:sz w:val="18"/>
                <w:szCs w:val="18"/>
                <w:color w:val="auto"/>
              </w:rPr>
            </w:pPr>
          </w:p>
        </w:tc>
      </w:tr>
      <w:tr>
        <w:trPr>
          <w:trHeight w:val="207"/>
        </w:trPr>
        <w:tc>
          <w:tcPr>
            <w:tcW w:w="60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60"/>
              <w:spacing w:after="0" w:line="206" w:lineRule="exact"/>
              <w:rPr>
                <w:sz w:val="20"/>
                <w:szCs w:val="20"/>
                <w:color w:val="auto"/>
              </w:rPr>
            </w:pPr>
            <w:r>
              <w:rPr>
                <w:rFonts w:ascii="Calibri" w:cs="Calibri" w:eastAsia="Calibri" w:hAnsi="Calibri"/>
                <w:sz w:val="17"/>
                <w:szCs w:val="17"/>
                <w:b w:val="1"/>
                <w:bCs w:val="1"/>
                <w:color w:val="auto"/>
              </w:rPr>
              <w:t>AFP</w:t>
            </w:r>
          </w:p>
        </w:tc>
        <w:tc>
          <w:tcPr>
            <w:tcW w:w="6640" w:type="dxa"/>
            <w:vAlign w:val="bottom"/>
            <w:tcBorders>
              <w:bottom w:val="single" w:sz="8" w:color="auto"/>
              <w:right w:val="single" w:sz="8" w:color="auto"/>
            </w:tcBorders>
          </w:tcPr>
          <w:p>
            <w:pPr>
              <w:ind w:left="60"/>
              <w:spacing w:after="0" w:line="206" w:lineRule="exact"/>
              <w:rPr>
                <w:sz w:val="20"/>
                <w:szCs w:val="20"/>
                <w:color w:val="auto"/>
              </w:rPr>
            </w:pPr>
            <w:r>
              <w:rPr>
                <w:rFonts w:ascii="Calibri" w:cs="Calibri" w:eastAsia="Calibri" w:hAnsi="Calibri"/>
                <w:sz w:val="17"/>
                <w:szCs w:val="17"/>
                <w:color w:val="auto"/>
              </w:rPr>
              <w:t>Administradora de Fondo de Pensiones or Private Pension Funds Administrators</w:t>
            </w:r>
          </w:p>
        </w:tc>
        <w:tc>
          <w:tcPr>
            <w:tcW w:w="540" w:type="dxa"/>
            <w:vAlign w:val="bottom"/>
          </w:tcPr>
          <w:p>
            <w:pPr>
              <w:spacing w:after="0"/>
              <w:rPr>
                <w:sz w:val="18"/>
                <w:szCs w:val="18"/>
                <w:color w:val="auto"/>
              </w:rPr>
            </w:pPr>
          </w:p>
        </w:tc>
      </w:tr>
      <w:tr>
        <w:trPr>
          <w:trHeight w:val="201"/>
        </w:trPr>
        <w:tc>
          <w:tcPr>
            <w:tcW w:w="600" w:type="dxa"/>
            <w:vAlign w:val="bottom"/>
            <w:tcBorders>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ind w:left="60"/>
              <w:spacing w:after="0" w:line="201" w:lineRule="exact"/>
              <w:rPr>
                <w:sz w:val="20"/>
                <w:szCs w:val="20"/>
                <w:color w:val="auto"/>
              </w:rPr>
            </w:pPr>
            <w:r>
              <w:rPr>
                <w:rFonts w:ascii="Calibri" w:cs="Calibri" w:eastAsia="Calibri" w:hAnsi="Calibri"/>
                <w:sz w:val="17"/>
                <w:szCs w:val="17"/>
                <w:b w:val="1"/>
                <w:bCs w:val="1"/>
                <w:color w:val="auto"/>
              </w:rPr>
              <w:t>BCRP</w:t>
            </w:r>
          </w:p>
        </w:tc>
        <w:tc>
          <w:tcPr>
            <w:tcW w:w="6640" w:type="dxa"/>
            <w:vAlign w:val="bottom"/>
            <w:tcBorders>
              <w:bottom w:val="single" w:sz="8" w:color="auto"/>
              <w:right w:val="single" w:sz="8" w:color="auto"/>
            </w:tcBorders>
          </w:tcPr>
          <w:p>
            <w:pPr>
              <w:ind w:left="60"/>
              <w:spacing w:after="0" w:line="201" w:lineRule="exact"/>
              <w:rPr>
                <w:sz w:val="20"/>
                <w:szCs w:val="20"/>
                <w:color w:val="auto"/>
              </w:rPr>
            </w:pPr>
            <w:r>
              <w:rPr>
                <w:rFonts w:ascii="Calibri" w:cs="Calibri" w:eastAsia="Calibri" w:hAnsi="Calibri"/>
                <w:sz w:val="17"/>
                <w:szCs w:val="17"/>
                <w:color w:val="auto"/>
              </w:rPr>
              <w:t>Banco Central de Reserva del Perú or Peruvian Central Bank</w:t>
            </w:r>
          </w:p>
        </w:tc>
        <w:tc>
          <w:tcPr>
            <w:tcW w:w="540" w:type="dxa"/>
            <w:vAlign w:val="bottom"/>
          </w:tcPr>
          <w:p>
            <w:pPr>
              <w:spacing w:after="0"/>
              <w:rPr>
                <w:sz w:val="17"/>
                <w:szCs w:val="17"/>
                <w:color w:val="auto"/>
              </w:rPr>
            </w:pPr>
          </w:p>
        </w:tc>
      </w:tr>
      <w:tr>
        <w:trPr>
          <w:trHeight w:val="181"/>
        </w:trPr>
        <w:tc>
          <w:tcPr>
            <w:tcW w:w="60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6640" w:type="dxa"/>
            <w:vAlign w:val="bottom"/>
            <w:tcBorders>
              <w:right w:val="single" w:sz="8" w:color="auto"/>
            </w:tcBorders>
          </w:tcPr>
          <w:p>
            <w:pPr>
              <w:ind w:left="60"/>
              <w:spacing w:after="0" w:line="181" w:lineRule="exact"/>
              <w:rPr>
                <w:sz w:val="20"/>
                <w:szCs w:val="20"/>
                <w:color w:val="auto"/>
              </w:rPr>
            </w:pPr>
            <w:r>
              <w:rPr>
                <w:rFonts w:ascii="Calibri" w:cs="Calibri" w:eastAsia="Calibri" w:hAnsi="Calibri"/>
                <w:sz w:val="17"/>
                <w:szCs w:val="17"/>
                <w:color w:val="auto"/>
              </w:rPr>
              <w:t>Stock of fnancially included clients through BCP since 2020. New clients with BCP</w:t>
            </w:r>
          </w:p>
        </w:tc>
        <w:tc>
          <w:tcPr>
            <w:tcW w:w="540" w:type="dxa"/>
            <w:vAlign w:val="bottom"/>
          </w:tcPr>
          <w:p>
            <w:pPr>
              <w:spacing w:after="0"/>
              <w:rPr>
                <w:sz w:val="15"/>
                <w:szCs w:val="15"/>
                <w:color w:val="auto"/>
              </w:rPr>
            </w:pPr>
          </w:p>
        </w:tc>
      </w:tr>
      <w:tr>
        <w:trPr>
          <w:trHeight w:val="206"/>
        </w:trPr>
        <w:tc>
          <w:tcPr>
            <w:tcW w:w="6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6640" w:type="dxa"/>
            <w:vAlign w:val="bottom"/>
            <w:tcBorders>
              <w:right w:val="single" w:sz="8" w:color="auto"/>
            </w:tcBorders>
          </w:tcPr>
          <w:p>
            <w:pPr>
              <w:ind w:left="60"/>
              <w:spacing w:after="0" w:line="206" w:lineRule="exact"/>
              <w:rPr>
                <w:sz w:val="20"/>
                <w:szCs w:val="20"/>
                <w:color w:val="auto"/>
              </w:rPr>
            </w:pPr>
            <w:r>
              <w:rPr>
                <w:rFonts w:ascii="Calibri" w:cs="Calibri" w:eastAsia="Calibri" w:hAnsi="Calibri"/>
                <w:sz w:val="17"/>
                <w:szCs w:val="17"/>
                <w:color w:val="auto"/>
              </w:rPr>
              <w:t>savings accounts or new Yape afliates that: (i) Do not have debt in the fnancial system nor</w:t>
            </w:r>
          </w:p>
        </w:tc>
        <w:tc>
          <w:tcPr>
            <w:tcW w:w="540" w:type="dxa"/>
            <w:vAlign w:val="bottom"/>
          </w:tcPr>
          <w:p>
            <w:pPr>
              <w:spacing w:after="0"/>
              <w:rPr>
                <w:sz w:val="17"/>
                <w:szCs w:val="17"/>
                <w:color w:val="auto"/>
              </w:rPr>
            </w:pPr>
          </w:p>
        </w:tc>
      </w:tr>
      <w:tr>
        <w:trPr>
          <w:trHeight w:val="208"/>
        </w:trPr>
        <w:tc>
          <w:tcPr>
            <w:tcW w:w="60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Financially Included</w:t>
            </w:r>
          </w:p>
        </w:tc>
        <w:tc>
          <w:tcPr>
            <w:tcW w:w="66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color w:val="auto"/>
              </w:rPr>
              <w:t>other BCP products in the 12 months prior to their inclusion,</w:t>
            </w:r>
          </w:p>
        </w:tc>
        <w:tc>
          <w:tcPr>
            <w:tcW w:w="540" w:type="dxa"/>
            <w:vAlign w:val="bottom"/>
          </w:tcPr>
          <w:p>
            <w:pPr>
              <w:spacing w:after="0"/>
              <w:rPr>
                <w:sz w:val="18"/>
                <w:szCs w:val="18"/>
                <w:color w:val="auto"/>
              </w:rPr>
            </w:pPr>
          </w:p>
        </w:tc>
      </w:tr>
      <w:tr>
        <w:trPr>
          <w:trHeight w:val="208"/>
        </w:trPr>
        <w:tc>
          <w:tcPr>
            <w:tcW w:w="60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color w:val="auto"/>
              </w:rPr>
              <w:t>and (ii) Have performed at least 3 monthly transactons on average through any BCP channel</w:t>
            </w:r>
          </w:p>
        </w:tc>
        <w:tc>
          <w:tcPr>
            <w:tcW w:w="540" w:type="dxa"/>
            <w:vAlign w:val="bottom"/>
          </w:tcPr>
          <w:p>
            <w:pPr>
              <w:spacing w:after="0"/>
              <w:rPr>
                <w:sz w:val="18"/>
                <w:szCs w:val="18"/>
                <w:color w:val="auto"/>
              </w:rPr>
            </w:pPr>
          </w:p>
        </w:tc>
      </w:tr>
      <w:tr>
        <w:trPr>
          <w:trHeight w:val="208"/>
        </w:trPr>
        <w:tc>
          <w:tcPr>
            <w:tcW w:w="60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66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color w:val="auto"/>
              </w:rPr>
              <w:t>in the last 3 months</w:t>
            </w:r>
          </w:p>
        </w:tc>
        <w:tc>
          <w:tcPr>
            <w:tcW w:w="540" w:type="dxa"/>
            <w:vAlign w:val="bottom"/>
          </w:tcPr>
          <w:p>
            <w:pPr>
              <w:spacing w:after="0"/>
              <w:rPr>
                <w:sz w:val="18"/>
                <w:szCs w:val="18"/>
                <w:color w:val="auto"/>
              </w:rPr>
            </w:pPr>
          </w:p>
        </w:tc>
      </w:tr>
      <w:tr>
        <w:trPr>
          <w:trHeight w:val="23"/>
        </w:trPr>
        <w:tc>
          <w:tcPr>
            <w:tcW w:w="600" w:type="dxa"/>
            <w:vAlign w:val="bottom"/>
            <w:tcBorders>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200"/>
        </w:trPr>
        <w:tc>
          <w:tcPr>
            <w:tcW w:w="600" w:type="dxa"/>
            <w:vAlign w:val="bottom"/>
            <w:tcBorders>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ind w:left="60"/>
              <w:spacing w:after="0" w:line="200" w:lineRule="exact"/>
              <w:rPr>
                <w:sz w:val="20"/>
                <w:szCs w:val="20"/>
                <w:color w:val="auto"/>
              </w:rPr>
            </w:pPr>
            <w:r>
              <w:rPr>
                <w:rFonts w:ascii="Calibri" w:cs="Calibri" w:eastAsia="Calibri" w:hAnsi="Calibri"/>
                <w:sz w:val="17"/>
                <w:szCs w:val="17"/>
                <w:b w:val="1"/>
                <w:bCs w:val="1"/>
                <w:color w:val="auto"/>
              </w:rPr>
              <w:t>GMV</w:t>
            </w:r>
          </w:p>
        </w:tc>
        <w:tc>
          <w:tcPr>
            <w:tcW w:w="6640" w:type="dxa"/>
            <w:vAlign w:val="bottom"/>
            <w:tcBorders>
              <w:bottom w:val="single" w:sz="8" w:color="auto"/>
              <w:right w:val="single" w:sz="8" w:color="auto"/>
            </w:tcBorders>
          </w:tcPr>
          <w:p>
            <w:pPr>
              <w:ind w:left="60"/>
              <w:spacing w:after="0" w:line="200" w:lineRule="exact"/>
              <w:rPr>
                <w:sz w:val="20"/>
                <w:szCs w:val="20"/>
                <w:color w:val="auto"/>
              </w:rPr>
            </w:pPr>
            <w:r>
              <w:rPr>
                <w:rFonts w:ascii="Calibri" w:cs="Calibri" w:eastAsia="Calibri" w:hAnsi="Calibri"/>
                <w:sz w:val="17"/>
                <w:szCs w:val="17"/>
                <w:color w:val="auto"/>
              </w:rPr>
              <w:t>Gross Merchant Volume</w:t>
            </w:r>
          </w:p>
        </w:tc>
        <w:tc>
          <w:tcPr>
            <w:tcW w:w="540" w:type="dxa"/>
            <w:vAlign w:val="bottom"/>
          </w:tcPr>
          <w:p>
            <w:pPr>
              <w:spacing w:after="0"/>
              <w:rPr>
                <w:sz w:val="17"/>
                <w:szCs w:val="17"/>
                <w:color w:val="auto"/>
              </w:rPr>
            </w:pPr>
          </w:p>
        </w:tc>
      </w:tr>
      <w:tr>
        <w:trPr>
          <w:trHeight w:val="181"/>
        </w:trPr>
        <w:tc>
          <w:tcPr>
            <w:tcW w:w="60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ind w:left="60"/>
              <w:spacing w:after="0" w:line="181" w:lineRule="exact"/>
              <w:rPr>
                <w:sz w:val="20"/>
                <w:szCs w:val="20"/>
                <w:color w:val="auto"/>
              </w:rPr>
            </w:pPr>
            <w:r>
              <w:rPr>
                <w:rFonts w:ascii="Calibri" w:cs="Calibri" w:eastAsia="Calibri" w:hAnsi="Calibri"/>
                <w:sz w:val="17"/>
                <w:szCs w:val="17"/>
                <w:b w:val="1"/>
                <w:bCs w:val="1"/>
                <w:color w:val="auto"/>
              </w:rPr>
              <w:t>Government Program Loans ("GP" or "GP</w:t>
            </w:r>
          </w:p>
        </w:tc>
        <w:tc>
          <w:tcPr>
            <w:tcW w:w="6640" w:type="dxa"/>
            <w:vAlign w:val="bottom"/>
            <w:tcBorders>
              <w:right w:val="single" w:sz="8" w:color="auto"/>
            </w:tcBorders>
          </w:tcPr>
          <w:p>
            <w:pPr>
              <w:ind w:left="60"/>
              <w:spacing w:after="0" w:line="181" w:lineRule="exact"/>
              <w:rPr>
                <w:sz w:val="20"/>
                <w:szCs w:val="20"/>
                <w:color w:val="auto"/>
              </w:rPr>
            </w:pPr>
            <w:r>
              <w:rPr>
                <w:rFonts w:ascii="Calibri" w:cs="Calibri" w:eastAsia="Calibri" w:hAnsi="Calibri"/>
                <w:sz w:val="17"/>
                <w:szCs w:val="17"/>
                <w:color w:val="auto"/>
              </w:rPr>
              <w:t>Loan Portolio related to Reactva Peru, FAE-Mype and Impulso Myperu programs to respond</w:t>
            </w:r>
          </w:p>
        </w:tc>
        <w:tc>
          <w:tcPr>
            <w:tcW w:w="540" w:type="dxa"/>
            <w:vAlign w:val="bottom"/>
          </w:tcPr>
          <w:p>
            <w:pPr>
              <w:spacing w:after="0"/>
              <w:rPr>
                <w:sz w:val="15"/>
                <w:szCs w:val="15"/>
                <w:color w:val="auto"/>
              </w:rPr>
            </w:pPr>
          </w:p>
        </w:tc>
      </w:tr>
      <w:tr>
        <w:trPr>
          <w:trHeight w:val="206"/>
        </w:trPr>
        <w:tc>
          <w:tcPr>
            <w:tcW w:w="6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60"/>
              <w:spacing w:after="0" w:line="206" w:lineRule="exact"/>
              <w:rPr>
                <w:sz w:val="20"/>
                <w:szCs w:val="20"/>
                <w:color w:val="auto"/>
              </w:rPr>
            </w:pPr>
            <w:r>
              <w:rPr>
                <w:rFonts w:ascii="Calibri" w:cs="Calibri" w:eastAsia="Calibri" w:hAnsi="Calibri"/>
                <w:sz w:val="17"/>
                <w:szCs w:val="17"/>
                <w:b w:val="1"/>
                <w:bCs w:val="1"/>
                <w:color w:val="auto"/>
              </w:rPr>
              <w:t>Loans")</w:t>
            </w:r>
          </w:p>
        </w:tc>
        <w:tc>
          <w:tcPr>
            <w:tcW w:w="6640" w:type="dxa"/>
            <w:vAlign w:val="bottom"/>
            <w:tcBorders>
              <w:right w:val="single" w:sz="8" w:color="auto"/>
            </w:tcBorders>
          </w:tcPr>
          <w:p>
            <w:pPr>
              <w:ind w:left="60"/>
              <w:spacing w:after="0" w:line="206" w:lineRule="exact"/>
              <w:rPr>
                <w:sz w:val="20"/>
                <w:szCs w:val="20"/>
                <w:color w:val="auto"/>
              </w:rPr>
            </w:pPr>
            <w:r>
              <w:rPr>
                <w:rFonts w:ascii="Calibri" w:cs="Calibri" w:eastAsia="Calibri" w:hAnsi="Calibri"/>
                <w:sz w:val="17"/>
                <w:szCs w:val="17"/>
                <w:color w:val="auto"/>
              </w:rPr>
              <w:t>quickly and efectvely to liquidity needs and maintain the payment chain</w:t>
            </w:r>
          </w:p>
        </w:tc>
        <w:tc>
          <w:tcPr>
            <w:tcW w:w="540" w:type="dxa"/>
            <w:vAlign w:val="bottom"/>
          </w:tcPr>
          <w:p>
            <w:pPr>
              <w:spacing w:after="0"/>
              <w:rPr>
                <w:sz w:val="17"/>
                <w:szCs w:val="17"/>
                <w:color w:val="auto"/>
              </w:rPr>
            </w:pPr>
          </w:p>
        </w:tc>
      </w:tr>
      <w:tr>
        <w:trPr>
          <w:trHeight w:val="23"/>
        </w:trPr>
        <w:tc>
          <w:tcPr>
            <w:tcW w:w="600" w:type="dxa"/>
            <w:vAlign w:val="bottom"/>
            <w:tcBorders>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200"/>
        </w:trPr>
        <w:tc>
          <w:tcPr>
            <w:tcW w:w="600" w:type="dxa"/>
            <w:vAlign w:val="bottom"/>
            <w:tcBorders>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ind w:left="60"/>
              <w:spacing w:after="0" w:line="200" w:lineRule="exact"/>
              <w:rPr>
                <w:sz w:val="20"/>
                <w:szCs w:val="20"/>
                <w:color w:val="auto"/>
              </w:rPr>
            </w:pPr>
            <w:r>
              <w:rPr>
                <w:rFonts w:ascii="Calibri" w:cs="Calibri" w:eastAsia="Calibri" w:hAnsi="Calibri"/>
                <w:sz w:val="17"/>
                <w:szCs w:val="17"/>
                <w:b w:val="1"/>
                <w:bCs w:val="1"/>
                <w:color w:val="auto"/>
              </w:rPr>
              <w:t>MAU</w:t>
            </w:r>
          </w:p>
        </w:tc>
        <w:tc>
          <w:tcPr>
            <w:tcW w:w="6640" w:type="dxa"/>
            <w:vAlign w:val="bottom"/>
            <w:tcBorders>
              <w:bottom w:val="single" w:sz="8" w:color="auto"/>
              <w:right w:val="single" w:sz="8" w:color="auto"/>
            </w:tcBorders>
          </w:tcPr>
          <w:p>
            <w:pPr>
              <w:ind w:left="60"/>
              <w:spacing w:after="0" w:line="200" w:lineRule="exact"/>
              <w:rPr>
                <w:sz w:val="20"/>
                <w:szCs w:val="20"/>
                <w:color w:val="auto"/>
              </w:rPr>
            </w:pPr>
            <w:r>
              <w:rPr>
                <w:rFonts w:ascii="Calibri" w:cs="Calibri" w:eastAsia="Calibri" w:hAnsi="Calibri"/>
                <w:sz w:val="17"/>
                <w:szCs w:val="17"/>
                <w:color w:val="auto"/>
              </w:rPr>
              <w:t>Monthly Actve Users</w:t>
            </w:r>
          </w:p>
        </w:tc>
        <w:tc>
          <w:tcPr>
            <w:tcW w:w="540" w:type="dxa"/>
            <w:vAlign w:val="bottom"/>
          </w:tcPr>
          <w:p>
            <w:pPr>
              <w:spacing w:after="0"/>
              <w:rPr>
                <w:sz w:val="17"/>
                <w:szCs w:val="17"/>
                <w:color w:val="auto"/>
              </w:rPr>
            </w:pPr>
          </w:p>
        </w:tc>
      </w:tr>
      <w:tr>
        <w:trPr>
          <w:trHeight w:val="201"/>
        </w:trPr>
        <w:tc>
          <w:tcPr>
            <w:tcW w:w="600" w:type="dxa"/>
            <w:vAlign w:val="bottom"/>
            <w:tcBorders>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ind w:left="60"/>
              <w:spacing w:after="0" w:line="201" w:lineRule="exact"/>
              <w:rPr>
                <w:sz w:val="20"/>
                <w:szCs w:val="20"/>
                <w:color w:val="auto"/>
              </w:rPr>
            </w:pPr>
            <w:r>
              <w:rPr>
                <w:rFonts w:ascii="Calibri" w:cs="Calibri" w:eastAsia="Calibri" w:hAnsi="Calibri"/>
                <w:sz w:val="17"/>
                <w:szCs w:val="17"/>
                <w:b w:val="1"/>
                <w:bCs w:val="1"/>
                <w:color w:val="auto"/>
              </w:rPr>
              <w:t>MEF</w:t>
            </w:r>
          </w:p>
        </w:tc>
        <w:tc>
          <w:tcPr>
            <w:tcW w:w="6640" w:type="dxa"/>
            <w:vAlign w:val="bottom"/>
            <w:tcBorders>
              <w:bottom w:val="single" w:sz="8" w:color="auto"/>
              <w:right w:val="single" w:sz="8" w:color="auto"/>
            </w:tcBorders>
          </w:tcPr>
          <w:p>
            <w:pPr>
              <w:ind w:left="60"/>
              <w:spacing w:after="0" w:line="201" w:lineRule="exact"/>
              <w:rPr>
                <w:sz w:val="20"/>
                <w:szCs w:val="20"/>
                <w:color w:val="auto"/>
              </w:rPr>
            </w:pPr>
            <w:r>
              <w:rPr>
                <w:rFonts w:ascii="Calibri" w:cs="Calibri" w:eastAsia="Calibri" w:hAnsi="Calibri"/>
                <w:sz w:val="17"/>
                <w:szCs w:val="17"/>
                <w:color w:val="auto"/>
              </w:rPr>
              <w:t>Ministry of Economy and Finance of Peru</w:t>
            </w:r>
          </w:p>
        </w:tc>
        <w:tc>
          <w:tcPr>
            <w:tcW w:w="540" w:type="dxa"/>
            <w:vAlign w:val="bottom"/>
          </w:tcPr>
          <w:p>
            <w:pPr>
              <w:spacing w:after="0"/>
              <w:rPr>
                <w:sz w:val="17"/>
                <w:szCs w:val="17"/>
                <w:color w:val="auto"/>
              </w:rPr>
            </w:pPr>
          </w:p>
        </w:tc>
      </w:tr>
      <w:tr>
        <w:trPr>
          <w:trHeight w:val="201"/>
        </w:trPr>
        <w:tc>
          <w:tcPr>
            <w:tcW w:w="600" w:type="dxa"/>
            <w:vAlign w:val="bottom"/>
            <w:tcBorders>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ind w:left="60"/>
              <w:spacing w:after="0" w:line="201" w:lineRule="exact"/>
              <w:rPr>
                <w:sz w:val="20"/>
                <w:szCs w:val="20"/>
                <w:color w:val="auto"/>
              </w:rPr>
            </w:pPr>
            <w:r>
              <w:rPr>
                <w:rFonts w:ascii="Calibri" w:cs="Calibri" w:eastAsia="Calibri" w:hAnsi="Calibri"/>
                <w:sz w:val="17"/>
                <w:szCs w:val="17"/>
                <w:b w:val="1"/>
                <w:bCs w:val="1"/>
                <w:color w:val="auto"/>
              </w:rPr>
              <w:t>TPV</w:t>
            </w:r>
          </w:p>
        </w:tc>
        <w:tc>
          <w:tcPr>
            <w:tcW w:w="6640" w:type="dxa"/>
            <w:vAlign w:val="bottom"/>
            <w:tcBorders>
              <w:bottom w:val="single" w:sz="8" w:color="auto"/>
              <w:right w:val="single" w:sz="8" w:color="auto"/>
            </w:tcBorders>
          </w:tcPr>
          <w:p>
            <w:pPr>
              <w:ind w:left="60"/>
              <w:spacing w:after="0" w:line="201" w:lineRule="exact"/>
              <w:rPr>
                <w:sz w:val="20"/>
                <w:szCs w:val="20"/>
                <w:color w:val="auto"/>
              </w:rPr>
            </w:pPr>
            <w:r>
              <w:rPr>
                <w:rFonts w:ascii="Calibri" w:cs="Calibri" w:eastAsia="Calibri" w:hAnsi="Calibri"/>
                <w:sz w:val="17"/>
                <w:szCs w:val="17"/>
                <w:color w:val="auto"/>
              </w:rPr>
              <w:t>Total Payment Volume</w:t>
            </w:r>
          </w:p>
        </w:tc>
        <w:tc>
          <w:tcPr>
            <w:tcW w:w="540" w:type="dxa"/>
            <w:vAlign w:val="bottom"/>
          </w:tcPr>
          <w:p>
            <w:pPr>
              <w:spacing w:after="0"/>
              <w:rPr>
                <w:sz w:val="17"/>
                <w:szCs w:val="17"/>
                <w:color w:val="auto"/>
              </w:rPr>
            </w:pPr>
          </w:p>
        </w:tc>
      </w:tr>
      <w:tr>
        <w:trPr>
          <w:trHeight w:val="1574"/>
        </w:trPr>
        <w:tc>
          <w:tcPr>
            <w:tcW w:w="6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-891540</wp:posOffset>
            </wp:positionV>
            <wp:extent cx="6509385" cy="5784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509385" cy="578485"/>
                    </a:xfrm>
                    <a:prstGeom prst="rect">
                      <a:avLst/>
                    </a:prstGeom>
                    <a:noFill/>
                  </pic:spPr>
                </pic:pic>
              </a:graphicData>
            </a:graphic>
          </wp:anchor>
        </w:drawing>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lowerRoman"/>
      <w:start w:val="2"/>
    </w:lvl>
  </w:abstractNum>
  <w:abstractNum w:abstractNumId="2">
    <w:nsid w:val="5577F8E1"/>
    <w:multiLevelType w:val="hybridMultilevel"/>
    <w:lvl w:ilvl="0">
      <w:lvlJc w:val="left"/>
      <w:lvlText w:val="(%1)"/>
      <w:numFmt w:val="lowerRoman"/>
      <w:start w:val="2"/>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o"/>
      <w:numFmt w:val="bullet"/>
      <w:start w:val="1"/>
    </w:lvl>
  </w:abstractNum>
  <w:abstractNum w:abstractNumId="9">
    <w:nsid w:val="2463B9EA"/>
    <w:multiLevelType w:val="hybridMultilevel"/>
    <w:lvl w:ilvl="0">
      <w:lvlJc w:val="left"/>
      <w:lvlText w:val="o"/>
      <w:numFmt w:val="bullet"/>
      <w:start w:val="1"/>
    </w:lvl>
  </w:abstractNum>
  <w:abstractNum w:abstractNumId="10">
    <w:nsid w:val="5E884ADC"/>
    <w:multiLevelType w:val="hybridMultilevel"/>
    <w:lvl w:ilvl="0">
      <w:lvlJc w:val="left"/>
      <w:lvlText w:val="o"/>
      <w:numFmt w:val="bullet"/>
      <w:start w:val="1"/>
    </w:lvl>
  </w:abstractNum>
  <w:abstractNum w:abstractNumId="11">
    <w:nsid w:val="51EAD36B"/>
    <w:multiLevelType w:val="hybridMultilevel"/>
    <w:lvl w:ilvl="0">
      <w:lvlJc w:val="left"/>
      <w:lvlText w:val="1"/>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2"/>
    </w:lvl>
    <w:lvl w:ilvl="1">
      <w:lvlJc w:val="left"/>
      <w:lvlText w:val="•"/>
      <w:numFmt w:val="bullet"/>
      <w:start w:val="1"/>
    </w:lvl>
  </w:abstractNum>
  <w:abstractNum w:abstractNumId="22">
    <w:nsid w:val="57E4CCAF"/>
    <w:multiLevelType w:val="hybridMultilevel"/>
    <w:lvl w:ilvl="0">
      <w:lvlJc w:val="left"/>
      <w:lvlText w:val="%1)"/>
      <w:numFmt w:val="lowerRoman"/>
      <w:start w:val="2"/>
    </w:lvl>
  </w:abstractNum>
  <w:abstractNum w:abstractNumId="23">
    <w:nsid w:val="7A6D8D3C"/>
    <w:multiLevelType w:val="hybridMultilevel"/>
    <w:lvl w:ilvl="0">
      <w:lvlJc w:val="left"/>
      <w:lvlText w:val="%1."/>
      <w:numFmt w:val="decimal"/>
      <w:start w:val="4"/>
    </w:lvl>
  </w:abstractNum>
  <w:abstractNum w:abstractNumId="24">
    <w:nsid w:val="4B588F54"/>
    <w:multiLevelType w:val="hybridMultilevel"/>
    <w:lvl w:ilvl="0">
      <w:lvlJc w:val="left"/>
      <w:lvlText w:val="%1."/>
      <w:numFmt w:val="decimal"/>
      <w:start w:val="4"/>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decimal"/>
    </w:lvl>
    <w:lvl w:ilvl="1">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3"/>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6"/>
    </w:lvl>
    <w:lvl w:ilvl="1">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7"/>
    </w:lvl>
    <w:lvl w:ilvl="1">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
      <w:numFmt w:val="bullet"/>
      <w:start w:val="1"/>
    </w:lvl>
    <w:lvl w:ilvl="1">
      <w:lvlJc w:val="left"/>
      <w:lvlText w:val="•"/>
      <w:numFmt w:val="bullet"/>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Roman"/>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2025-08-18T12:16:16Z</dcterms:created>
  <dcterms:modified xsi:type="dcterms:W3CDTF">2025-08-18T12:16:16Z</dcterms:modified>
</cp:coreProperties>
</file>