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65.jpeg" ContentType="image/jpeg"/>
  <Override PartName="/word/media/image93.jpeg" ContentType="image/jpeg"/>
  <Override PartName="/word/media/image66.jpeg" ContentType="image/jpeg"/>
  <Override PartName="/word/media/image94.jpeg" ContentType="image/jpeg"/>
  <Override PartName="/word/media/image123.jpeg" ContentType="image/jpeg"/>
  <Override PartName="/word/media/image67.jpeg" ContentType="image/jpeg"/>
  <Override PartName="/word/media/image92.jpeg" ContentType="image/jpeg"/>
  <Override PartName="/word/media/image112.jpeg" ContentType="image/jpeg"/>
  <Override PartName="/word/media/image95.jpeg" ContentType="image/jpeg"/>
  <Override PartName="/word/media/image122.jpeg" ContentType="image/jpeg"/>
  <Override PartName="/word/media/image121.jpeg" ContentType="image/jpeg"/>
  <Override PartName="/word/media/image11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111.jpeg" ContentType="image/jpeg"/>
  <Override PartName="/word/media/image91.jpeg" ContentType="image/jpeg"/>
  <Override PartName="/word/media/image64.jpeg" ContentType="image/jpeg"/>
  <Override PartName="/word/media/image68.jpeg" ContentType="image/jpeg"/>
  <Override PartName="/word/media/image110.jpeg" ContentType="image/jpeg"/>
  <Override PartName="/word/media/image90.jpeg" ContentType="image/jpeg"/>
  <Override PartName="/word/media/image63.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f20080305_6k.htm"/>
      <w:bookmarkStart w:id="1" w:name="ksef20080305_6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 under the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001-14014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CREDICORP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 our subsidiary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Banco de Credito del Peru:</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Calle Centenario 156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 Molina 15026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Lima, Peru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rFonts w:ascii="Times New Roman;Times;Serif" w:hAnsi="Times New Roman;Times;Serif"/>
          <w:b w:val="false"/>
          <w:i w:val="false"/>
          <w:caps w:val="false"/>
          <w:smallCaps w:val="false"/>
          <w:sz w:val="20"/>
        </w:rPr>
        <w:t xml:space="preserve">The information in this Form 6-K (including any </w:t>
      </w:r>
      <w:hyperlink w:anchor="ef20080305_ex99-1.htm">
        <w:r>
          <w:rPr>
            <w:rStyle w:val="InternetLink"/>
            <w:rFonts w:ascii="Times New Roman;Times;Serif" w:hAnsi="Times New Roman;Times;Serif"/>
            <w:b w:val="false"/>
            <w:i w:val="false"/>
            <w:caps w:val="false"/>
            <w:smallCaps w:val="false"/>
            <w:sz w:val="20"/>
          </w:rPr>
          <w:t>exhibit</w:t>
        </w:r>
      </w:hyperlink>
      <w:r>
        <w:rPr>
          <w:rFonts w:ascii="Times New Roman;Times;Serif" w:hAnsi="Times New Roman;Times;Serif"/>
          <w:b w:val="false"/>
          <w:i w:val="false"/>
          <w:caps w:val="false"/>
          <w:smallCaps w:val="false"/>
          <w:sz w:val="20"/>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9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594"/>
        <w:jc w:val="left"/>
        <w:rPr>
          <w:caps w:val="false"/>
          <w:smallCaps w:val="false"/>
        </w:rPr>
      </w:pPr>
      <w:r>
        <w:rPr>
          <w:caps w:val="false"/>
          <w:smallCaps w:val="false"/>
        </w:rPr>
        <w:t> </w:t>
      </w:r>
    </w:p>
    <w:p>
      <w:pPr>
        <w:pStyle w:val="TextBody"/>
        <w:bidi w:val="0"/>
        <w:spacing w:before="0" w:after="0"/>
        <w:ind w:left="0" w:right="0" w:firstLine="59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firstLine="594"/>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320"/>
        <w:gridCol w:w="2270"/>
        <w:gridCol w:w="75"/>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CREDICORP LTD.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Milagros Cigüeñas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Milagros Cigüeñas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Authorized Representative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pPr>
      <w:r>
        <w:rPr/>
      </w:r>
    </w:p>
    <w:p>
      <w:pPr>
        <w:pStyle w:val="HorizontalLine"/>
        <w:pBdr>
          <w:bottom w:val="single" w:sz="12" w:space="0" w:color="808080"/>
        </w:pBdr>
        <w:bidi w:val="0"/>
        <w:jc w:val="left"/>
        <w:rPr/>
      </w:pPr>
      <w:r>
        <w:rPr/>
      </w:r>
    </w:p>
    <w:p>
      <w:pPr>
        <w:pStyle w:val="TextBody"/>
        <w:bidi w:val="0"/>
        <w:jc w:val="left"/>
        <w:rPr>
          <w:caps w:val="false"/>
          <w:smallCaps w:val="false"/>
          <w:bdr w:val="single" w:sz="32" w:space="1" w:color="000000"/>
        </w:rPr>
      </w:pPr>
      <w:bookmarkStart w:id="2" w:name="ef20080305_ex99-1.htm"/>
      <w:bookmarkStart w:id="3" w:name="ksef20080305_ex991"/>
      <w:bookmarkEnd w:id="2"/>
      <w:bookmarkEnd w:id="3"/>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924800" cy="1109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24800" cy="1109662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AD2C7"/>
          <w:sz w:val="54"/>
        </w:rPr>
      </w:pPr>
      <w:r>
        <w:rPr>
          <w:rFonts w:ascii="Times New Roman;Times;Serif" w:hAnsi="Times New Roman;Times;Serif"/>
          <w:b/>
          <w:i w:val="false"/>
          <w:caps w:val="false"/>
          <w:smallCaps w:val="false"/>
          <w:color w:val="2AD2C7"/>
          <w:sz w:val="54"/>
        </w:rPr>
        <w:t>Table of Contents</w:t>
      </w:r>
    </w:p>
    <w:p>
      <w:pPr>
        <w:pStyle w:val="TextBody"/>
        <w:bidi w:val="0"/>
        <w:spacing w:before="0" w:after="0"/>
        <w:ind w:left="0" w:right="0" w:hanging="0"/>
        <w:jc w:val="left"/>
        <w:rPr>
          <w:caps w:val="false"/>
          <w:smallCaps w:val="false"/>
          <w:color w:val="2AD2C7"/>
        </w:rPr>
      </w:pPr>
      <w:r>
        <w:rPr>
          <w:caps w:val="false"/>
          <w:smallCaps w:val="false"/>
          <w:color w:val="2AD2C7"/>
        </w:rPr>
        <w:t> </w:t>
      </w:r>
    </w:p>
    <w:tbl>
      <w:tblPr>
        <w:tblW w:w="4180" w:type="dxa"/>
        <w:jc w:val="left"/>
        <w:tblInd w:w="0" w:type="dxa"/>
        <w:tblLayout w:type="fixed"/>
        <w:tblCellMar>
          <w:top w:w="0" w:type="dxa"/>
          <w:left w:w="0" w:type="dxa"/>
          <w:bottom w:w="0" w:type="dxa"/>
          <w:right w:w="0" w:type="dxa"/>
        </w:tblCellMar>
      </w:tblPr>
      <w:tblGrid>
        <w:gridCol w:w="240"/>
        <w:gridCol w:w="3665"/>
        <w:gridCol w:w="275"/>
      </w:tblGrid>
      <w:tr>
        <w:trPr/>
        <w:tc>
          <w:tcPr>
            <w:tcW w:w="24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 cy="142875"/>
                          </a:xfrm>
                          <a:prstGeom prst="rect">
                            <a:avLst/>
                          </a:prstGeom>
                        </pic:spPr>
                      </pic:pic>
                    </a:graphicData>
                  </a:graphic>
                </wp:inline>
              </w:drawing>
            </w:r>
          </w:p>
        </w:tc>
        <w:tc>
          <w:tcPr>
            <w:tcW w:w="3665" w:type="dxa"/>
            <w:tcBorders/>
            <w:vAlign w:val="center"/>
          </w:tcPr>
          <w:p>
            <w:pPr>
              <w:pStyle w:val="TableContents"/>
              <w:bidi w:val="0"/>
              <w:spacing w:before="0" w:after="283"/>
              <w:jc w:val="left"/>
              <w:rPr>
                <w:rFonts w:ascii="Times New Roman;Times;Serif" w:hAnsi="Times New Roman;Times;Serif"/>
                <w:b/>
                <w:color w:val="A6A6A6"/>
                <w:sz w:val="24"/>
              </w:rPr>
            </w:pPr>
            <w:r>
              <w:rPr>
                <w:rFonts w:ascii="Times New Roman;Times;Serif" w:hAnsi="Times New Roman;Times;Serif"/>
                <w:b/>
                <w:color w:val="A6A6A6"/>
                <w:sz w:val="24"/>
              </w:rPr>
              <w:t xml:space="preserve">Operating and Financial Highlights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03</w:t>
            </w:r>
          </w:p>
        </w:tc>
      </w:tr>
    </w:tbl>
    <w:p>
      <w:pPr>
        <w:pStyle w:val="TextBody"/>
        <w:bidi w:val="0"/>
        <w:spacing w:before="0" w:after="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40"/>
        <w:gridCol w:w="2840"/>
        <w:gridCol w:w="275"/>
      </w:tblGrid>
      <w:tr>
        <w:trPr/>
        <w:tc>
          <w:tcPr>
            <w:tcW w:w="24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 cy="142875"/>
                          </a:xfrm>
                          <a:prstGeom prst="rect">
                            <a:avLst/>
                          </a:prstGeom>
                        </pic:spPr>
                      </pic:pic>
                    </a:graphicData>
                  </a:graphic>
                </wp:inline>
              </w:drawing>
            </w:r>
          </w:p>
        </w:tc>
        <w:tc>
          <w:tcPr>
            <w:tcW w:w="2840" w:type="dxa"/>
            <w:tcBorders/>
            <w:vAlign w:val="center"/>
          </w:tcPr>
          <w:p>
            <w:pPr>
              <w:pStyle w:val="TableContents"/>
              <w:bidi w:val="0"/>
              <w:spacing w:before="0" w:after="283"/>
              <w:jc w:val="left"/>
              <w:rPr>
                <w:rFonts w:ascii="Times New Roman;Times;Serif" w:hAnsi="Times New Roman;Times;Serif"/>
                <w:b/>
                <w:color w:val="A6A6A6"/>
                <w:sz w:val="24"/>
              </w:rPr>
            </w:pPr>
            <w:r>
              <w:rPr>
                <w:rFonts w:ascii="Times New Roman;Times;Serif" w:hAnsi="Times New Roman;Times;Serif"/>
                <w:b/>
                <w:color w:val="A6A6A6"/>
                <w:sz w:val="24"/>
              </w:rPr>
              <w:t>Senior Management Quotes</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04</w:t>
            </w:r>
          </w:p>
        </w:tc>
      </w:tr>
    </w:tbl>
    <w:p>
      <w:pPr>
        <w:pStyle w:val="TextBody"/>
        <w:bidi w:val="0"/>
        <w:spacing w:before="0" w:after="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40"/>
        <w:gridCol w:w="4940"/>
        <w:gridCol w:w="275"/>
      </w:tblGrid>
      <w:tr>
        <w:trPr/>
        <w:tc>
          <w:tcPr>
            <w:tcW w:w="240"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 cy="142875"/>
                          </a:xfrm>
                          <a:prstGeom prst="rect">
                            <a:avLst/>
                          </a:prstGeom>
                        </pic:spPr>
                      </pic:pic>
                    </a:graphicData>
                  </a:graphic>
                </wp:inline>
              </w:drawing>
            </w:r>
          </w:p>
        </w:tc>
        <w:tc>
          <w:tcPr>
            <w:tcW w:w="4940" w:type="dxa"/>
            <w:tcBorders/>
            <w:vAlign w:val="center"/>
          </w:tcPr>
          <w:p>
            <w:pPr>
              <w:pStyle w:val="TableContents"/>
              <w:bidi w:val="0"/>
              <w:spacing w:before="0" w:after="283"/>
              <w:jc w:val="left"/>
              <w:rPr>
                <w:rFonts w:ascii="Times New Roman;Times;Serif" w:hAnsi="Times New Roman;Times;Serif"/>
                <w:b/>
                <w:color w:val="A6A6A6"/>
                <w:sz w:val="24"/>
              </w:rPr>
            </w:pPr>
            <w:r>
              <w:rPr>
                <w:rFonts w:ascii="Times New Roman;Times;Serif" w:hAnsi="Times New Roman;Times;Serif"/>
                <w:b/>
                <w:color w:val="A6A6A6"/>
                <w:sz w:val="24"/>
              </w:rPr>
              <w:t xml:space="preserve">Second Quarter 2026 Earnings Conference Call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05</w:t>
            </w:r>
          </w:p>
        </w:tc>
      </w:tr>
    </w:tbl>
    <w:p>
      <w:pPr>
        <w:pStyle w:val="TextBody"/>
        <w:bidi w:val="0"/>
        <w:spacing w:before="0" w:after="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240"/>
        <w:gridCol w:w="5060"/>
        <w:gridCol w:w="275"/>
      </w:tblGrid>
      <w:tr>
        <w:trPr/>
        <w:tc>
          <w:tcPr>
            <w:tcW w:w="240"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 cy="142875"/>
                          </a:xfrm>
                          <a:prstGeom prst="rect">
                            <a:avLst/>
                          </a:prstGeom>
                        </pic:spPr>
                      </pic:pic>
                    </a:graphicData>
                  </a:graphic>
                </wp:inline>
              </w:drawing>
            </w:r>
          </w:p>
        </w:tc>
        <w:tc>
          <w:tcPr>
            <w:tcW w:w="5060" w:type="dxa"/>
            <w:tcBorders/>
            <w:vAlign w:val="center"/>
          </w:tcPr>
          <w:p>
            <w:pPr>
              <w:pStyle w:val="TableContents"/>
              <w:bidi w:val="0"/>
              <w:spacing w:before="0" w:after="283"/>
              <w:jc w:val="left"/>
              <w:rPr>
                <w:rFonts w:ascii="Times New Roman;Times;Serif" w:hAnsi="Times New Roman;Times;Serif"/>
                <w:b/>
                <w:color w:val="A6A6A6"/>
                <w:sz w:val="24"/>
              </w:rPr>
            </w:pPr>
            <w:r>
              <w:rPr>
                <w:rFonts w:ascii="Times New Roman;Times;Serif" w:hAnsi="Times New Roman;Times;Serif"/>
                <w:b/>
                <w:color w:val="A6A6A6"/>
                <w:sz w:val="24"/>
              </w:rPr>
              <w:t xml:space="preserve">Summary of Financial Performance and Outlook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06</w:t>
            </w:r>
          </w:p>
        </w:tc>
      </w:tr>
    </w:tbl>
    <w:p>
      <w:pPr>
        <w:pStyle w:val="TextBody"/>
        <w:bidi w:val="0"/>
        <w:spacing w:before="0" w:after="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40"/>
        <w:gridCol w:w="2060"/>
        <w:gridCol w:w="275"/>
      </w:tblGrid>
      <w:tr>
        <w:trPr/>
        <w:tc>
          <w:tcPr>
            <w:tcW w:w="24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 cy="142875"/>
                          </a:xfrm>
                          <a:prstGeom prst="rect">
                            <a:avLst/>
                          </a:prstGeom>
                        </pic:spPr>
                      </pic:pic>
                    </a:graphicData>
                  </a:graphic>
                </wp:inline>
              </w:drawing>
            </w:r>
          </w:p>
        </w:tc>
        <w:tc>
          <w:tcPr>
            <w:tcW w:w="2060" w:type="dxa"/>
            <w:tcBorders/>
            <w:vAlign w:val="center"/>
          </w:tcPr>
          <w:p>
            <w:pPr>
              <w:pStyle w:val="TableContents"/>
              <w:bidi w:val="0"/>
              <w:spacing w:before="0" w:after="283"/>
              <w:jc w:val="left"/>
              <w:rPr>
                <w:rFonts w:ascii="Times New Roman;Times;Serif" w:hAnsi="Times New Roman;Times;Serif"/>
                <w:b/>
                <w:color w:val="A6A6A6"/>
                <w:sz w:val="24"/>
              </w:rPr>
            </w:pPr>
            <w:r>
              <w:rPr>
                <w:rFonts w:ascii="Times New Roman;Times;Serif" w:hAnsi="Times New Roman;Times;Serif"/>
                <w:b/>
                <w:color w:val="A6A6A6"/>
                <w:sz w:val="24"/>
              </w:rPr>
              <w:t xml:space="preserve">Financial Overview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11</w:t>
            </w:r>
          </w:p>
        </w:tc>
      </w:tr>
    </w:tbl>
    <w:p>
      <w:pPr>
        <w:pStyle w:val="TextBody"/>
        <w:bidi w:val="0"/>
        <w:spacing w:before="0" w:after="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40"/>
        <w:gridCol w:w="3020"/>
        <w:gridCol w:w="275"/>
      </w:tblGrid>
      <w:tr>
        <w:trPr/>
        <w:tc>
          <w:tcPr>
            <w:tcW w:w="24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2875" cy="142875"/>
                          </a:xfrm>
                          <a:prstGeom prst="rect">
                            <a:avLst/>
                          </a:prstGeom>
                        </pic:spPr>
                      </pic:pic>
                    </a:graphicData>
                  </a:graphic>
                </wp:inline>
              </w:drawing>
            </w:r>
          </w:p>
        </w:tc>
        <w:tc>
          <w:tcPr>
            <w:tcW w:w="3020" w:type="dxa"/>
            <w:tcBorders/>
            <w:vAlign w:val="center"/>
          </w:tcPr>
          <w:p>
            <w:pPr>
              <w:pStyle w:val="TableContents"/>
              <w:bidi w:val="0"/>
              <w:spacing w:before="0" w:after="283"/>
              <w:jc w:val="left"/>
              <w:rPr>
                <w:rFonts w:ascii="Times New Roman;Times;Serif" w:hAnsi="Times New Roman;Times;Serif"/>
                <w:b/>
                <w:color w:val="A6A6A6"/>
                <w:sz w:val="24"/>
              </w:rPr>
            </w:pPr>
            <w:r>
              <w:rPr>
                <w:rFonts w:ascii="Times New Roman;Times;Serif" w:hAnsi="Times New Roman;Times;Serif"/>
                <w:b/>
                <w:color w:val="A6A6A6"/>
                <w:sz w:val="24"/>
              </w:rPr>
              <w:t xml:space="preserve">Credicorp’s Strategy Update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12</w:t>
            </w:r>
          </w:p>
        </w:tc>
      </w:tr>
    </w:tbl>
    <w:p>
      <w:pPr>
        <w:pStyle w:val="TextBody"/>
        <w:bidi w:val="0"/>
        <w:spacing w:before="0" w:after="0"/>
        <w:jc w:val="left"/>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240"/>
        <w:gridCol w:w="3920"/>
        <w:gridCol w:w="75"/>
      </w:tblGrid>
      <w:tr>
        <w:trPr/>
        <w:tc>
          <w:tcPr>
            <w:tcW w:w="24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2875" cy="142875"/>
                          </a:xfrm>
                          <a:prstGeom prst="rect">
                            <a:avLst/>
                          </a:prstGeom>
                        </pic:spPr>
                      </pic:pic>
                    </a:graphicData>
                  </a:graphic>
                </wp:inline>
              </w:drawing>
            </w:r>
          </w:p>
        </w:tc>
        <w:tc>
          <w:tcPr>
            <w:tcW w:w="3920" w:type="dxa"/>
            <w:tcBorders/>
            <w:vAlign w:val="center"/>
          </w:tcPr>
          <w:p>
            <w:pPr>
              <w:pStyle w:val="TableContents"/>
              <w:bidi w:val="0"/>
              <w:spacing w:before="0" w:after="283"/>
              <w:jc w:val="left"/>
              <w:rPr>
                <w:rFonts w:ascii="Times New Roman;Times;Serif" w:hAnsi="Times New Roman;Times;Serif"/>
                <w:b/>
                <w:color w:val="A6A6A6"/>
                <w:sz w:val="24"/>
              </w:rPr>
            </w:pPr>
            <w:r>
              <w:rPr>
                <w:rFonts w:ascii="Times New Roman;Times;Serif" w:hAnsi="Times New Roman;Times;Serif"/>
                <w:b/>
                <w:color w:val="A6A6A6"/>
                <w:sz w:val="24"/>
              </w:rPr>
              <w:t>Analysis of 2Q26 Consolidated Results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2273" w:type="dxa"/>
        <w:jc w:val="left"/>
        <w:tblInd w:w="0" w:type="dxa"/>
        <w:tblLayout w:type="fixed"/>
        <w:tblCellMar>
          <w:top w:w="0" w:type="dxa"/>
          <w:left w:w="0" w:type="dxa"/>
          <w:bottom w:w="0" w:type="dxa"/>
          <w:right w:w="0" w:type="dxa"/>
        </w:tblCellMar>
      </w:tblPr>
      <w:tblGrid>
        <w:gridCol w:w="38"/>
        <w:gridCol w:w="500"/>
        <w:gridCol w:w="14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01</w:t>
            </w:r>
          </w:p>
        </w:tc>
        <w:tc>
          <w:tcPr>
            <w:tcW w:w="1460"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 xml:space="preserve">Loan Portfolio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16</w:t>
            </w:r>
          </w:p>
        </w:tc>
      </w:tr>
    </w:tbl>
    <w:p>
      <w:pPr>
        <w:pStyle w:val="TextBody"/>
        <w:bidi w:val="0"/>
        <w:spacing w:before="0" w:after="0"/>
        <w:jc w:val="left"/>
        <w:rPr>
          <w:caps w:val="false"/>
          <w:smallCaps w:val="false"/>
        </w:rPr>
      </w:pPr>
      <w:r>
        <w:rPr>
          <w:caps w:val="false"/>
          <w:smallCaps w:val="false"/>
        </w:rPr>
        <w:t> </w:t>
      </w:r>
    </w:p>
    <w:tbl>
      <w:tblPr>
        <w:tblW w:w="1718" w:type="dxa"/>
        <w:jc w:val="left"/>
        <w:tblInd w:w="0" w:type="dxa"/>
        <w:tblLayout w:type="fixed"/>
        <w:tblCellMar>
          <w:top w:w="0" w:type="dxa"/>
          <w:left w:w="0" w:type="dxa"/>
          <w:bottom w:w="0" w:type="dxa"/>
          <w:right w:w="0" w:type="dxa"/>
        </w:tblCellMar>
      </w:tblPr>
      <w:tblGrid>
        <w:gridCol w:w="38"/>
        <w:gridCol w:w="500"/>
        <w:gridCol w:w="90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02</w:t>
            </w:r>
          </w:p>
        </w:tc>
        <w:tc>
          <w:tcPr>
            <w:tcW w:w="905"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 xml:space="preserve">Deposits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19</w:t>
            </w:r>
          </w:p>
        </w:tc>
      </w:tr>
    </w:tbl>
    <w:p>
      <w:pPr>
        <w:pStyle w:val="TextBody"/>
        <w:bidi w:val="0"/>
        <w:spacing w:before="0" w:after="0"/>
        <w:jc w:val="left"/>
        <w:rPr>
          <w:caps w:val="false"/>
          <w:smallCaps w:val="false"/>
        </w:rPr>
      </w:pPr>
      <w:r>
        <w:rPr>
          <w:caps w:val="false"/>
          <w:smallCaps w:val="false"/>
        </w:rPr>
        <w:t> </w:t>
      </w:r>
    </w:p>
    <w:tbl>
      <w:tblPr>
        <w:tblW w:w="4328" w:type="dxa"/>
        <w:jc w:val="left"/>
        <w:tblInd w:w="0" w:type="dxa"/>
        <w:tblLayout w:type="fixed"/>
        <w:tblCellMar>
          <w:top w:w="0" w:type="dxa"/>
          <w:left w:w="0" w:type="dxa"/>
          <w:bottom w:w="0" w:type="dxa"/>
          <w:right w:w="0" w:type="dxa"/>
        </w:tblCellMar>
      </w:tblPr>
      <w:tblGrid>
        <w:gridCol w:w="38"/>
        <w:gridCol w:w="500"/>
        <w:gridCol w:w="351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03</w:t>
            </w:r>
          </w:p>
        </w:tc>
        <w:tc>
          <w:tcPr>
            <w:tcW w:w="3515"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 xml:space="preserve">Interest Earning Assets and Funding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22</w:t>
            </w:r>
          </w:p>
        </w:tc>
      </w:tr>
    </w:tbl>
    <w:p>
      <w:pPr>
        <w:pStyle w:val="TextBody"/>
        <w:bidi w:val="0"/>
        <w:spacing w:before="0" w:after="0"/>
        <w:jc w:val="left"/>
        <w:rPr>
          <w:caps w:val="false"/>
          <w:smallCaps w:val="false"/>
        </w:rPr>
      </w:pPr>
      <w:r>
        <w:rPr>
          <w:caps w:val="false"/>
          <w:smallCaps w:val="false"/>
        </w:rPr>
        <w:t> </w:t>
      </w:r>
    </w:p>
    <w:tbl>
      <w:tblPr>
        <w:tblW w:w="3293" w:type="dxa"/>
        <w:jc w:val="left"/>
        <w:tblInd w:w="0" w:type="dxa"/>
        <w:tblLayout w:type="fixed"/>
        <w:tblCellMar>
          <w:top w:w="0" w:type="dxa"/>
          <w:left w:w="0" w:type="dxa"/>
          <w:bottom w:w="0" w:type="dxa"/>
          <w:right w:w="0" w:type="dxa"/>
        </w:tblCellMar>
      </w:tblPr>
      <w:tblGrid>
        <w:gridCol w:w="38"/>
        <w:gridCol w:w="500"/>
        <w:gridCol w:w="248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04</w:t>
            </w:r>
          </w:p>
        </w:tc>
        <w:tc>
          <w:tcPr>
            <w:tcW w:w="2480"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 xml:space="preserve">Net Interest Income (NII)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23</w:t>
            </w:r>
          </w:p>
        </w:tc>
      </w:tr>
    </w:tbl>
    <w:p>
      <w:pPr>
        <w:pStyle w:val="TextBody"/>
        <w:bidi w:val="0"/>
        <w:spacing w:before="0" w:after="0"/>
        <w:jc w:val="left"/>
        <w:rPr>
          <w:caps w:val="false"/>
          <w:smallCaps w:val="false"/>
        </w:rPr>
      </w:pPr>
      <w:r>
        <w:rPr>
          <w:caps w:val="false"/>
          <w:smallCaps w:val="false"/>
        </w:rPr>
        <w:t> </w:t>
      </w:r>
    </w:p>
    <w:tbl>
      <w:tblPr>
        <w:tblW w:w="3938" w:type="dxa"/>
        <w:jc w:val="left"/>
        <w:tblInd w:w="0" w:type="dxa"/>
        <w:tblLayout w:type="fixed"/>
        <w:tblCellMar>
          <w:top w:w="0" w:type="dxa"/>
          <w:left w:w="0" w:type="dxa"/>
          <w:bottom w:w="0" w:type="dxa"/>
          <w:right w:w="0" w:type="dxa"/>
        </w:tblCellMar>
      </w:tblPr>
      <w:tblGrid>
        <w:gridCol w:w="38"/>
        <w:gridCol w:w="500"/>
        <w:gridCol w:w="312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05</w:t>
            </w:r>
          </w:p>
        </w:tc>
        <w:tc>
          <w:tcPr>
            <w:tcW w:w="3125"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 xml:space="preserve">Portfolio Quality and Provisions </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26</w:t>
            </w:r>
          </w:p>
        </w:tc>
      </w:tr>
    </w:tbl>
    <w:p>
      <w:pPr>
        <w:pStyle w:val="TextBody"/>
        <w:bidi w:val="0"/>
        <w:spacing w:before="0" w:after="0"/>
        <w:jc w:val="left"/>
        <w:rPr>
          <w:caps w:val="false"/>
          <w:smallCaps w:val="false"/>
        </w:rPr>
      </w:pPr>
      <w:r>
        <w:rPr>
          <w:caps w:val="false"/>
          <w:smallCaps w:val="false"/>
        </w:rPr>
        <w:t> </w:t>
      </w:r>
    </w:p>
    <w:tbl>
      <w:tblPr>
        <w:tblW w:w="2138" w:type="dxa"/>
        <w:jc w:val="left"/>
        <w:tblInd w:w="0" w:type="dxa"/>
        <w:tblLayout w:type="fixed"/>
        <w:tblCellMar>
          <w:top w:w="0" w:type="dxa"/>
          <w:left w:w="0" w:type="dxa"/>
          <w:bottom w:w="0" w:type="dxa"/>
          <w:right w:w="0" w:type="dxa"/>
        </w:tblCellMar>
      </w:tblPr>
      <w:tblGrid>
        <w:gridCol w:w="38"/>
        <w:gridCol w:w="500"/>
        <w:gridCol w:w="132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06</w:t>
            </w:r>
          </w:p>
        </w:tc>
        <w:tc>
          <w:tcPr>
            <w:tcW w:w="1325"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Other Income</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30</w:t>
            </w:r>
          </w:p>
        </w:tc>
      </w:tr>
    </w:tbl>
    <w:p>
      <w:pPr>
        <w:pStyle w:val="TextBody"/>
        <w:bidi w:val="0"/>
        <w:spacing w:before="0" w:after="0"/>
        <w:jc w:val="left"/>
        <w:rPr>
          <w:caps w:val="false"/>
          <w:smallCaps w:val="false"/>
        </w:rPr>
      </w:pPr>
      <w:r>
        <w:rPr>
          <w:caps w:val="false"/>
          <w:smallCaps w:val="false"/>
        </w:rPr>
        <w:t> </w:t>
      </w:r>
    </w:p>
    <w:tbl>
      <w:tblPr>
        <w:tblW w:w="6248" w:type="dxa"/>
        <w:jc w:val="left"/>
        <w:tblInd w:w="0" w:type="dxa"/>
        <w:tblLayout w:type="fixed"/>
        <w:tblCellMar>
          <w:top w:w="0" w:type="dxa"/>
          <w:left w:w="0" w:type="dxa"/>
          <w:bottom w:w="0" w:type="dxa"/>
          <w:right w:w="0" w:type="dxa"/>
        </w:tblCellMar>
      </w:tblPr>
      <w:tblGrid>
        <w:gridCol w:w="38"/>
        <w:gridCol w:w="500"/>
        <w:gridCol w:w="543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07</w:t>
            </w:r>
          </w:p>
        </w:tc>
        <w:tc>
          <w:tcPr>
            <w:tcW w:w="5435"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Insurance Underwriting Results and for Medical Services</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33</w:t>
            </w:r>
          </w:p>
        </w:tc>
      </w:tr>
    </w:tbl>
    <w:p>
      <w:pPr>
        <w:pStyle w:val="TextBody"/>
        <w:bidi w:val="0"/>
        <w:spacing w:before="0" w:after="0"/>
        <w:jc w:val="left"/>
        <w:rPr>
          <w:caps w:val="false"/>
          <w:smallCaps w:val="false"/>
        </w:rPr>
      </w:pPr>
      <w:r>
        <w:rPr>
          <w:caps w:val="false"/>
          <w:smallCaps w:val="false"/>
        </w:rPr>
        <w:t> </w:t>
      </w:r>
    </w:p>
    <w:tbl>
      <w:tblPr>
        <w:tblW w:w="2738" w:type="dxa"/>
        <w:jc w:val="left"/>
        <w:tblInd w:w="0" w:type="dxa"/>
        <w:tblLayout w:type="fixed"/>
        <w:tblCellMar>
          <w:top w:w="0" w:type="dxa"/>
          <w:left w:w="0" w:type="dxa"/>
          <w:bottom w:w="0" w:type="dxa"/>
          <w:right w:w="0" w:type="dxa"/>
        </w:tblCellMar>
      </w:tblPr>
      <w:tblGrid>
        <w:gridCol w:w="38"/>
        <w:gridCol w:w="500"/>
        <w:gridCol w:w="192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08</w:t>
            </w:r>
          </w:p>
        </w:tc>
        <w:tc>
          <w:tcPr>
            <w:tcW w:w="1925"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Operating Expenses</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36</w:t>
            </w:r>
          </w:p>
        </w:tc>
      </w:tr>
    </w:tbl>
    <w:p>
      <w:pPr>
        <w:pStyle w:val="TextBody"/>
        <w:bidi w:val="0"/>
        <w:spacing w:before="0" w:after="0"/>
        <w:jc w:val="left"/>
        <w:rPr>
          <w:caps w:val="false"/>
          <w:smallCaps w:val="false"/>
        </w:rPr>
      </w:pPr>
      <w:r>
        <w:rPr>
          <w:caps w:val="false"/>
          <w:smallCaps w:val="false"/>
        </w:rPr>
        <w:t> </w:t>
      </w:r>
    </w:p>
    <w:tbl>
      <w:tblPr>
        <w:tblW w:w="2813" w:type="dxa"/>
        <w:jc w:val="left"/>
        <w:tblInd w:w="0" w:type="dxa"/>
        <w:tblLayout w:type="fixed"/>
        <w:tblCellMar>
          <w:top w:w="0" w:type="dxa"/>
          <w:left w:w="0" w:type="dxa"/>
          <w:bottom w:w="0" w:type="dxa"/>
          <w:right w:w="0" w:type="dxa"/>
        </w:tblCellMar>
      </w:tblPr>
      <w:tblGrid>
        <w:gridCol w:w="38"/>
        <w:gridCol w:w="500"/>
        <w:gridCol w:w="200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09</w:t>
            </w:r>
          </w:p>
        </w:tc>
        <w:tc>
          <w:tcPr>
            <w:tcW w:w="2000"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Operating Efficiency</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38</w:t>
            </w:r>
          </w:p>
        </w:tc>
      </w:tr>
    </w:tbl>
    <w:p>
      <w:pPr>
        <w:pStyle w:val="TextBody"/>
        <w:bidi w:val="0"/>
        <w:spacing w:before="0" w:after="0"/>
        <w:jc w:val="left"/>
        <w:rPr>
          <w:caps w:val="false"/>
          <w:smallCaps w:val="false"/>
        </w:rPr>
      </w:pPr>
      <w:r>
        <w:rPr>
          <w:caps w:val="false"/>
          <w:smallCaps w:val="false"/>
        </w:rPr>
        <w:t> </w:t>
      </w:r>
    </w:p>
    <w:tbl>
      <w:tblPr>
        <w:tblW w:w="2618" w:type="dxa"/>
        <w:jc w:val="left"/>
        <w:tblInd w:w="0" w:type="dxa"/>
        <w:tblLayout w:type="fixed"/>
        <w:tblCellMar>
          <w:top w:w="0" w:type="dxa"/>
          <w:left w:w="0" w:type="dxa"/>
          <w:bottom w:w="0" w:type="dxa"/>
          <w:right w:w="0" w:type="dxa"/>
        </w:tblCellMar>
      </w:tblPr>
      <w:tblGrid>
        <w:gridCol w:w="38"/>
        <w:gridCol w:w="500"/>
        <w:gridCol w:w="180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10</w:t>
            </w:r>
          </w:p>
        </w:tc>
        <w:tc>
          <w:tcPr>
            <w:tcW w:w="1805"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Regulatory Capital</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39</w:t>
            </w:r>
          </w:p>
        </w:tc>
      </w:tr>
    </w:tbl>
    <w:p>
      <w:pPr>
        <w:pStyle w:val="TextBody"/>
        <w:bidi w:val="0"/>
        <w:spacing w:before="0" w:after="0"/>
        <w:jc w:val="left"/>
        <w:rPr>
          <w:caps w:val="false"/>
          <w:smallCaps w:val="false"/>
        </w:rPr>
      </w:pPr>
      <w:r>
        <w:rPr>
          <w:caps w:val="false"/>
          <w:smallCaps w:val="false"/>
        </w:rPr>
        <w:t> </w:t>
      </w:r>
    </w:p>
    <w:tbl>
      <w:tblPr>
        <w:tblW w:w="2633" w:type="dxa"/>
        <w:jc w:val="left"/>
        <w:tblInd w:w="0" w:type="dxa"/>
        <w:tblLayout w:type="fixed"/>
        <w:tblCellMar>
          <w:top w:w="0" w:type="dxa"/>
          <w:left w:w="0" w:type="dxa"/>
          <w:bottom w:w="0" w:type="dxa"/>
          <w:right w:w="0" w:type="dxa"/>
        </w:tblCellMar>
      </w:tblPr>
      <w:tblGrid>
        <w:gridCol w:w="38"/>
        <w:gridCol w:w="500"/>
        <w:gridCol w:w="18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11</w:t>
            </w:r>
          </w:p>
        </w:tc>
        <w:tc>
          <w:tcPr>
            <w:tcW w:w="1820"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Economic Outlook</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41</w:t>
            </w:r>
          </w:p>
        </w:tc>
      </w:tr>
    </w:tbl>
    <w:p>
      <w:pPr>
        <w:pStyle w:val="TextBody"/>
        <w:bidi w:val="0"/>
        <w:spacing w:before="0" w:after="0"/>
        <w:jc w:val="left"/>
        <w:rPr>
          <w:caps w:val="false"/>
          <w:smallCaps w:val="false"/>
        </w:rPr>
      </w:pPr>
      <w:r>
        <w:rPr>
          <w:caps w:val="false"/>
          <w:smallCaps w:val="false"/>
        </w:rPr>
        <w:t> </w:t>
      </w:r>
    </w:p>
    <w:tbl>
      <w:tblPr>
        <w:tblW w:w="1778" w:type="dxa"/>
        <w:jc w:val="left"/>
        <w:tblInd w:w="0" w:type="dxa"/>
        <w:tblLayout w:type="fixed"/>
        <w:tblCellMar>
          <w:top w:w="0" w:type="dxa"/>
          <w:left w:w="0" w:type="dxa"/>
          <w:bottom w:w="0" w:type="dxa"/>
          <w:right w:w="0" w:type="dxa"/>
        </w:tblCellMar>
      </w:tblPr>
      <w:tblGrid>
        <w:gridCol w:w="38"/>
        <w:gridCol w:w="500"/>
        <w:gridCol w:w="965"/>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rFonts w:ascii="Times New Roman;Times;Serif" w:hAnsi="Times New Roman;Times;Serif"/>
                <w:b/>
                <w:color w:val="E93AAC"/>
                <w:sz w:val="48"/>
              </w:rPr>
            </w:pPr>
            <w:r>
              <w:rPr>
                <w:rFonts w:ascii="Times New Roman;Times;Serif" w:hAnsi="Times New Roman;Times;Serif"/>
                <w:b/>
                <w:color w:val="E93AAC"/>
                <w:sz w:val="48"/>
              </w:rPr>
              <w:t>12</w:t>
            </w:r>
          </w:p>
        </w:tc>
        <w:tc>
          <w:tcPr>
            <w:tcW w:w="965" w:type="dxa"/>
            <w:tcBorders/>
            <w:vAlign w:val="center"/>
          </w:tcPr>
          <w:p>
            <w:pPr>
              <w:pStyle w:val="TableContents"/>
              <w:bidi w:val="0"/>
              <w:spacing w:before="0" w:after="283"/>
              <w:jc w:val="left"/>
              <w:rPr>
                <w:rFonts w:ascii="Times New Roman;Times;Serif" w:hAnsi="Times New Roman;Times;Serif"/>
                <w:color w:val="E93AAC"/>
                <w:sz w:val="24"/>
              </w:rPr>
            </w:pPr>
            <w:r>
              <w:rPr>
                <w:rFonts w:ascii="Times New Roman;Times;Serif" w:hAnsi="Times New Roman;Times;Serif"/>
                <w:color w:val="E93AAC"/>
                <w:sz w:val="24"/>
              </w:rPr>
              <w:t>Appendix</w:t>
            </w:r>
          </w:p>
        </w:tc>
        <w:tc>
          <w:tcPr>
            <w:tcW w:w="275" w:type="dxa"/>
            <w:tcBorders/>
            <w:vAlign w:val="center"/>
          </w:tcPr>
          <w:p>
            <w:pPr>
              <w:pStyle w:val="TableContents"/>
              <w:bidi w:val="0"/>
              <w:spacing w:before="0" w:after="283"/>
              <w:jc w:val="right"/>
              <w:rPr>
                <w:rFonts w:ascii="Times New Roman;Times;Serif" w:hAnsi="Times New Roman;Times;Serif"/>
                <w:sz w:val="24"/>
              </w:rPr>
            </w:pPr>
            <w:r>
              <w:rPr>
                <w:rFonts w:ascii="Times New Roman;Times;Serif" w:hAnsi="Times New Roman;Times;Serif"/>
                <w:sz w:val="24"/>
              </w:rPr>
              <w:t>44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647700"/>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2AD2C8" w:val="clear"/>
            <w:vAlign w:val="center"/>
          </w:tcPr>
          <w:p>
            <w:pPr>
              <w:pStyle w:val="TableContents"/>
              <w:bidi w:val="0"/>
              <w:spacing w:before="0" w:after="283"/>
              <w:jc w:val="left"/>
              <w:rPr/>
            </w:pPr>
            <w:r>
              <w:rPr/>
              <w:t> </w:t>
            </w:r>
          </w:p>
        </w:tc>
        <w:tc>
          <w:tcPr>
            <w:tcW w:w="60" w:type="dxa"/>
            <w:tcBorders/>
            <w:shd w:fill="2AD2C8" w:val="clear"/>
            <w:vAlign w:val="center"/>
          </w:tcPr>
          <w:p>
            <w:pPr>
              <w:pStyle w:val="TableContents"/>
              <w:bidi w:val="0"/>
              <w:spacing w:before="0" w:after="283"/>
              <w:jc w:val="left"/>
              <w:rPr/>
            </w:pPr>
            <w:r>
              <w:rPr/>
              <w:t> </w:t>
            </w:r>
          </w:p>
        </w:tc>
        <w:tc>
          <w:tcPr>
            <w:tcW w:w="1940" w:type="dxa"/>
            <w:tcBorders/>
            <w:shd w:fill="2AD2C8" w:val="clear"/>
            <w:vAlign w:val="center"/>
          </w:tcPr>
          <w:p>
            <w:pPr>
              <w:pStyle w:val="TableContents"/>
              <w:bidi w:val="0"/>
              <w:spacing w:before="0" w:after="283"/>
              <w:jc w:val="left"/>
              <w:rPr/>
            </w:pPr>
            <w:r>
              <w:rPr/>
              <w:t> </w:t>
            </w:r>
          </w:p>
        </w:tc>
        <w:tc>
          <w:tcPr>
            <w:tcW w:w="2720" w:type="dxa"/>
            <w:tcBorders/>
            <w:shd w:fill="2AD2C8"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Credicorp Ltd. Reports Financial and Operating Results for 2Q26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2Q26 ROE of 20.3% supported by strong operating performance, accelerated loan growth and higher risk-adjusted revenues.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Medium-term ROE expectation increased to around 22.0% from prior ~19.5%; 2026 ROE Guidance Reconfirmed.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Loans up 13.1% YoY, led by BCP and Mibanco, while asset quality improved further, with NPL ratio at 4.1% and Cost of Risk at 1.9%, including additional El Niño-related provisions based on currently available information, equivalent to 27 bps.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Core income at a new quarterly high, while Risk-Adjusted NIM remained resilient at 5.5% supported by lower funding costs, healthy portfolio mix and disciplined pricing.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18"/>
        </w:rPr>
        <w:t>Innovation Portfolio contributed 9.9% of Credicorp</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18"/>
        </w:rPr>
        <w:t>s risk-adjusted revenues.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 xml:space="preserve">Lima, Peru – August 13, 2026 – Credicorp Ltd. (“Credicorp” or “the Company”) (NYSE: BAP | BVL: BAP), </w:t>
      </w:r>
      <w:r>
        <w:rPr>
          <w:rFonts w:ascii="Times New Roman;Times;Serif" w:hAnsi="Times New Roman;Times;Serif"/>
          <w:b w:val="false"/>
          <w:i w:val="false"/>
          <w:caps w:val="false"/>
          <w:smallCaps w:val="false"/>
          <w:sz w:val="18"/>
        </w:rPr>
        <w:t>the leading financial services holding company in Peru with a presence in Chile, Colombia, Bolivia, and Panama today reported its unaudited results for the three- and six-months ended June 30, 2026. Financial results are expressed in Soles and are presented in accordance with IFRS</w:t>
      </w:r>
      <w:r>
        <w:rPr>
          <w:rFonts w:ascii="Times New Roman;Times;Serif" w:hAnsi="Times New Roman;Times;Serif"/>
          <w:b w:val="false"/>
          <w:i w:val="false"/>
          <w:caps w:val="false"/>
          <w:smallCaps w:val="false"/>
          <w:color w:val="6EAC46"/>
          <w:sz w:val="18"/>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2Q26 OPERATING AND FINANCIAL HIGHLIGHTS</w:t>
      </w:r>
    </w:p>
    <w:p>
      <w:pPr>
        <w:pStyle w:val="TextBody"/>
        <w:bidi w:val="0"/>
        <w:spacing w:before="0" w:after="0"/>
        <w:ind w:left="17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Net Income</w:t>
            </w:r>
            <w:r>
              <w:rPr>
                <w:rFonts w:ascii="Times New Roman;Times;Serif" w:hAnsi="Times New Roman;Times;Serif"/>
                <w:sz w:val="18"/>
              </w:rPr>
              <w:t xml:space="preserve"> attributable to Credicorp reached S/1,981.9 million, up 8.8% YoY and down 3.9% QoQ, with ROE at 20.3%, reflecting strong operating momentum, accelerated loan growth and higher risk-adjusted revenues.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Total Loans</w:t>
            </w:r>
            <w:r>
              <w:rPr>
                <w:rFonts w:ascii="Times New Roman;Times;Serif" w:hAnsi="Times New Roman;Times;Serif"/>
                <w:sz w:val="18"/>
              </w:rPr>
              <w:t>, measured in quarter-end balances, increased 13.1% YoY (14.6% FX-neutral) and 4.3% QoQ (5.2% FX-neutral). YoY expansion was led by BCP’s Retail and Wholesale Banking, and continued growth at Mibanco. QoQ, growth was mainly driven by BCP’s Retail loans, mainly Consumer and SME-PYME, together with Wholesale Banking, and continued growth at Mibanco.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 xml:space="preserve">Total Deposits </w:t>
            </w:r>
            <w:r>
              <w:rPr>
                <w:rFonts w:ascii="Times New Roman;Times;Serif" w:hAnsi="Times New Roman;Times;Serif"/>
                <w:sz w:val="18"/>
              </w:rPr>
              <w:t>expanded by 17.7% YoY (19.7% FX-neutral) and 1.8% QoQ (2.9% FX-neutral). YoY growth was mainly driven by low-cost deposits, which rose 25.1% and represented 74.4% of total deposits and 62.4% of the funding base. Sequential growth reflected higher foreign-currency demand deposits at BCP Stand-alone, supported by an expanded transactional offering that attracted funds from institutional clients.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Net Interest Income (NII)</w:t>
            </w:r>
            <w:r>
              <w:rPr>
                <w:rFonts w:ascii="Times New Roman;Times;Serif" w:hAnsi="Times New Roman;Times;Serif"/>
                <w:sz w:val="18"/>
              </w:rPr>
              <w:t xml:space="preserve"> increased 13.3% YoY, supported by loan growth at BCP and Mibanco, together with lower funding costs. QoQ, NII increased 3.4%, primarily reflecting loan growth in BCP’s Retail Banking business and at Mibanco, partially offset by higher funding costs. </w:t>
            </w:r>
            <w:r>
              <w:rPr>
                <w:rFonts w:ascii="Times New Roman;Times;Serif" w:hAnsi="Times New Roman;Times;Serif"/>
                <w:b/>
                <w:sz w:val="18"/>
              </w:rPr>
              <w:t xml:space="preserve">Net Interest Margin (NIM) </w:t>
            </w:r>
            <w:r>
              <w:rPr>
                <w:rFonts w:ascii="Times New Roman;Times;Serif" w:hAnsi="Times New Roman;Times;Serif"/>
                <w:sz w:val="18"/>
              </w:rPr>
              <w:t>stood at 6.63%, up 21 bps YoY and 5 bps QoQ.</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 xml:space="preserve">Asset Quality </w:t>
            </w:r>
            <w:r>
              <w:rPr>
                <w:rFonts w:ascii="Times New Roman;Times;Serif" w:hAnsi="Times New Roman;Times;Serif"/>
                <w:sz w:val="18"/>
              </w:rPr>
              <w:t xml:space="preserve">continued to improve, with the </w:t>
            </w:r>
            <w:r>
              <w:rPr>
                <w:rFonts w:ascii="Times New Roman;Times;Serif" w:hAnsi="Times New Roman;Times;Serif"/>
                <w:b/>
                <w:sz w:val="18"/>
              </w:rPr>
              <w:t xml:space="preserve">NPL ratio </w:t>
            </w:r>
            <w:r>
              <w:rPr>
                <w:rFonts w:ascii="Times New Roman;Times;Serif" w:hAnsi="Times New Roman;Times;Serif"/>
                <w:sz w:val="18"/>
              </w:rPr>
              <w:t>declining 91 bps YoY and 22 bps QoQ to 4.1%, driven by stronger origination, monitoring and recovery processes at BCP, alongside improved origination and collections management at Mibanco.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 xml:space="preserve">Provisions </w:t>
            </w:r>
            <w:r>
              <w:rPr>
                <w:rFonts w:ascii="Times New Roman;Times;Serif" w:hAnsi="Times New Roman;Times;Serif"/>
                <w:sz w:val="18"/>
              </w:rPr>
              <w:t>increased 27.1% YoY and 51.7% QoQ. Based on currently available information, we included approximately S/106 million in additional provisions related to El Niño risk, bringing Cost of Risk to 1.9%, while Risk-Adjusted NIM remained resilient at 5.5%. Excluding this impact, underlying provisions rose 8.7% YoY and 29.7% QoQ, mainly driven by loan growth in BCP’s Retail Banking and Mibanco. As a result, underlying Cost of Risk stood at 1.6%, while underlying Risk-Adjusted NIM reached 5.7%, supported by a higher-yielding portfolio mix.</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Other Core Income</w:t>
            </w:r>
            <w:r>
              <w:rPr>
                <w:rFonts w:ascii="Times New Roman;Times;Serif" w:hAnsi="Times New Roman;Times;Serif"/>
                <w:sz w:val="18"/>
              </w:rPr>
              <w:t xml:space="preserve"> increased 19.7% YoY and 4.9% QoQ, representing 26.8% of total risk-adjusted income as Credicorp continued to advance its revenue diversification strategy. Growth was led by BCP Stand-alone, reflecting higher fee income and FX gains.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 xml:space="preserve">Insurance Underwriting Result </w:t>
            </w:r>
            <w:r>
              <w:rPr>
                <w:rFonts w:ascii="Times New Roman;Times;Serif" w:hAnsi="Times New Roman;Times;Serif"/>
                <w:sz w:val="18"/>
              </w:rPr>
              <w:t>declined 17.9% YoY, due to (i) higher claim expenses in Life, which reflected a base effect from reserve releases in the D&amp;S business in 2Q25, and (ii) less favorable reinsurance results in the P&amp;C business. QoQ, results declined 3.7% mainly due to higher claims expenses in the Life business, particularly in the D&amp;S line, partially offset by higher insurance service income in P&amp;C, particularly Commercial Lines and Cars, and lower claims expenses at Corporate Health.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 xml:space="preserve">Yape’s </w:t>
            </w:r>
            <w:r>
              <w:rPr>
                <w:rFonts w:ascii="Times New Roman;Times;Serif" w:hAnsi="Times New Roman;Times;Serif"/>
                <w:sz w:val="18"/>
              </w:rPr>
              <w:t>scale and engagement continued to translate into stronger monetization, reinforcing its position as Peru’s leading digital ecosystem. Yape reached 16.7 million MAU, averaging 69 monthly transactions per MAU, with NPS at 78. Revenue per MAU rose to S/11.1, well above expenses per MAU of S/6.0, lifting Yape’s contribution to Credicorp’s risk-adjusted revenues to 8.9%. Loans quadrupled YoY, hitting S/1.8 billion, with the Lending business accounting for 28% of Yape’s Risk-Adjusted Revenues. The Payments business, in turn, represented 45% of Yape’s risk-adjusted revenues this quarter.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b/>
                <w:sz w:val="18"/>
              </w:rPr>
              <w:t xml:space="preserve">Efficiency Ratio </w:t>
            </w:r>
            <w:r>
              <w:rPr>
                <w:rFonts w:ascii="Times New Roman;Times;Serif" w:hAnsi="Times New Roman;Times;Serif"/>
                <w:sz w:val="18"/>
              </w:rPr>
              <w:t>stood at 45.6% in 1H26, up +26 bps YoY and within 2026 guidance. Operating expenses increased 13.5% YTD, driven mainly by core businesses at BCP and to a lesser extent by continued investment in innovation initiatives which rose 33.1%.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 xml:space="preserve">Solid capital base with </w:t>
            </w:r>
            <w:r>
              <w:rPr>
                <w:rFonts w:ascii="Times New Roman;Times;Serif" w:hAnsi="Times New Roman;Times;Serif"/>
                <w:b/>
                <w:sz w:val="18"/>
              </w:rPr>
              <w:t xml:space="preserve">IFRS CET1 Ratio </w:t>
            </w:r>
            <w:r>
              <w:rPr>
                <w:rFonts w:ascii="Times New Roman;Times;Serif" w:hAnsi="Times New Roman;Times;Serif"/>
                <w:sz w:val="18"/>
              </w:rPr>
              <w:t>standing at 11.7% at BCP Stand-alone and 15.9% at Mibanco. During 2Q26, Credicorp paid its previously declared record-high ordinary dividend of S/50.0 per share, totaling approximately S/4.0 billion.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57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65722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b w:val="false"/>
                <w:i w:val="false"/>
                <w:caps w:val="false"/>
                <w:smallCaps w:val="false"/>
                <w:color w:val="FF00FF"/>
                <w:sz w:val="16"/>
              </w:rPr>
            </w:pPr>
            <w:r>
              <w:rPr>
                <w:rFonts w:ascii="Times New Roman;Times;serif" w:hAnsi="Times New Roman;Times;serif"/>
                <w:b w:val="false"/>
                <w:i w:val="false"/>
                <w:caps w:val="false"/>
                <w:smallCaps w:val="false"/>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2AD2C8" w:val="clear"/>
            <w:vAlign w:val="center"/>
          </w:tcPr>
          <w:p>
            <w:pPr>
              <w:pStyle w:val="TableContents"/>
              <w:bidi w:val="0"/>
              <w:spacing w:before="0" w:after="283"/>
              <w:jc w:val="left"/>
              <w:rPr/>
            </w:pPr>
            <w:r>
              <w:rPr/>
              <w:t> </w:t>
            </w:r>
          </w:p>
        </w:tc>
        <w:tc>
          <w:tcPr>
            <w:tcW w:w="60" w:type="dxa"/>
            <w:tcBorders/>
            <w:shd w:fill="2AD2C8" w:val="clear"/>
            <w:vAlign w:val="center"/>
          </w:tcPr>
          <w:p>
            <w:pPr>
              <w:pStyle w:val="TableContents"/>
              <w:bidi w:val="0"/>
              <w:spacing w:before="0" w:after="283"/>
              <w:jc w:val="left"/>
              <w:rPr/>
            </w:pPr>
            <w:r>
              <w:rPr/>
              <w:t> </w:t>
            </w:r>
          </w:p>
        </w:tc>
        <w:tc>
          <w:tcPr>
            <w:tcW w:w="1940" w:type="dxa"/>
            <w:tcBorders/>
            <w:shd w:fill="2AD2C8" w:val="clear"/>
            <w:vAlign w:val="center"/>
          </w:tcPr>
          <w:p>
            <w:pPr>
              <w:pStyle w:val="TableContents"/>
              <w:bidi w:val="0"/>
              <w:spacing w:before="0" w:after="283"/>
              <w:jc w:val="left"/>
              <w:rPr/>
            </w:pPr>
            <w:r>
              <w:rPr/>
              <w:t> </w:t>
            </w:r>
          </w:p>
        </w:tc>
        <w:tc>
          <w:tcPr>
            <w:tcW w:w="2720" w:type="dxa"/>
            <w:tcBorders/>
            <w:shd w:fill="2AD2C8"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SENIOR MANAGEMENT QUOTES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419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34194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133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3133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57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65722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7449" w:type="dxa"/>
        <w:jc w:val="left"/>
        <w:tblInd w:w="0" w:type="dxa"/>
        <w:tblLayout w:type="fixed"/>
        <w:tblCellMar>
          <w:top w:w="0" w:type="dxa"/>
          <w:left w:w="0" w:type="dxa"/>
          <w:bottom w:w="0" w:type="dxa"/>
          <w:right w:w="0" w:type="dxa"/>
        </w:tblCellMar>
      </w:tblPr>
      <w:tblGrid>
        <w:gridCol w:w="2362"/>
        <w:gridCol w:w="71"/>
        <w:gridCol w:w="2296"/>
        <w:gridCol w:w="2720"/>
      </w:tblGrid>
      <w:tr>
        <w:trPr/>
        <w:tc>
          <w:tcPr>
            <w:tcW w:w="2362" w:type="dxa"/>
            <w:tcBorders/>
            <w:shd w:fill="000000" w:val="clear"/>
            <w:vAlign w:val="center"/>
          </w:tcPr>
          <w:p>
            <w:pPr>
              <w:pStyle w:val="TableContents"/>
              <w:bidi w:val="0"/>
              <w:spacing w:before="0" w:after="283"/>
              <w:jc w:val="left"/>
              <w:rPr/>
            </w:pPr>
            <w:r>
              <w:rPr/>
              <w:t> </w:t>
            </w:r>
          </w:p>
        </w:tc>
        <w:tc>
          <w:tcPr>
            <w:tcW w:w="71" w:type="dxa"/>
            <w:tcBorders/>
            <w:shd w:fill="000000" w:val="clear"/>
            <w:vAlign w:val="center"/>
          </w:tcPr>
          <w:p>
            <w:pPr>
              <w:pStyle w:val="TableContents"/>
              <w:bidi w:val="0"/>
              <w:spacing w:before="0" w:after="283"/>
              <w:jc w:val="left"/>
              <w:rPr/>
            </w:pPr>
            <w:r>
              <w:rPr/>
              <w:t> </w:t>
            </w:r>
          </w:p>
        </w:tc>
        <w:tc>
          <w:tcPr>
            <w:tcW w:w="2296"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2362"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57300" cy="209550"/>
                          </a:xfrm>
                          <a:prstGeom prst="rect">
                            <a:avLst/>
                          </a:prstGeom>
                        </pic:spPr>
                      </pic:pic>
                    </a:graphicData>
                  </a:graphic>
                </wp:inline>
              </w:drawing>
            </w:r>
          </w:p>
        </w:tc>
        <w:tc>
          <w:tcPr>
            <w:tcW w:w="71"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2296"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2362" w:type="dxa"/>
            <w:tcBorders/>
            <w:shd w:fill="000000" w:val="clear"/>
            <w:vAlign w:val="center"/>
          </w:tcPr>
          <w:p>
            <w:pPr>
              <w:pStyle w:val="TableContents"/>
              <w:bidi w:val="0"/>
              <w:spacing w:before="0" w:after="283"/>
              <w:jc w:val="left"/>
              <w:rPr/>
            </w:pPr>
            <w:r>
              <w:rPr/>
              <w:t> </w:t>
            </w:r>
          </w:p>
        </w:tc>
        <w:tc>
          <w:tcPr>
            <w:tcW w:w="71" w:type="dxa"/>
            <w:tcBorders/>
            <w:shd w:fill="000000" w:val="clear"/>
            <w:vAlign w:val="center"/>
          </w:tcPr>
          <w:p>
            <w:pPr>
              <w:pStyle w:val="TableContents"/>
              <w:bidi w:val="0"/>
              <w:spacing w:before="0" w:after="283"/>
              <w:jc w:val="left"/>
              <w:rPr/>
            </w:pPr>
            <w:r>
              <w:rPr/>
              <w:t> </w:t>
            </w:r>
          </w:p>
        </w:tc>
        <w:tc>
          <w:tcPr>
            <w:tcW w:w="2296"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729" w:type="dxa"/>
            <w:gridSpan w:val="3"/>
            <w:tcBorders/>
            <w:shd w:fill="2AD2C8" w:val="clear"/>
            <w:vAlign w:val="center"/>
          </w:tcPr>
          <w:p>
            <w:pPr>
              <w:pStyle w:val="TableContents"/>
              <w:bidi w:val="0"/>
              <w:spacing w:before="0" w:after="283"/>
              <w:jc w:val="left"/>
              <w:rPr>
                <w:rFonts w:ascii="Times New Roman;Times;Serif" w:hAnsi="Times New Roman;Times;Serif"/>
                <w:b/>
                <w:color w:val="FFFFFF"/>
                <w:sz w:val="22"/>
              </w:rPr>
            </w:pPr>
            <w:r>
              <w:rPr>
                <w:rFonts w:ascii="Times New Roman;Times;Serif" w:hAnsi="Times New Roman;Times;Serif"/>
                <w:b/>
                <w:color w:val="FFFFFF"/>
                <w:sz w:val="22"/>
              </w:rPr>
              <w:t>Second Quarter 2026 Earnings Conference Call</w:t>
            </w:r>
          </w:p>
        </w:tc>
        <w:tc>
          <w:tcPr>
            <w:tcW w:w="2720" w:type="dxa"/>
            <w:tcBorders/>
            <w:shd w:fill="2AD2C8"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Second 2026 EARNINGS CONFERENCE CALL</w:t>
      </w:r>
    </w:p>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left"/>
        <w:rPr>
          <w:rFonts w:ascii="Times New Roman;Times;Serif" w:hAnsi="Times New Roman;Times;Serif"/>
          <w:b w:val="false"/>
          <w:i w:val="false"/>
          <w:caps w:val="false"/>
          <w:smallCaps w:val="false"/>
          <w:color w:val="121212"/>
          <w:sz w:val="22"/>
        </w:rPr>
      </w:pPr>
      <w:r>
        <w:rPr>
          <w:rFonts w:ascii="Times New Roman;Times;Serif" w:hAnsi="Times New Roman;Times;Serif"/>
          <w:b/>
          <w:i w:val="false"/>
          <w:caps w:val="false"/>
          <w:smallCaps w:val="false"/>
          <w:color w:val="121212"/>
          <w:sz w:val="22"/>
        </w:rPr>
        <w:t xml:space="preserve">Date: </w:t>
      </w:r>
      <w:r>
        <w:rPr>
          <w:rFonts w:ascii="Times New Roman;Times;Serif" w:hAnsi="Times New Roman;Times;Serif"/>
          <w:b w:val="false"/>
          <w:i w:val="false"/>
          <w:caps w:val="false"/>
          <w:smallCaps w:val="false"/>
          <w:color w:val="121212"/>
          <w:sz w:val="22"/>
        </w:rPr>
        <w:t>Friday, August 14th, 2026</w:t>
      </w:r>
    </w:p>
    <w:p>
      <w:pPr>
        <w:pStyle w:val="TextBody"/>
        <w:bidi w:val="0"/>
        <w:spacing w:before="0" w:after="0"/>
        <w:jc w:val="left"/>
        <w:rPr>
          <w:caps w:val="false"/>
          <w:smallCaps w:val="false"/>
          <w:color w:val="121212"/>
        </w:rPr>
      </w:pPr>
      <w:r>
        <w:rPr>
          <w:caps w:val="false"/>
          <w:smallCaps w:val="false"/>
          <w:color w:val="121212"/>
        </w:rPr>
        <w:t> </w:t>
      </w:r>
    </w:p>
    <w:p>
      <w:pPr>
        <w:pStyle w:val="TextBody"/>
        <w:bidi w:val="0"/>
        <w:spacing w:before="0" w:after="0"/>
        <w:jc w:val="left"/>
        <w:rPr>
          <w:rFonts w:ascii="Times New Roman;Times;Serif" w:hAnsi="Times New Roman;Times;Serif"/>
          <w:b w:val="false"/>
          <w:i w:val="false"/>
          <w:caps w:val="false"/>
          <w:smallCaps w:val="false"/>
          <w:color w:val="121212"/>
          <w:sz w:val="22"/>
        </w:rPr>
      </w:pPr>
      <w:r>
        <w:rPr>
          <w:rFonts w:ascii="Times New Roman;Times;Serif" w:hAnsi="Times New Roman;Times;Serif"/>
          <w:b/>
          <w:i w:val="false"/>
          <w:caps w:val="false"/>
          <w:smallCaps w:val="false"/>
          <w:color w:val="121212"/>
          <w:sz w:val="22"/>
        </w:rPr>
        <w:t xml:space="preserve">Time: </w:t>
      </w:r>
      <w:r>
        <w:rPr>
          <w:rFonts w:ascii="Times New Roman;Times;Serif" w:hAnsi="Times New Roman;Times;Serif"/>
          <w:b w:val="false"/>
          <w:i w:val="false"/>
          <w:caps w:val="false"/>
          <w:smallCaps w:val="false"/>
          <w:color w:val="121212"/>
          <w:sz w:val="22"/>
        </w:rPr>
        <w:t>10:30 am E.T. (9:30 am Lima, Perú)</w:t>
      </w:r>
    </w:p>
    <w:p>
      <w:pPr>
        <w:pStyle w:val="TextBody"/>
        <w:bidi w:val="0"/>
        <w:spacing w:before="0" w:after="0"/>
        <w:jc w:val="left"/>
        <w:rPr>
          <w:caps w:val="false"/>
          <w:smallCaps w:val="false"/>
          <w:color w:val="121212"/>
        </w:rPr>
      </w:pPr>
      <w:r>
        <w:rPr>
          <w:caps w:val="false"/>
          <w:smallCaps w:val="false"/>
          <w:color w:val="121212"/>
        </w:rPr>
        <w:t> </w:t>
      </w:r>
    </w:p>
    <w:p>
      <w:pPr>
        <w:pStyle w:val="TextBody"/>
        <w:bidi w:val="0"/>
        <w:spacing w:before="0" w:after="0"/>
        <w:jc w:val="both"/>
        <w:rPr>
          <w:rFonts w:ascii="Times New Roman;Times;Serif" w:hAnsi="Times New Roman;Times;Serif"/>
          <w:b w:val="false"/>
          <w:i w:val="false"/>
          <w:caps w:val="false"/>
          <w:smallCaps w:val="false"/>
          <w:color w:val="121212"/>
          <w:sz w:val="22"/>
        </w:rPr>
      </w:pPr>
      <w:r>
        <w:rPr>
          <w:rFonts w:ascii="Times New Roman;Times;Serif" w:hAnsi="Times New Roman;Times;Serif"/>
          <w:b/>
          <w:i w:val="false"/>
          <w:caps w:val="false"/>
          <w:smallCaps w:val="false"/>
          <w:color w:val="121212"/>
          <w:sz w:val="22"/>
        </w:rPr>
        <w:t xml:space="preserve">Hosts: </w:t>
      </w:r>
      <w:r>
        <w:rPr>
          <w:rFonts w:ascii="Times New Roman;Times;Serif" w:hAnsi="Times New Roman;Times;Serif"/>
          <w:b w:val="false"/>
          <w:i w:val="false"/>
          <w:caps w:val="false"/>
          <w:smallCaps w:val="false"/>
          <w:color w:val="121212"/>
          <w:sz w:val="22"/>
        </w:rPr>
        <w:t>Gianfranco Ferrari – Chief Executive Officer; Alejandro Perez-Reyes – Chief Financial Officer; Francesca Raffo – Chief Innovation Officer; Cesar Rios – Chief Risk Officer; Diego Cavero – Head of Universal Banking and CEO de BCP; Eduardo Montero – Head of Insurance and Pensions and CEO of Pacífico; Rocío Benavides – CFO of Mibanco and the Investor Relations Team.</w:t>
      </w:r>
    </w:p>
    <w:p>
      <w:pPr>
        <w:pStyle w:val="TextBody"/>
        <w:bidi w:val="0"/>
        <w:spacing w:before="0" w:after="0"/>
        <w:jc w:val="both"/>
        <w:rPr>
          <w:caps w:val="false"/>
          <w:smallCaps w:val="false"/>
          <w:color w:val="121212"/>
        </w:rPr>
      </w:pPr>
      <w:r>
        <w:rPr>
          <w:caps w:val="false"/>
          <w:smallCaps w:val="false"/>
          <w:color w:val="121212"/>
        </w:rPr>
        <w:t> </w:t>
      </w:r>
    </w:p>
    <w:p>
      <w:pPr>
        <w:pStyle w:val="TextBody"/>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To pre-register for the listen-only webcast presentation use the following link: </w:t>
      </w:r>
      <w:r>
        <w:rPr>
          <w:rFonts w:ascii="Times New Roman;Times;Serif" w:hAnsi="Times New Roman;Times;Serif"/>
          <w:b w:val="false"/>
          <w:i w:val="false"/>
          <w:caps w:val="false"/>
          <w:smallCaps w:val="false"/>
          <w:sz w:val="22"/>
          <w:u w:val="single"/>
        </w:rPr>
        <w:t>https://dpregister.com/DiamondPassRegistration/register?confirmationNumber=10210785&amp;linkSecurityString=104855 53c2f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121212"/>
          <w:sz w:val="22"/>
        </w:rPr>
      </w:pPr>
      <w:r>
        <w:rPr>
          <w:rFonts w:ascii="Times New Roman;Times;Serif" w:hAnsi="Times New Roman;Times;Serif"/>
          <w:b w:val="false"/>
          <w:i w:val="false"/>
          <w:caps w:val="false"/>
          <w:smallCaps w:val="false"/>
          <w:color w:val="121212"/>
          <w:sz w:val="22"/>
        </w:rPr>
        <w:t>Callers who pre-register will be given a conference passcode and unique PIN to gain immediate access to the call and bypass the live operator. Participants may pre-register at any time, including up to and after the call start time.</w:t>
      </w:r>
    </w:p>
    <w:p>
      <w:pPr>
        <w:pStyle w:val="TextBody"/>
        <w:bidi w:val="0"/>
        <w:spacing w:before="0" w:after="0"/>
        <w:jc w:val="left"/>
        <w:rPr>
          <w:caps w:val="false"/>
          <w:smallCaps w:val="false"/>
          <w:color w:val="121212"/>
        </w:rPr>
      </w:pPr>
      <w:r>
        <w:rPr>
          <w:caps w:val="false"/>
          <w:smallCaps w:val="false"/>
          <w:color w:val="121212"/>
        </w:rPr>
        <w:t> </w:t>
      </w:r>
    </w:p>
    <w:p>
      <w:pPr>
        <w:pStyle w:val="TextBody"/>
        <w:bidi w:val="0"/>
        <w:spacing w:before="0" w:after="0"/>
        <w:jc w:val="left"/>
        <w:rPr>
          <w:rFonts w:ascii="Times New Roman;Times;Serif" w:hAnsi="Times New Roman;Times;Serif"/>
          <w:b w:val="false"/>
          <w:i w:val="false"/>
          <w:caps w:val="false"/>
          <w:smallCaps w:val="false"/>
          <w:color w:val="121212"/>
          <w:sz w:val="22"/>
        </w:rPr>
      </w:pPr>
      <w:r>
        <w:rPr>
          <w:rFonts w:ascii="Times New Roman;Times;Serif" w:hAnsi="Times New Roman;Times;Serif"/>
          <w:b w:val="false"/>
          <w:i w:val="false"/>
          <w:caps w:val="false"/>
          <w:smallCaps w:val="false"/>
          <w:color w:val="121212"/>
          <w:sz w:val="22"/>
        </w:rPr>
        <w:t>Those unable to pre-register may dial in by calling: </w:t>
      </w:r>
    </w:p>
    <w:p>
      <w:pPr>
        <w:pStyle w:val="TextBody"/>
        <w:bidi w:val="0"/>
        <w:spacing w:before="0" w:after="0"/>
        <w:jc w:val="left"/>
        <w:rPr>
          <w:rFonts w:ascii="Times New Roman;Times;Serif" w:hAnsi="Times New Roman;Times;Serif"/>
          <w:b w:val="false"/>
          <w:i w:val="false"/>
          <w:caps w:val="false"/>
          <w:smallCaps w:val="false"/>
          <w:color w:val="121212"/>
          <w:sz w:val="22"/>
        </w:rPr>
      </w:pPr>
      <w:r>
        <w:rPr>
          <w:rFonts w:ascii="Times New Roman;Times;Serif" w:hAnsi="Times New Roman;Times;Serif"/>
          <w:b/>
          <w:i w:val="false"/>
          <w:caps w:val="false"/>
          <w:smallCaps w:val="false"/>
          <w:color w:val="121212"/>
          <w:sz w:val="22"/>
        </w:rPr>
        <w:t>1 844 435 0321</w:t>
      </w:r>
      <w:r>
        <w:rPr>
          <w:rFonts w:ascii="Times New Roman;Times;Serif" w:hAnsi="Times New Roman;Times;Serif"/>
          <w:b w:val="false"/>
          <w:i w:val="false"/>
          <w:caps w:val="false"/>
          <w:smallCaps w:val="false"/>
          <w:color w:val="121212"/>
          <w:sz w:val="22"/>
        </w:rPr>
        <w:t xml:space="preserve"> (U.S. toll free) </w:t>
      </w:r>
    </w:p>
    <w:p>
      <w:pPr>
        <w:pStyle w:val="TextBody"/>
        <w:bidi w:val="0"/>
        <w:spacing w:before="0" w:after="0"/>
        <w:jc w:val="left"/>
        <w:rPr>
          <w:rFonts w:ascii="Times New Roman;Times;Serif" w:hAnsi="Times New Roman;Times;Serif"/>
          <w:b w:val="false"/>
          <w:i w:val="false"/>
          <w:caps w:val="false"/>
          <w:smallCaps w:val="false"/>
          <w:color w:val="121212"/>
          <w:sz w:val="22"/>
        </w:rPr>
      </w:pPr>
      <w:r>
        <w:rPr>
          <w:rFonts w:ascii="Times New Roman;Times;Serif" w:hAnsi="Times New Roman;Times;Serif"/>
          <w:b/>
          <w:i w:val="false"/>
          <w:caps w:val="false"/>
          <w:smallCaps w:val="false"/>
          <w:color w:val="121212"/>
          <w:sz w:val="22"/>
        </w:rPr>
        <w:t xml:space="preserve">1 412 317 5615 </w:t>
      </w:r>
      <w:r>
        <w:rPr>
          <w:rFonts w:ascii="Times New Roman;Times;Serif" w:hAnsi="Times New Roman;Times;Serif"/>
          <w:b w:val="false"/>
          <w:i w:val="false"/>
          <w:caps w:val="false"/>
          <w:smallCaps w:val="false"/>
          <w:color w:val="121212"/>
          <w:sz w:val="22"/>
        </w:rPr>
        <w:t>(International)</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121212"/>
          <w:sz w:val="22"/>
        </w:rPr>
        <w:t xml:space="preserve">Participant Web Phone: </w:t>
      </w:r>
      <w:r>
        <w:rPr>
          <w:rFonts w:ascii="Times New Roman;Times;Serif" w:hAnsi="Times New Roman;Times;Serif"/>
          <w:b w:val="false"/>
          <w:i w:val="false"/>
          <w:caps w:val="false"/>
          <w:smallCaps w:val="false"/>
          <w:sz w:val="22"/>
          <w:u w:val="single"/>
        </w:rPr>
        <w:t>Click Here</w:t>
      </w:r>
    </w:p>
    <w:p>
      <w:pPr>
        <w:pStyle w:val="TextBody"/>
        <w:bidi w:val="0"/>
        <w:spacing w:before="0" w:after="0"/>
        <w:jc w:val="left"/>
        <w:rPr>
          <w:rFonts w:ascii="Times New Roman;Times;Serif" w:hAnsi="Times New Roman;Times;Serif"/>
          <w:b/>
          <w:i w:val="false"/>
          <w:caps w:val="false"/>
          <w:smallCaps w:val="false"/>
          <w:color w:val="121212"/>
          <w:sz w:val="22"/>
        </w:rPr>
      </w:pPr>
      <w:r>
        <w:rPr>
          <w:rFonts w:ascii="Times New Roman;Times;Serif" w:hAnsi="Times New Roman;Times;Serif"/>
          <w:b/>
          <w:i w:val="false"/>
          <w:caps w:val="false"/>
          <w:smallCaps w:val="false"/>
          <w:color w:val="121212"/>
          <w:sz w:val="22"/>
        </w:rPr>
        <w:t>Conference ID: Credicorp Conference Call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21212"/>
          <w:sz w:val="22"/>
        </w:rPr>
        <w:t xml:space="preserve">The webcast will be archived for one year on our investor relations website at: </w:t>
      </w:r>
      <w:r>
        <w:rPr>
          <w:rFonts w:ascii="Times New Roman;Times;Serif" w:hAnsi="Times New Roman;Times;Serif"/>
          <w:b w:val="false"/>
          <w:i w:val="false"/>
          <w:caps w:val="false"/>
          <w:smallCaps w:val="false"/>
          <w:sz w:val="22"/>
        </w:rPr>
        <w:br/>
      </w:r>
      <w:r>
        <w:rPr>
          <w:rFonts w:ascii="Times New Roman;Times;Serif" w:hAnsi="Times New Roman;Times;Serif"/>
          <w:b w:val="false"/>
          <w:i w:val="false"/>
          <w:caps w:val="false"/>
          <w:smallCaps w:val="false"/>
          <w:sz w:val="22"/>
          <w:u w:val="single"/>
        </w:rPr>
        <w:t>https://credicorp.gcs-web.com/events-and-presentations/upcoming-events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21212"/>
          <w:sz w:val="22"/>
        </w:rPr>
        <w:t xml:space="preserve">For a full version of Credicorp´s Second Quarter 2026 Earnings Release, please visit: </w:t>
      </w:r>
      <w:r>
        <w:rPr>
          <w:rFonts w:ascii="Times New Roman;Times;Serif" w:hAnsi="Times New Roman;Times;Serif"/>
          <w:b w:val="false"/>
          <w:i w:val="false"/>
          <w:caps w:val="false"/>
          <w:smallCaps w:val="false"/>
          <w:sz w:val="22"/>
        </w:rPr>
        <w:br/>
      </w:r>
      <w:r>
        <w:rPr>
          <w:rFonts w:ascii="Times New Roman;Times;Serif" w:hAnsi="Times New Roman;Times;Serif"/>
          <w:b w:val="false"/>
          <w:i w:val="false"/>
          <w:caps w:val="false"/>
          <w:smallCaps w:val="false"/>
          <w:sz w:val="22"/>
          <w:u w:val="single"/>
        </w:rPr>
        <w:t>https://credicorp.gcs-web.com/company-reports/quarterly-materials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66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666750"/>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0"/>
        <w:gridCol w:w="5265"/>
      </w:tblGrid>
      <w:tr>
        <w:trPr/>
        <w:tc>
          <w:tcPr>
            <w:tcW w:w="4940" w:type="dxa"/>
            <w:tcBorders/>
            <w:vAlign w:val="center"/>
          </w:tcPr>
          <w:p>
            <w:pPr>
              <w:pStyle w:val="TableContents"/>
              <w:bidi w:val="0"/>
              <w:spacing w:before="0" w:after="283"/>
              <w:jc w:val="left"/>
              <w:rPr>
                <w:rFonts w:ascii="Times New Roman;Times;Serif" w:hAnsi="Times New Roman;Times;Serif"/>
                <w:b/>
                <w:color w:val="2AD2C8"/>
                <w:sz w:val="28"/>
              </w:rPr>
            </w:pPr>
            <w:r>
              <w:rPr>
                <w:rFonts w:ascii="Times New Roman;Times;Serif" w:hAnsi="Times New Roman;Times;Serif"/>
                <w:b/>
                <w:color w:val="2AD2C8"/>
                <w:sz w:val="28"/>
              </w:rPr>
              <w:t>Loans in Quarter-end Balances</w:t>
            </w:r>
          </w:p>
        </w:tc>
        <w:tc>
          <w:tcPr>
            <w:tcW w:w="526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loans measured in quarter-end balances expanded by 4.3% QoQ and 13.1% YoY.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exclude the impact of the US Dollar’s depreciation against the sol, loans grew 5.2% QoQ and 14.6% YoY.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was driven primarily by (i) an increase in the loan balance in Consumer and SME-PYME at BCP, which reflects the increase in our risk appetite; (ii) acceleration in short-term loan disbursements in Wholesale Banking at BCP, which was mainly attributable to the fishing sector; and (iii) an uptick in loan disbursements in Mibanco fueled by greater focus on higher-ticket loans, while maintaining the pace of growth in smaller tickets.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YoY result was driven mainly by (i) an expansion across most Retail Banking Segments at BCP, (ii) an uptick in long-term lending in Wholesale Banking at BCP, and (iii) solid growth in disbursements at Mibanco.</w:t>
            </w:r>
          </w:p>
        </w:tc>
        <w:tc>
          <w:tcPr>
            <w:tcW w:w="5265" w:type="dxa"/>
            <w:tcBorders/>
            <w:vAlign w:val="center"/>
          </w:tcPr>
          <w:p>
            <w:pPr>
              <w:pStyle w:val="TableContents"/>
              <w:bidi w:val="0"/>
              <w:spacing w:before="0" w:after="283"/>
              <w:jc w:val="center"/>
              <w:rPr/>
            </w:pPr>
            <w:r>
              <w:rPr/>
              <w:drawing>
                <wp:inline distT="0" distB="0" distL="0" distR="0">
                  <wp:extent cx="3333750" cy="2124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333750" cy="2124075"/>
                          </a:xfrm>
                          <a:prstGeom prst="rect">
                            <a:avLst/>
                          </a:prstGeom>
                        </pic:spPr>
                      </pic:pic>
                    </a:graphicData>
                  </a:graphic>
                </wp:inline>
              </w:drawing>
            </w:r>
          </w:p>
        </w:tc>
      </w:tr>
      <w:tr>
        <w:trPr/>
        <w:tc>
          <w:tcPr>
            <w:tcW w:w="494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left"/>
              <w:rPr>
                <w:rFonts w:ascii="Times New Roman;Times;Serif" w:hAnsi="Times New Roman;Times;Serif"/>
                <w:b/>
                <w:color w:val="2AD2C8"/>
                <w:sz w:val="28"/>
              </w:rPr>
            </w:pPr>
            <w:r>
              <w:rPr>
                <w:rFonts w:ascii="Times New Roman;Times;Serif" w:hAnsi="Times New Roman;Times;Serif"/>
                <w:b/>
                <w:color w:val="2AD2C8"/>
                <w:sz w:val="28"/>
              </w:rPr>
              <w:t>Deposits </w:t>
            </w:r>
          </w:p>
        </w:tc>
        <w:tc>
          <w:tcPr>
            <w:tcW w:w="526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deposit balance (measured in quarter-end balances) expanded 1.8% QoQ and 17.7% YoY.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exclude the impact of the US Dollar’s depreciation against the sol, deposits rose 2.9% QoQ and 19.7% YoY.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QoQ growth was driven mainly by an increase in Demand Deposits in FC at BCP Stand-alone, which rose on the back of an expanded transactional offering that captured funds from institutional clients. YoY, the evolution was fueled by the same QoQ dynamics and by growth in Savings Deposits amid higher liquidity in the system. Low-Cost Deposits rose 25.1% to represent 74.4% of our total deposit base at quarter-end.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BCP, the Liquidity Coverage Ratio (LCR) in PEN at 30 days stood at 159.1% under regulatory standards and 141.3% by stricter internal standards. The LCR in USD at 30 days stood at 172.9% under regulatory standards and 129.3% under stricter internal standards.</w:t>
            </w:r>
          </w:p>
        </w:tc>
        <w:tc>
          <w:tcPr>
            <w:tcW w:w="5265" w:type="dxa"/>
            <w:tcBorders/>
            <w:vAlign w:val="center"/>
          </w:tcPr>
          <w:p>
            <w:pPr>
              <w:pStyle w:val="TableContents"/>
              <w:bidi w:val="0"/>
              <w:spacing w:before="0" w:after="283"/>
              <w:jc w:val="center"/>
              <w:rPr/>
            </w:pPr>
            <w:r>
              <w:rPr/>
              <w:drawing>
                <wp:inline distT="0" distB="0" distL="0" distR="0">
                  <wp:extent cx="3333750" cy="2076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333750" cy="2076450"/>
                          </a:xfrm>
                          <a:prstGeom prst="rect">
                            <a:avLst/>
                          </a:prstGeom>
                        </pic:spPr>
                      </pic:pic>
                    </a:graphicData>
                  </a:graphic>
                </wp:inline>
              </w:drawing>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762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620000" cy="6762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5325"/>
      </w:tblGrid>
      <w:tr>
        <w:trPr/>
        <w:tc>
          <w:tcPr>
            <w:tcW w:w="4880" w:type="dxa"/>
            <w:tcBorders/>
            <w:vAlign w:val="center"/>
          </w:tcPr>
          <w:p>
            <w:pPr>
              <w:pStyle w:val="TableContents"/>
              <w:bidi w:val="0"/>
              <w:spacing w:before="0" w:after="283"/>
              <w:jc w:val="both"/>
              <w:rPr>
                <w:b/>
                <w:color w:val="2AD2C7"/>
                <w:sz w:val="28"/>
              </w:rPr>
            </w:pPr>
            <w:r>
              <w:rPr>
                <w:b/>
                <w:color w:val="2AD2C7"/>
                <w:sz w:val="28"/>
              </w:rPr>
              <w:t>Net Interest Income (NII) and Net Margin (NIM)</w:t>
            </w:r>
          </w:p>
        </w:tc>
        <w:tc>
          <w:tcPr>
            <w:tcW w:w="532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left"/>
              <w:rPr/>
            </w:pPr>
            <w:r>
              <w:rPr/>
              <w:t> </w:t>
            </w:r>
          </w:p>
        </w:tc>
        <w:tc>
          <w:tcPr>
            <w:tcW w:w="532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NII expanded 3.4% QoQ, driven mainly by an uptick in Interest and Similar Income, which rose on the back of growth in loan volumes in Retail Banking and at Mibanco. These dynamics were partially offset by an increase in Interest and Similar Expenses associated with growth in time deposits, which increased their share of the funding mix, and by higher Interest on due to banks and correspondents. In this context, NIM stood at 6.63% at quarter-end, posting a 5 bps increase QoQ.</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NII rose 13.3%, fueled mainly by Interest and Similar Income, which rose on the back of an increase in interest on loans after volumes ticked up at both BCP and Mibanco. Interest and Similar Expenses dropped due to a decrease in Interest on due to banks and correspondents, which fell due to lower volumes as some maturing operations were not renewed. In this context, NIM increased by 21 bps YoY, primarily driven by lower funding costs, supported by a lower interest rate environment and growth in low-cost deposits.</w:t>
            </w:r>
          </w:p>
          <w:p>
            <w:pPr>
              <w:pStyle w:val="TableContents"/>
              <w:bidi w:val="0"/>
              <w:spacing w:before="0" w:after="0"/>
              <w:ind w:left="0" w:right="0" w:hanging="0"/>
              <w:jc w:val="both"/>
              <w:rPr>
                <w:caps w:val="false"/>
                <w:smallCaps w:val="false"/>
              </w:rPr>
            </w:pPr>
            <w:r>
              <w:rPr>
                <w:caps w:val="false"/>
                <w:smallCaps w:val="false"/>
              </w:rPr>
              <w:t> </w:t>
            </w:r>
          </w:p>
        </w:tc>
        <w:tc>
          <w:tcPr>
            <w:tcW w:w="5325" w:type="dxa"/>
            <w:tcBorders/>
            <w:vAlign w:val="center"/>
          </w:tcPr>
          <w:p>
            <w:pPr>
              <w:pStyle w:val="TableContents"/>
              <w:bidi w:val="0"/>
              <w:spacing w:before="0" w:after="283"/>
              <w:jc w:val="center"/>
              <w:rPr/>
            </w:pPr>
            <w:r>
              <w:rPr/>
              <w:drawing>
                <wp:inline distT="0" distB="0" distL="0" distR="0">
                  <wp:extent cx="3333750" cy="18764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333750" cy="1876425"/>
                          </a:xfrm>
                          <a:prstGeom prst="rect">
                            <a:avLst/>
                          </a:prstGeom>
                        </pic:spPr>
                      </pic:pic>
                    </a:graphicData>
                  </a:graphic>
                </wp:inline>
              </w:drawing>
            </w:r>
            <w:r>
              <w:rPr/>
              <w:t> </w:t>
            </w:r>
          </w:p>
        </w:tc>
      </w:tr>
      <w:tr>
        <w:trPr/>
        <w:tc>
          <w:tcPr>
            <w:tcW w:w="4880" w:type="dxa"/>
            <w:tcBorders/>
            <w:vAlign w:val="center"/>
          </w:tcPr>
          <w:p>
            <w:pPr>
              <w:pStyle w:val="TableContents"/>
              <w:bidi w:val="0"/>
              <w:spacing w:before="0" w:after="283"/>
              <w:jc w:val="left"/>
              <w:rPr/>
            </w:pPr>
            <w:r>
              <w:rPr/>
              <w:t> </w:t>
            </w:r>
          </w:p>
        </w:tc>
        <w:tc>
          <w:tcPr>
            <w:tcW w:w="532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left"/>
              <w:rPr/>
            </w:pPr>
            <w:r>
              <w:rPr/>
              <w:t> </w:t>
            </w:r>
          </w:p>
        </w:tc>
        <w:tc>
          <w:tcPr>
            <w:tcW w:w="532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both"/>
              <w:rPr>
                <w:b/>
                <w:color w:val="2AD2C7"/>
                <w:sz w:val="28"/>
              </w:rPr>
            </w:pPr>
            <w:r>
              <w:rPr>
                <w:b/>
                <w:color w:val="2AD2C7"/>
                <w:sz w:val="28"/>
              </w:rPr>
              <w:t>Portfolio quality and Cost of Risk</w:t>
            </w:r>
          </w:p>
        </w:tc>
        <w:tc>
          <w:tcPr>
            <w:tcW w:w="532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left"/>
              <w:rPr/>
            </w:pPr>
            <w:r>
              <w:rPr/>
              <w:t> </w:t>
            </w:r>
          </w:p>
        </w:tc>
        <w:tc>
          <w:tcPr>
            <w:tcW w:w="532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quality continued to improve, supported by a favorable economic environment, stronger origination quality, and enhanced monitoring, collections, and recovery capabilities.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QoQ, NPL volumes declined 1.0%, driven mainly by BCP Stand-alone, where the improvement was broad-based across segments.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NPL volumes fell 7.6%, driven by BCP Stand-alone and, to a lesser extent, Mibanco. At BCP Stand-alone, the decline was mainly explained by Retail Banking and SME-PYME, followed by Wholesale Banking. At Mibanco, the reduction reflected the risk management enhancements implemented since 2024.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Credicorp’s NPL ratio declined 22 bps QoQ and 91 bps YoY, reaching 4.1% at quarter-end.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increased 51.7% QoQ and 27.1% YoY, bringing the Cost of Risk (CoR) to 1.9%. This evolution reflects approximately S/106 million in additional provisions related to El Niño risk. Excluding this impact, underlying CoR stood at 1.6%.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QoQ, underlying provisions increased 29.7%, reflecting a normalization in provision expenses. This increase was mainly explained by BCP Stand-alone, in line with growth in Retail Banking and SME-Pyme. At Mibanco, underlying provisions rose due to portfolio growth and a slight increase in write-offs. As a result, Credicorp’s underlying CoR increased to 1.6%, up 33 bps QoQ.</w:t>
            </w:r>
          </w:p>
          <w:p>
            <w:pPr>
              <w:pStyle w:val="TableContents"/>
              <w:bidi w:val="0"/>
              <w:spacing w:before="0" w:after="0"/>
              <w:ind w:left="0" w:right="0" w:hanging="0"/>
              <w:jc w:val="both"/>
              <w:rPr>
                <w:caps w:val="false"/>
                <w:smallCaps w:val="false"/>
              </w:rPr>
            </w:pPr>
            <w:r>
              <w:rPr>
                <w:caps w:val="false"/>
                <w:smallCaps w:val="false"/>
              </w:rPr>
              <w:t> </w:t>
            </w:r>
          </w:p>
        </w:tc>
        <w:tc>
          <w:tcPr>
            <w:tcW w:w="532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3333750" cy="2266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333750" cy="2266950"/>
                          </a:xfrm>
                          <a:prstGeom prst="rect">
                            <a:avLst/>
                          </a:prstGeom>
                        </pic:spPr>
                      </pic:pic>
                    </a:graphicData>
                  </a:graphic>
                </wp:inline>
              </w:drawing>
            </w: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drawing>
                <wp:inline distT="0" distB="0" distL="0" distR="0">
                  <wp:extent cx="3333750" cy="19526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333750" cy="1952625"/>
                          </a:xfrm>
                          <a:prstGeom prst="rect">
                            <a:avLst/>
                          </a:prstGeom>
                        </pic:spPr>
                      </pic:pic>
                    </a:graphicData>
                  </a:graphic>
                </wp:inline>
              </w:drawing>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762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620000" cy="6762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0"/>
        <w:gridCol w:w="5265"/>
      </w:tblGrid>
      <w:tr>
        <w:trPr/>
        <w:tc>
          <w:tcPr>
            <w:tcW w:w="49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underlying provisions rose 8.7%, driven by BCP Stand-alone and, to a lesser extent, by Mibanco. At BCP Stand-alone, provisions were up primarily due to loan expansion in Retail Banking, while Wholesale Banking remained steady. At Mibanco, the uptick in provisions was driven by the same dynamics in play QoQ. All of the above was partially offset by a structural reduction in risk across the main portfolios. The aforementioned, coupled with a scenario where loan growth outpaced expansion in provisions, led Credicorp’s underlying CoR to drop 3 bps YoY.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color w:val="2AD2C7"/>
                <w:sz w:val="28"/>
              </w:rPr>
            </w:pPr>
            <w:r>
              <w:rPr>
                <w:rFonts w:ascii="Times New Roman;Times;Serif" w:hAnsi="Times New Roman;Times;Serif"/>
                <w:b/>
                <w:i w:val="false"/>
                <w:caps w:val="false"/>
                <w:smallCaps w:val="false"/>
                <w:color w:val="2AD2C7"/>
                <w:sz w:val="28"/>
              </w:rPr>
              <w:t>Other Income</w:t>
            </w:r>
          </w:p>
          <w:p>
            <w:pPr>
              <w:pStyle w:val="TableContents"/>
              <w:bidi w:val="0"/>
              <w:spacing w:before="0" w:after="0"/>
              <w:ind w:left="0" w:right="0" w:hanging="0"/>
              <w:jc w:val="both"/>
              <w:rPr>
                <w:caps w:val="false"/>
                <w:smallCaps w:val="false"/>
                <w:color w:val="2AD2C7"/>
              </w:rPr>
            </w:pPr>
            <w:r>
              <w:rPr>
                <w:caps w:val="false"/>
                <w:smallCaps w:val="false"/>
                <w:color w:val="2AD2C7"/>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Operating Income </w:t>
            </w:r>
            <w:r>
              <w:rPr>
                <w:rFonts w:ascii="Times New Roman;Times;Serif" w:hAnsi="Times New Roman;Times;Serif"/>
                <w:b w:val="false"/>
                <w:i w:val="false"/>
                <w:caps w:val="false"/>
                <w:smallCaps w:val="false"/>
                <w:sz w:val="20"/>
              </w:rPr>
              <w:t>grew 4.9% QoQ and 19.7% YoY. This performance was primarily driven by BCP Stand-alone and reflected: i) higher fee income, supported by increased transactional activity, particularly through Yape and BCP products; and ii) strong foreign exchange gains, which benefited from a more volatile market environment. The performance of Other Operating Income reflects the consistent execution of our revenue diversification strategy and its reduced dependence on macroeconomic conditions, further strengthening the resilience of our business model. </w:t>
            </w:r>
          </w:p>
        </w:tc>
        <w:tc>
          <w:tcPr>
            <w:tcW w:w="5265" w:type="dxa"/>
            <w:tcBorders/>
            <w:vAlign w:val="center"/>
          </w:tcPr>
          <w:p>
            <w:pPr>
              <w:pStyle w:val="TableContents"/>
              <w:bidi w:val="0"/>
              <w:spacing w:before="0" w:after="283"/>
              <w:jc w:val="center"/>
              <w:rPr/>
            </w:pPr>
            <w:r>
              <w:rPr/>
              <w:drawing>
                <wp:inline distT="0" distB="0" distL="0" distR="0">
                  <wp:extent cx="3333750" cy="23907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333750" cy="2390775"/>
                          </a:xfrm>
                          <a:prstGeom prst="rect">
                            <a:avLst/>
                          </a:prstGeom>
                        </pic:spPr>
                      </pic:pic>
                    </a:graphicData>
                  </a:graphic>
                </wp:inline>
              </w:drawing>
            </w:r>
          </w:p>
        </w:tc>
      </w:tr>
      <w:tr>
        <w:trPr/>
        <w:tc>
          <w:tcPr>
            <w:tcW w:w="494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left"/>
              <w:rPr>
                <w:b/>
                <w:color w:val="2AD2C7"/>
                <w:sz w:val="28"/>
              </w:rPr>
            </w:pPr>
            <w:r>
              <w:rPr>
                <w:b/>
                <w:color w:val="2AD2C7"/>
                <w:sz w:val="28"/>
              </w:rPr>
              <w:t>Insurance Underwriting and Medical Services Results</w:t>
            </w:r>
          </w:p>
        </w:tc>
        <w:tc>
          <w:tcPr>
            <w:tcW w:w="5265"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Underwriting Result declined 3.7% QoQ and 17.9% YoY, mainly reflecting a base effect from provision reversals recorded in the second quarter of last year in the Life business, particularly in the D&amp;S line. This was partially offset by healthy organic growth in Credit Life, supported by continued momentum in bancassurance and retail channels, which reinforces its role as a structural growth driver for the business.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Services result continues to advance with operating and commercial discipline. </w:t>
            </w:r>
          </w:p>
        </w:tc>
        <w:tc>
          <w:tcPr>
            <w:tcW w:w="5265" w:type="dxa"/>
            <w:tcBorders/>
            <w:vAlign w:val="center"/>
          </w:tcPr>
          <w:p>
            <w:pPr>
              <w:pStyle w:val="TableContents"/>
              <w:bidi w:val="0"/>
              <w:spacing w:before="0" w:after="283"/>
              <w:jc w:val="center"/>
              <w:rPr/>
            </w:pPr>
            <w:r>
              <w:rPr/>
              <w:drawing>
                <wp:inline distT="0" distB="0" distL="0" distR="0">
                  <wp:extent cx="3333750" cy="29718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333750" cy="2971800"/>
                          </a:xfrm>
                          <a:prstGeom prst="rect">
                            <a:avLst/>
                          </a:prstGeom>
                        </pic:spPr>
                      </pic:pic>
                    </a:graphicData>
                  </a:graphic>
                </wp:inline>
              </w:drawing>
            </w:r>
          </w:p>
        </w:tc>
      </w:tr>
      <w:tr>
        <w:trPr/>
        <w:tc>
          <w:tcPr>
            <w:tcW w:w="4940" w:type="dxa"/>
            <w:tcBorders/>
            <w:vAlign w:val="center"/>
          </w:tcPr>
          <w:p>
            <w:pPr>
              <w:pStyle w:val="TableContents"/>
              <w:bidi w:val="0"/>
              <w:spacing w:before="0" w:after="283"/>
              <w:jc w:val="left"/>
              <w:rPr/>
            </w:pPr>
            <w:r>
              <w:rPr/>
              <w:t> </w:t>
            </w:r>
          </w:p>
        </w:tc>
        <w:tc>
          <w:tcPr>
            <w:tcW w:w="5265"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drawing>
          <wp:inline distT="0" distB="0" distL="0" distR="0">
            <wp:extent cx="7620000" cy="6762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620000" cy="6762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0"/>
        <w:gridCol w:w="5265"/>
      </w:tblGrid>
      <w:tr>
        <w:trPr/>
        <w:tc>
          <w:tcPr>
            <w:tcW w:w="494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color w:val="2AD2C7"/>
                <w:sz w:val="28"/>
              </w:rPr>
            </w:pPr>
            <w:r>
              <w:rPr>
                <w:rFonts w:ascii="Times New Roman;Times;Serif" w:hAnsi="Times New Roman;Times;Serif"/>
                <w:b/>
                <w:i w:val="false"/>
                <w:caps w:val="false"/>
                <w:smallCaps w:val="false"/>
                <w:color w:val="2AD2C7"/>
                <w:sz w:val="28"/>
              </w:rPr>
              <w:t>Efficiency</w:t>
            </w:r>
          </w:p>
          <w:p>
            <w:pPr>
              <w:pStyle w:val="TableContents"/>
              <w:bidi w:val="0"/>
              <w:spacing w:before="0" w:after="0"/>
              <w:ind w:left="0" w:right="0" w:hanging="0"/>
              <w:jc w:val="both"/>
              <w:rPr>
                <w:caps w:val="false"/>
                <w:smallCaps w:val="false"/>
                <w:color w:val="2AD2C7"/>
              </w:rPr>
            </w:pPr>
            <w:r>
              <w:rPr>
                <w:caps w:val="false"/>
                <w:smallCaps w:val="false"/>
                <w:color w:val="2AD2C7"/>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rose 13.5% YTD, fueled mainly by core businesses at BCP and by innovation initiatives at the Credicorp level. Core business expenses were up due to BCP, which reported growth in administrative expenses on the back of growth in IT-related services and use of cloud infrastructure. Personnel expenses at BCP also increased, driven by the continued development of commercial and technological capabilities, and by an uptick in variable compensation. Expenses for our innovation portfolio, which were led by Yape, Tenpo, and Culqi, rose 33% and represented 84% of disruptive expenses for the quarter.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rose 12.8% YTD. In this context, the Efficiency Ratio stood at 45.6% for the 1H26, which is in line with guidance for the year.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color w:val="2AD2C7"/>
                <w:sz w:val="28"/>
              </w:rPr>
            </w:pPr>
            <w:r>
              <w:rPr>
                <w:rFonts w:ascii="Times New Roman;Times;Serif" w:hAnsi="Times New Roman;Times;Serif"/>
                <w:b/>
                <w:i w:val="false"/>
                <w:caps w:val="false"/>
                <w:smallCaps w:val="false"/>
                <w:color w:val="2AD2C7"/>
                <w:sz w:val="28"/>
              </w:rPr>
              <w:t>Net Earnings attributable to Credicorp</w:t>
            </w:r>
          </w:p>
          <w:p>
            <w:pPr>
              <w:pStyle w:val="TableContents"/>
              <w:bidi w:val="0"/>
              <w:spacing w:before="0" w:after="0"/>
              <w:ind w:left="0" w:right="0" w:hanging="0"/>
              <w:jc w:val="both"/>
              <w:rPr>
                <w:caps w:val="false"/>
                <w:smallCaps w:val="false"/>
                <w:color w:val="2AD2C7"/>
              </w:rPr>
            </w:pPr>
            <w:r>
              <w:rPr>
                <w:caps w:val="false"/>
                <w:smallCaps w:val="false"/>
                <w:color w:val="2AD2C7"/>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2Q26, net earnings attributable to Credicorp totaled S/1,981.9 million (-3.9% QoQ and +8.8% YoY), resulting in a ROE of 20.3% for the quarter. This evolution was supported by strong results in all our lines of business. At the end of 1H26, Credicorp reported net attributable earnings of S/4,045.1 million (+12.4% YTD), backed by the strength of our integrated business ecosystem and more favorable economic conditions. In this context, ROE stood at 21.2% for the first half of the year. </w:t>
            </w:r>
          </w:p>
        </w:tc>
        <w:tc>
          <w:tcPr>
            <w:tcW w:w="526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2857500" cy="16097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857500" cy="160972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&amp; ROE</w:t>
              <w:br/>
              <w:t>(S/ millions)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drawing>
                <wp:inline distT="0" distB="0" distL="0" distR="0">
                  <wp:extent cx="3333750" cy="17335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333750" cy="1733550"/>
                          </a:xfrm>
                          <a:prstGeom prst="rect">
                            <a:avLst/>
                          </a:prstGeom>
                        </pic:spPr>
                      </pic:pic>
                    </a:graphicData>
                  </a:graphic>
                </wp:inline>
              </w:drawing>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1" w:right="572" w:hanging="0"/>
        <w:jc w:val="center"/>
        <w:rPr>
          <w:rFonts w:ascii="Times New Roman;Times;Serif" w:hAnsi="Times New Roman;Times;Serif"/>
          <w:b/>
          <w:i w:val="false"/>
          <w:caps w:val="false"/>
          <w:smallCaps w:val="false"/>
          <w:color w:val="2AD2C7"/>
          <w:sz w:val="28"/>
        </w:rPr>
      </w:pPr>
      <w:r>
        <w:rPr>
          <w:rFonts w:ascii="Times New Roman;Times;Serif" w:hAnsi="Times New Roman;Times;Serif"/>
          <w:b/>
          <w:i w:val="false"/>
          <w:caps w:val="false"/>
          <w:smallCaps w:val="false"/>
          <w:color w:val="2AD2C7"/>
          <w:sz w:val="28"/>
        </w:rPr>
        <w:t>Contributions and ROE by subsidiary in 2Q26 </w:t>
      </w:r>
    </w:p>
    <w:p>
      <w:pPr>
        <w:pStyle w:val="TextBody"/>
        <w:bidi w:val="0"/>
        <w:spacing w:before="0" w:after="0"/>
        <w:ind w:left="151" w:right="570" w:hanging="0"/>
        <w:jc w:val="center"/>
        <w:rPr>
          <w:rFonts w:ascii="Times New Roman;Times;Serif" w:hAnsi="Times New Roman;Times;Serif"/>
          <w:b/>
          <w:i w:val="false"/>
          <w:caps w:val="false"/>
          <w:smallCaps w:val="false"/>
          <w:color w:val="2AD2C7"/>
          <w:sz w:val="18"/>
        </w:rPr>
      </w:pPr>
      <w:r>
        <w:rPr>
          <w:rFonts w:ascii="Times New Roman;Times;Serif" w:hAnsi="Times New Roman;Times;Serif"/>
          <w:b/>
          <w:i w:val="false"/>
          <w:caps w:val="false"/>
          <w:smallCaps w:val="false"/>
          <w:color w:val="2AD2C7"/>
          <w:sz w:val="18"/>
        </w:rPr>
        <w:t>(S/ millions)</w:t>
      </w:r>
    </w:p>
    <w:p>
      <w:pPr>
        <w:pStyle w:val="TextBody"/>
        <w:bidi w:val="0"/>
        <w:spacing w:before="0" w:after="0"/>
        <w:ind w:left="151" w:right="570" w:hanging="0"/>
        <w:jc w:val="center"/>
        <w:rPr>
          <w:caps w:val="false"/>
          <w:smallCaps w:val="false"/>
          <w:color w:val="2AD2C7"/>
        </w:rPr>
      </w:pPr>
      <w:r>
        <w:rPr>
          <w:caps w:val="false"/>
          <w:smallCaps w:val="false"/>
          <w:color w:val="2AD2C7"/>
        </w:rPr>
        <w:t> </w:t>
      </w:r>
    </w:p>
    <w:p>
      <w:pPr>
        <w:pStyle w:val="TextBody"/>
        <w:bidi w:val="0"/>
        <w:spacing w:before="0" w:after="0"/>
        <w:ind w:left="151" w:right="570" w:hanging="0"/>
        <w:jc w:val="center"/>
        <w:rPr>
          <w:caps w:val="false"/>
          <w:smallCaps w:val="false"/>
          <w:color w:val="2AD2C7"/>
        </w:rPr>
      </w:pPr>
      <w:r>
        <w:rPr>
          <w:caps w:val="false"/>
          <w:smallCaps w:val="false"/>
          <w:color w:val="2AD2C7"/>
        </w:rPr>
        <w:drawing>
          <wp:inline distT="0" distB="0" distL="0" distR="0">
            <wp:extent cx="7620000" cy="36290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620000" cy="3629025"/>
                    </a:xfrm>
                    <a:prstGeom prst="rect">
                      <a:avLst/>
                    </a:prstGeom>
                  </pic:spPr>
                </pic:pic>
              </a:graphicData>
            </a:graphic>
          </wp:inline>
        </w:drawing>
      </w:r>
    </w:p>
    <w:p>
      <w:pPr>
        <w:pStyle w:val="TextBody"/>
        <w:bidi w:val="0"/>
        <w:spacing w:before="0" w:after="0"/>
        <w:ind w:left="151" w:right="570" w:hanging="0"/>
        <w:jc w:val="center"/>
        <w:rPr>
          <w:caps w:val="false"/>
          <w:smallCaps w:val="false"/>
          <w:color w:val="2AD2C7"/>
        </w:rPr>
      </w:pPr>
      <w:r>
        <w:rPr>
          <w:caps w:val="false"/>
          <w:smallCaps w:val="false"/>
          <w:color w:val="2AD2C7"/>
        </w:rPr>
        <w:t> </w:t>
      </w:r>
    </w:p>
    <w:p>
      <w:pPr>
        <w:pStyle w:val="TextBody"/>
        <w:bidi w:val="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In BCP Stand-alone, the figure is lower than the net profit since the contribution eliminates investment gains in other subsidiaries of Credicorp (Mibanco).</w:t>
      </w:r>
    </w:p>
    <w:p>
      <w:pPr>
        <w:pStyle w:val="TextBody"/>
        <w:bidi w:val="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In Mibanco, the figure is less than the net profit because Credicorp owns (directly and indirectly) 99.921% of Mibanco.</w:t>
      </w:r>
    </w:p>
    <w:p>
      <w:pPr>
        <w:pStyle w:val="TextBody"/>
        <w:bidi w:val="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The contribution for Grupo Pacifico presented here is greater than the profit of Pacifico Seguros since 100% of Crediseguros is being included (including 48% under Grupo Crédito).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762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620000" cy="6762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4"/>
        <w:gridCol w:w="60"/>
        <w:gridCol w:w="5571"/>
      </w:tblGrid>
      <w:tr>
        <w:trPr/>
        <w:tc>
          <w:tcPr>
            <w:tcW w:w="4574" w:type="dxa"/>
            <w:tcBorders/>
            <w:shd w:fill="FC4F00" w:val="clear"/>
            <w:vAlign w:val="center"/>
          </w:tcPr>
          <w:p>
            <w:pPr>
              <w:pStyle w:val="TableContents"/>
              <w:bidi w:val="0"/>
              <w:spacing w:before="0" w:after="0"/>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Universal Banking</w:t>
            </w:r>
          </w:p>
        </w:tc>
        <w:tc>
          <w:tcPr>
            <w:tcW w:w="60" w:type="dxa"/>
            <w:tcBorders/>
            <w:vAlign w:val="center"/>
          </w:tcPr>
          <w:p>
            <w:pPr>
              <w:pStyle w:val="TableContents"/>
              <w:bidi w:val="0"/>
              <w:spacing w:before="0" w:after="283"/>
              <w:jc w:val="center"/>
              <w:rPr/>
            </w:pPr>
            <w:r>
              <w:rPr/>
              <w:t> </w:t>
            </w:r>
          </w:p>
        </w:tc>
        <w:tc>
          <w:tcPr>
            <w:tcW w:w="5571" w:type="dxa"/>
            <w:tcBorders/>
            <w:shd w:fill="22D079" w:val="clear"/>
            <w:vAlign w:val="center"/>
          </w:tcPr>
          <w:p>
            <w:pPr>
              <w:pStyle w:val="TableContents"/>
              <w:bidi w:val="0"/>
              <w:spacing w:before="0" w:after="0"/>
              <w:jc w:val="center"/>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Microfinance</w:t>
            </w:r>
          </w:p>
        </w:tc>
      </w:tr>
      <w:tr>
        <w:trPr/>
        <w:tc>
          <w:tcPr>
            <w:tcW w:w="4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71" w:type="dxa"/>
            <w:tcBorders/>
            <w:vAlign w:val="center"/>
          </w:tcPr>
          <w:p>
            <w:pPr>
              <w:pStyle w:val="TableContents"/>
              <w:bidi w:val="0"/>
              <w:spacing w:before="0" w:after="283"/>
              <w:jc w:val="left"/>
              <w:rPr/>
            </w:pPr>
            <w:r>
              <w:rPr/>
              <w:t> </w:t>
            </w:r>
          </w:p>
        </w:tc>
      </w:tr>
      <w:tr>
        <w:trPr/>
        <w:tc>
          <w:tcPr>
            <w:tcW w:w="4574" w:type="dxa"/>
            <w:tcBorders>
              <w:top w:val="single" w:sz="8" w:space="0" w:color="FC4F00"/>
              <w:left w:val="single" w:sz="8" w:space="0" w:color="FC4F00"/>
              <w:bottom w:val="single" w:sz="8" w:space="0" w:color="FC4F00"/>
              <w:right w:val="single" w:sz="8" w:space="0" w:color="FC4F00"/>
            </w:tcBorders>
            <w:tcMar>
              <w:top w:w="60" w:type="dxa"/>
              <w:left w:w="60" w:type="dxa"/>
              <w:bottom w:w="60" w:type="dxa"/>
              <w:right w:w="6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BCP registered solid profitability, driven by loan growth and ongoing positive trends for portfolio quality. The risk-adjusted margin remains resilient despite a normalization in the cost of risk, supported by growth in retail loans and a stable funding cost. Diversified sources of revenue, which rose on the back of growth in transactions, particularly at Yape and BCP, also drove profitability this quarter. BCP continued to invest in commercial and technological capabilities to sustain growth moving forward. </w:t>
            </w:r>
          </w:p>
        </w:tc>
        <w:tc>
          <w:tcPr>
            <w:tcW w:w="60" w:type="dxa"/>
            <w:tcBorders/>
            <w:vAlign w:val="center"/>
          </w:tcPr>
          <w:p>
            <w:pPr>
              <w:pStyle w:val="TableContents"/>
              <w:bidi w:val="0"/>
              <w:spacing w:before="0" w:after="283"/>
              <w:jc w:val="left"/>
              <w:rPr/>
            </w:pPr>
            <w:r>
              <w:rPr/>
              <w:t> </w:t>
            </w:r>
          </w:p>
        </w:tc>
        <w:tc>
          <w:tcPr>
            <w:tcW w:w="5571" w:type="dxa"/>
            <w:tcBorders>
              <w:top w:val="single" w:sz="8" w:space="0" w:color="22D079"/>
              <w:left w:val="single" w:sz="8" w:space="0" w:color="22D079"/>
              <w:bottom w:val="single" w:sz="8" w:space="0" w:color="22D079"/>
              <w:right w:val="single" w:sz="8" w:space="0" w:color="22D079"/>
            </w:tcBorders>
            <w:tcMar>
              <w:top w:w="60" w:type="dxa"/>
              <w:left w:w="60" w:type="dxa"/>
              <w:bottom w:w="60" w:type="dxa"/>
              <w:right w:w="60" w:type="dxa"/>
            </w:tcMar>
            <w:vAlign w:val="center"/>
          </w:tcPr>
          <w:p>
            <w:pPr>
              <w:pStyle w:val="TableContents"/>
              <w:bidi w:val="0"/>
              <w:spacing w:before="0" w:after="0"/>
              <w:ind w:left="64" w:right="6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Mibanco’s performance was solid. This evolution was driven by loan growth and disciplined risk management. The bank continues to foster its strategy to diversify income to ensure resilience across business cycles. Profitability was bolstered by a stable risk-adjusted margin, which reflected active pricing management which offset higher provisions and an uptick in the cost of funding. Mibanco continues to invest in strategic digital transformation projects to modernize its technological infrastructure and elevate the client experience. In Colombia, the business evolved positively, anchored by prudent risk management and commercial productivity.</w:t>
            </w:r>
          </w:p>
        </w:tc>
      </w:tr>
      <w:tr>
        <w:trPr/>
        <w:tc>
          <w:tcPr>
            <w:tcW w:w="4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71" w:type="dxa"/>
            <w:tcBorders/>
            <w:vAlign w:val="center"/>
          </w:tcPr>
          <w:p>
            <w:pPr>
              <w:pStyle w:val="TableContents"/>
              <w:bidi w:val="0"/>
              <w:spacing w:before="0" w:after="283"/>
              <w:jc w:val="left"/>
              <w:rPr/>
            </w:pPr>
            <w:r>
              <w:rPr/>
              <w:t> </w:t>
            </w:r>
          </w:p>
        </w:tc>
      </w:tr>
      <w:tr>
        <w:trPr/>
        <w:tc>
          <w:tcPr>
            <w:tcW w:w="4574" w:type="dxa"/>
            <w:tcBorders/>
            <w:shd w:fill="2AD3C6" w:val="clear"/>
            <w:vAlign w:val="center"/>
          </w:tcPr>
          <w:p>
            <w:pPr>
              <w:pStyle w:val="TableContents"/>
              <w:bidi w:val="0"/>
              <w:spacing w:before="0" w:after="0"/>
              <w:jc w:val="center"/>
              <w:rPr>
                <w:b/>
                <w:color w:val="FFFFFF"/>
              </w:rPr>
            </w:pPr>
            <w:r>
              <w:rPr>
                <w:b/>
                <w:color w:val="FFFFFF"/>
              </w:rPr>
              <w:t>Insurance &amp; Pensions </w:t>
            </w:r>
          </w:p>
        </w:tc>
        <w:tc>
          <w:tcPr>
            <w:tcW w:w="60" w:type="dxa"/>
            <w:tcBorders/>
            <w:vAlign w:val="center"/>
          </w:tcPr>
          <w:p>
            <w:pPr>
              <w:pStyle w:val="TableContents"/>
              <w:bidi w:val="0"/>
              <w:spacing w:before="0" w:after="283"/>
              <w:jc w:val="center"/>
              <w:rPr>
                <w:color w:val="FFFFFF"/>
              </w:rPr>
            </w:pPr>
            <w:r>
              <w:rPr>
                <w:color w:val="FFFFFF"/>
              </w:rPr>
              <w:t> </w:t>
            </w:r>
          </w:p>
        </w:tc>
        <w:tc>
          <w:tcPr>
            <w:tcW w:w="5571" w:type="dxa"/>
            <w:tcBorders/>
            <w:shd w:fill="E93AAC" w:val="clear"/>
            <w:vAlign w:val="center"/>
          </w:tcPr>
          <w:p>
            <w:pPr>
              <w:pStyle w:val="TableContents"/>
              <w:bidi w:val="0"/>
              <w:spacing w:before="0" w:after="0"/>
              <w:jc w:val="center"/>
              <w:rPr>
                <w:b/>
                <w:color w:val="FFFFFF"/>
              </w:rPr>
            </w:pPr>
            <w:r>
              <w:rPr>
                <w:b/>
                <w:color w:val="FFFFFF"/>
              </w:rPr>
              <w:t>Investment Management &amp; Advisory </w:t>
            </w:r>
          </w:p>
        </w:tc>
      </w:tr>
      <w:tr>
        <w:trPr/>
        <w:tc>
          <w:tcPr>
            <w:tcW w:w="4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71" w:type="dxa"/>
            <w:tcBorders/>
            <w:vAlign w:val="center"/>
          </w:tcPr>
          <w:p>
            <w:pPr>
              <w:pStyle w:val="TableContents"/>
              <w:bidi w:val="0"/>
              <w:spacing w:before="0" w:after="283"/>
              <w:jc w:val="left"/>
              <w:rPr/>
            </w:pPr>
            <w:r>
              <w:rPr/>
              <w:t> </w:t>
            </w:r>
          </w:p>
        </w:tc>
      </w:tr>
      <w:tr>
        <w:trPr/>
        <w:tc>
          <w:tcPr>
            <w:tcW w:w="4574" w:type="dxa"/>
            <w:tcBorders>
              <w:top w:val="single" w:sz="8" w:space="0" w:color="2AD3C6"/>
              <w:left w:val="single" w:sz="8" w:space="0" w:color="2AD3C6"/>
              <w:bottom w:val="single" w:sz="8" w:space="0" w:color="2AD3C6"/>
              <w:right w:val="single" w:sz="8" w:space="0" w:color="2AD3C6"/>
            </w:tcBorders>
            <w:tcMar>
              <w:top w:w="60" w:type="dxa"/>
              <w:left w:w="60" w:type="dxa"/>
              <w:bottom w:w="60" w:type="dxa"/>
              <w:right w:w="6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Grupo Pacífico evolved positively and within sustainable levels, backed by solid execution of commercial strategies across businesses Results in the Life and Corporate Health segments benefited from healthy growth in premium production and sales, while Medical Services remained stable. Overall performance was partially offset by lower profitability in the Life business, due to a base effect related to provision reversals in the prior year, and in the P&amp;C business, due to higher claims that affected underwriting results. </w:t>
            </w:r>
          </w:p>
        </w:tc>
        <w:tc>
          <w:tcPr>
            <w:tcW w:w="60" w:type="dxa"/>
            <w:tcBorders/>
            <w:vAlign w:val="center"/>
          </w:tcPr>
          <w:p>
            <w:pPr>
              <w:pStyle w:val="TableContents"/>
              <w:bidi w:val="0"/>
              <w:spacing w:before="0" w:after="283"/>
              <w:jc w:val="left"/>
              <w:rPr/>
            </w:pPr>
            <w:r>
              <w:rPr/>
              <w:t> </w:t>
            </w:r>
          </w:p>
        </w:tc>
        <w:tc>
          <w:tcPr>
            <w:tcW w:w="5571" w:type="dxa"/>
            <w:tcBorders>
              <w:top w:val="single" w:sz="8" w:space="0" w:color="E93AAC"/>
              <w:left w:val="single" w:sz="8" w:space="0" w:color="E93AAC"/>
              <w:bottom w:val="single" w:sz="8" w:space="0" w:color="E93AAC"/>
              <w:right w:val="single" w:sz="8" w:space="0" w:color="E93AAC"/>
            </w:tcBorders>
            <w:tcMar>
              <w:top w:w="60" w:type="dxa"/>
              <w:left w:w="60" w:type="dxa"/>
              <w:bottom w:w="60" w:type="dxa"/>
              <w:right w:w="6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Management and Advisory registered an improvement in operating profitability, mainly bolstered by solid results in core businesses, and to a lesser extent by an uptick in the Trading business. This dynamic was fueled by relevant growth in AUMs in Asset Management and Wealth Management. The Trading business was also up, boosted by higher volatility. These trends were partially offset by an uptick in operating expenses, which reflects a base effect associated with a low comparative base last year. </w:t>
            </w:r>
          </w:p>
        </w:tc>
      </w:tr>
      <w:tr>
        <w:trPr/>
        <w:tc>
          <w:tcPr>
            <w:tcW w:w="4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71" w:type="dxa"/>
            <w:tcBorders/>
            <w:vAlign w:val="center"/>
          </w:tcPr>
          <w:p>
            <w:pPr>
              <w:pStyle w:val="TableContents"/>
              <w:bidi w:val="0"/>
              <w:spacing w:before="0" w:after="283"/>
              <w:jc w:val="left"/>
              <w:rPr/>
            </w:pPr>
            <w:r>
              <w:rPr/>
              <w:t> </w:t>
            </w:r>
          </w:p>
        </w:tc>
      </w:tr>
      <w:tr>
        <w:trPr/>
        <w:tc>
          <w:tcPr>
            <w:tcW w:w="10205" w:type="dxa"/>
            <w:gridSpan w:val="3"/>
            <w:tcBorders/>
            <w:shd w:fill="FCDB00" w:val="clear"/>
            <w:vAlign w:val="center"/>
          </w:tcPr>
          <w:p>
            <w:pPr>
              <w:pStyle w:val="TableContents"/>
              <w:bidi w:val="0"/>
              <w:spacing w:before="0" w:after="0"/>
              <w:jc w:val="center"/>
              <w:rPr>
                <w:b/>
                <w:color w:val="FFFFFF"/>
              </w:rPr>
            </w:pPr>
            <w:r>
              <w:rPr>
                <w:b/>
                <w:color w:val="FFFFFF"/>
              </w:rPr>
              <w:t>Outlook </w:t>
            </w:r>
          </w:p>
        </w:tc>
      </w:tr>
      <w:tr>
        <w:trPr/>
        <w:tc>
          <w:tcPr>
            <w:tcW w:w="4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71" w:type="dxa"/>
            <w:tcBorders/>
            <w:vAlign w:val="center"/>
          </w:tcPr>
          <w:p>
            <w:pPr>
              <w:pStyle w:val="TableContents"/>
              <w:bidi w:val="0"/>
              <w:spacing w:before="0" w:after="283"/>
              <w:jc w:val="left"/>
              <w:rPr/>
            </w:pPr>
            <w:r>
              <w:rPr/>
              <w:t> </w:t>
            </w:r>
          </w:p>
        </w:tc>
      </w:tr>
      <w:tr>
        <w:trPr/>
        <w:tc>
          <w:tcPr>
            <w:tcW w:w="10205" w:type="dxa"/>
            <w:gridSpan w:val="3"/>
            <w:tcBorders>
              <w:top w:val="single" w:sz="8" w:space="0" w:color="FCDB00"/>
              <w:left w:val="single" w:sz="8" w:space="0" w:color="FCDB00"/>
              <w:bottom w:val="single" w:sz="8" w:space="0" w:color="FCDB00"/>
              <w:right w:val="single" w:sz="8" w:space="0" w:color="FCDB00"/>
            </w:tcBorders>
            <w:tcMar>
              <w:top w:w="60" w:type="dxa"/>
              <w:left w:w="60" w:type="dxa"/>
              <w:bottom w:w="60" w:type="dxa"/>
              <w:right w:w="60" w:type="dxa"/>
            </w:tcMar>
            <w:vAlign w:val="center"/>
          </w:tcPr>
          <w:p>
            <w:pPr>
              <w:pStyle w:val="TableContents"/>
              <w:bidi w:val="0"/>
              <w:spacing w:before="0" w:after="0"/>
              <w:ind w:left="0" w:right="0" w:hanging="0"/>
              <w:jc w:val="both"/>
              <w:rPr/>
            </w:pPr>
            <w:r>
              <w:rPr/>
              <w:t>We reaffirm our 2026 ROE guidance of around 19.5%, with a current bias to the upside, subject to the evolution of El Niño. This outlook is supported by stronger loan growth, NIM and risk-adjusted NIM trending toward the high end of guidance, and stronger fee income. </w:t>
            </w:r>
          </w:p>
        </w:tc>
      </w:tr>
      <w:tr>
        <w:trPr/>
        <w:tc>
          <w:tcPr>
            <w:tcW w:w="4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71"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7050" w:type="dxa"/>
        <w:jc w:val="left"/>
        <w:tblInd w:w="0" w:type="dxa"/>
        <w:tblLayout w:type="fixed"/>
        <w:tblCellMar>
          <w:top w:w="0" w:type="dxa"/>
          <w:left w:w="0" w:type="dxa"/>
          <w:bottom w:w="0" w:type="dxa"/>
          <w:right w:w="0" w:type="dxa"/>
        </w:tblCellMar>
      </w:tblPr>
      <w:tblGrid>
        <w:gridCol w:w="1995"/>
        <w:gridCol w:w="65"/>
        <w:gridCol w:w="227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b w:val="false"/>
                <w:i w:val="false"/>
                <w:caps w:val="false"/>
                <w:smallCaps w:val="false"/>
                <w:color w:val="FF00FF"/>
                <w:sz w:val="16"/>
              </w:rPr>
            </w:pPr>
            <w:r>
              <w:rPr>
                <w:rFonts w:ascii="Times New Roman;Times;serif" w:hAnsi="Times New Roman;Times;serif"/>
                <w:b w:val="false"/>
                <w:i w:val="false"/>
                <w:caps w:val="false"/>
                <w:smallCaps w:val="false"/>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Financial Overview</w:t>
            </w:r>
          </w:p>
        </w:tc>
      </w:tr>
    </w:tbl>
    <w:p>
      <w:pPr>
        <w:pStyle w:val="TextBody"/>
        <w:bidi w:val="0"/>
        <w:spacing w:before="0" w:after="0"/>
        <w:ind w:left="175" w:right="0" w:hanging="0"/>
        <w:jc w:val="both"/>
        <w:rPr>
          <w:caps w:val="false"/>
          <w:smallCaps w:val="false"/>
          <w:color w:val="FFFFFF"/>
        </w:rPr>
      </w:pPr>
      <w:r>
        <w:rPr>
          <w:caps w:val="false"/>
          <w:smallCaps w:val="false"/>
          <w:color w:val="FFFFFF"/>
        </w:rPr>
        <w:t> </w:t>
      </w:r>
    </w:p>
    <w:tbl>
      <w:tblPr>
        <w:tblW w:w="10205" w:type="dxa"/>
        <w:jc w:val="center"/>
        <w:tblInd w:w="0" w:type="dxa"/>
        <w:tblLayout w:type="fixed"/>
        <w:tblCellMar>
          <w:top w:w="28" w:type="dxa"/>
          <w:left w:w="108" w:type="dxa"/>
          <w:bottom w:w="0" w:type="dxa"/>
          <w:right w:w="0" w:type="dxa"/>
        </w:tblCellMar>
      </w:tblPr>
      <w:tblGrid>
        <w:gridCol w:w="3585"/>
        <w:gridCol w:w="920"/>
        <w:gridCol w:w="920"/>
        <w:gridCol w:w="920"/>
        <w:gridCol w:w="513"/>
        <w:gridCol w:w="586"/>
        <w:gridCol w:w="920"/>
        <w:gridCol w:w="920"/>
        <w:gridCol w:w="921"/>
      </w:tblGrid>
      <w:tr>
        <w:trPr/>
        <w:tc>
          <w:tcPr>
            <w:tcW w:w="3585" w:type="dxa"/>
            <w:tcBorders>
              <w:top w:val="single" w:sz="8" w:space="0" w:color="000000"/>
              <w:lef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Credicorp Ltd. </w:t>
            </w:r>
          </w:p>
        </w:tc>
        <w:tc>
          <w:tcPr>
            <w:tcW w:w="2760" w:type="dxa"/>
            <w:gridSpan w:val="3"/>
            <w:tcBorders>
              <w:top w:val="single" w:sz="8" w:space="0" w:color="000000"/>
              <w:left w:val="single" w:sz="8" w:space="0" w:color="000000"/>
              <w:right w:val="single" w:sz="8" w:space="0" w:color="000000"/>
            </w:tcBorders>
            <w:shd w:fill="2AD2C9" w:val="clear"/>
            <w:tcMar>
              <w:left w:w="6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1099" w:type="dxa"/>
            <w:gridSpan w:val="2"/>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840" w:type="dxa"/>
            <w:gridSpan w:val="2"/>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921" w:type="dxa"/>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58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920" w:type="dxa"/>
            <w:tcBorders>
              <w:left w:val="single" w:sz="8" w:space="0" w:color="000000"/>
            </w:tcBorders>
            <w:shd w:fill="2AD2C9" w:val="clear"/>
            <w:tcMar>
              <w:top w:w="0" w:type="dxa"/>
              <w:lef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920" w:type="dxa"/>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920" w:type="dxa"/>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513" w:type="dxa"/>
            <w:tcBorders>
              <w:left w:val="single" w:sz="8" w:space="0" w:color="000000"/>
            </w:tcBorders>
            <w:shd w:fill="2AD2C9" w:val="clear"/>
            <w:tcMar>
              <w:top w:w="0" w:type="dxa"/>
              <w:lef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86"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920" w:type="dxa"/>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921" w:type="dxa"/>
            <w:tcBorders>
              <w:left w:val="single" w:sz="8" w:space="0" w:color="000000"/>
              <w:right w:val="single" w:sz="8" w:space="0" w:color="000000"/>
            </w:tcBorders>
            <w:shd w:fill="2AD2C9" w:val="clear"/>
            <w:tcMar>
              <w:top w:w="0" w:type="dxa"/>
              <w:left w:w="6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interest, similar income and expenses</w:t>
            </w:r>
          </w:p>
        </w:tc>
        <w:tc>
          <w:tcPr>
            <w:tcW w:w="92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3,615,371</w:t>
            </w:r>
          </w:p>
        </w:tc>
        <w:tc>
          <w:tcPr>
            <w:tcW w:w="92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3,962,727</w:t>
            </w:r>
          </w:p>
        </w:tc>
        <w:tc>
          <w:tcPr>
            <w:tcW w:w="920"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4,096,951</w:t>
            </w:r>
          </w:p>
        </w:tc>
        <w:tc>
          <w:tcPr>
            <w:tcW w:w="513" w:type="dxa"/>
            <w:tcBorders>
              <w:top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w:t>
            </w:r>
          </w:p>
        </w:tc>
        <w:tc>
          <w:tcPr>
            <w:tcW w:w="92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7,187,383</w:t>
            </w:r>
          </w:p>
        </w:tc>
        <w:tc>
          <w:tcPr>
            <w:tcW w:w="920"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8,059,678</w:t>
            </w:r>
          </w:p>
        </w:tc>
        <w:tc>
          <w:tcPr>
            <w:tcW w:w="921" w:type="dxa"/>
            <w:tcBorders>
              <w:top w:val="single" w:sz="8" w:space="0" w:color="000000"/>
              <w:right w:val="single" w:sz="8" w:space="0" w:color="000000"/>
            </w:tcBorders>
            <w:shd w:fill="FFFFFF" w:val="clear"/>
            <w:tcMar>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Provision for credit losses on loan portfolio, net of  recoveries</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(575,159)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(482,088)</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(731,208)</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51.7%</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27.1%</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(1,157,052)</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(1,213,296)</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interest, similar income and expenses, after provision for credit losses on loan portfolio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3,040,212</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3,480,639</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3,365,743</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6,030,331</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6,846,382</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1,677,373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1,856,324</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2,042,202</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3,367,589</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3,898,526</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Insurance underwriting result</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350,873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299,063</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288,014</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680,007</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587,077</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Medical services result</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123,319 pp</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123,838</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133,439</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8.2%</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166,008</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257,277</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55.0%</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expenses</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(2,630,310)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(2,840,831)</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(2,989,462)</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(5,163,184)</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(5,830,293)</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Profit before income tax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2,561,467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2,919,033</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2,839,936</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5,080,751</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5,758,969</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(696,969)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(808,891)</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(814,357)</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0.7%</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(1,401,438)</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(1,623,248)</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profit</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1,864,498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2,110,142</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2,025,579</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3,679,313</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4,135,721</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12.4%</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Non-controlling interest</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42,483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46,958</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43,657</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79,601</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90,615</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13.8%</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profit attributable to Credicorp</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1,822,015</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2,063,184</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1,981,922</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3,599,712</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4,045,106</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12.4%</w:t>
            </w:r>
          </w:p>
        </w:tc>
      </w:tr>
      <w:tr>
        <w:trPr/>
        <w:tc>
          <w:tcPr>
            <w:tcW w:w="358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Dividends paid to third parties</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3,181,440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3,978,758</w:t>
            </w:r>
          </w:p>
        </w:tc>
        <w:tc>
          <w:tcPr>
            <w:tcW w:w="513"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25.1%</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3,181,440</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3,978,758</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25.1%</w:t>
            </w:r>
          </w:p>
        </w:tc>
      </w:tr>
      <w:tr>
        <w:trPr/>
        <w:tc>
          <w:tcPr>
            <w:tcW w:w="358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 share (S/)</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26.0</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45.3</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50.9</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12.4%</w:t>
            </w:r>
          </w:p>
        </w:tc>
      </w:tr>
      <w:tr>
        <w:trPr/>
        <w:tc>
          <w:tcPr>
            <w:tcW w:w="358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Dividends per Share (S/)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50.0</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40.1</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50.1</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25.1%</w:t>
            </w:r>
          </w:p>
        </w:tc>
      </w:tr>
      <w:tr>
        <w:trPr/>
        <w:tc>
          <w:tcPr>
            <w:tcW w:w="3585" w:type="dxa"/>
            <w:tcBorders>
              <w:top w:val="single" w:sz="8" w:space="0" w:color="000000"/>
              <w:left w:val="single" w:sz="8" w:space="0" w:color="000000"/>
              <w:right w:val="single" w:sz="8" w:space="0" w:color="000000"/>
            </w:tcBorders>
            <w:shd w:fill="FFFFFF" w:val="clear"/>
            <w:tcMar>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Loans</w:t>
            </w:r>
          </w:p>
        </w:tc>
        <w:tc>
          <w:tcPr>
            <w:tcW w:w="92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140,961,978</w:t>
            </w:r>
          </w:p>
        </w:tc>
        <w:tc>
          <w:tcPr>
            <w:tcW w:w="92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152,824,685</w:t>
            </w:r>
          </w:p>
        </w:tc>
        <w:tc>
          <w:tcPr>
            <w:tcW w:w="920"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159,434,397</w:t>
            </w:r>
          </w:p>
        </w:tc>
        <w:tc>
          <w:tcPr>
            <w:tcW w:w="513" w:type="dxa"/>
            <w:tcBorders>
              <w:top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w:t>
            </w:r>
          </w:p>
        </w:tc>
        <w:tc>
          <w:tcPr>
            <w:tcW w:w="586" w:type="dxa"/>
            <w:tcBorders>
              <w:top w:val="single" w:sz="8" w:space="0" w:color="000000"/>
              <w:right w:val="single" w:sz="8" w:space="0" w:color="000000"/>
            </w:tcBorders>
            <w:shd w:fill="FFFFFF" w:val="clear"/>
            <w:tcMar>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w:t>
            </w:r>
          </w:p>
        </w:tc>
        <w:tc>
          <w:tcPr>
            <w:tcW w:w="92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140,961,978</w:t>
            </w:r>
          </w:p>
        </w:tc>
        <w:tc>
          <w:tcPr>
            <w:tcW w:w="920"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159,434,397</w:t>
            </w:r>
          </w:p>
        </w:tc>
        <w:tc>
          <w:tcPr>
            <w:tcW w:w="921" w:type="dxa"/>
            <w:tcBorders>
              <w:top w:val="single" w:sz="8" w:space="0" w:color="000000"/>
              <w:right w:val="single" w:sz="8" w:space="0" w:color="000000"/>
            </w:tcBorders>
            <w:shd w:fill="FFFFFF" w:val="clear"/>
            <w:tcMar>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Deposits and obligations</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154,723,334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178,880,666</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182,120,766</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154,723,334</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182,120,766</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17.7%</w:t>
            </w:r>
          </w:p>
        </w:tc>
      </w:tr>
      <w:tr>
        <w:trPr/>
        <w:tc>
          <w:tcPr>
            <w:tcW w:w="3585" w:type="dxa"/>
            <w:tcBorders>
              <w:left w:val="single" w:sz="8" w:space="0" w:color="000000"/>
              <w:bottom w:val="single" w:sz="8" w:space="0" w:color="000000"/>
              <w:right w:val="single" w:sz="8" w:space="0" w:color="000000"/>
            </w:tcBorders>
            <w:shd w:fill="FFFFFF" w:val="clear"/>
            <w:tcMar>
              <w:top w:w="0" w:type="dxa"/>
              <w:bottom w:w="28"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equity</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34,459,012</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40,018,343</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38,121,924</w:t>
            </w:r>
          </w:p>
        </w:tc>
        <w:tc>
          <w:tcPr>
            <w:tcW w:w="513" w:type="dxa"/>
            <w:tcBorders>
              <w:left w:val="single" w:sz="8" w:space="0" w:color="000000"/>
              <w:bottom w:val="single" w:sz="8" w:space="0" w:color="000000"/>
            </w:tcBorders>
            <w:shd w:fill="FFFFFF" w:val="clear"/>
            <w:tcMar>
              <w:top w:w="0" w:type="dxa"/>
              <w:left w:w="6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w:t>
            </w:r>
          </w:p>
        </w:tc>
        <w:tc>
          <w:tcPr>
            <w:tcW w:w="586"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34,459,012</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38,121,924</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w:t>
            </w:r>
          </w:p>
        </w:tc>
      </w:tr>
      <w:tr>
        <w:trPr/>
        <w:tc>
          <w:tcPr>
            <w:tcW w:w="358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Profitability</w:t>
            </w:r>
          </w:p>
        </w:tc>
        <w:tc>
          <w:tcPr>
            <w:tcW w:w="920" w:type="dxa"/>
            <w:tcBorders/>
            <w:tcMar>
              <w:top w:w="0" w:type="dxa"/>
              <w:left w:w="0" w:type="dxa"/>
            </w:tcMar>
            <w:vAlign w:val="center"/>
          </w:tcPr>
          <w:p>
            <w:pPr>
              <w:pStyle w:val="TableContents"/>
              <w:bidi w:val="0"/>
              <w:spacing w:before="0" w:after="283"/>
              <w:jc w:val="center"/>
              <w:rPr/>
            </w:pPr>
            <w:r>
              <w:rPr/>
              <w:t> </w:t>
            </w:r>
          </w:p>
        </w:tc>
        <w:tc>
          <w:tcPr>
            <w:tcW w:w="920" w:type="dxa"/>
            <w:tcBorders/>
            <w:tcMar>
              <w:top w:w="0" w:type="dxa"/>
              <w:lef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513" w:type="dxa"/>
            <w:tcBorders/>
            <w:shd w:fill="FFFFFF" w:val="clear"/>
            <w:tcMar>
              <w:top w:w="0" w:type="dxa"/>
              <w:left w:w="0" w:type="dxa"/>
            </w:tcMar>
            <w:vAlign w:val="center"/>
          </w:tcPr>
          <w:p>
            <w:pPr>
              <w:pStyle w:val="TableContents"/>
              <w:bidi w:val="0"/>
              <w:spacing w:before="0" w:after="283"/>
              <w:jc w:val="center"/>
              <w:rPr/>
            </w:pPr>
            <w:r>
              <w:rPr/>
              <w:t>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920" w:type="dxa"/>
            <w:tcBorders/>
            <w:tcMar>
              <w:top w:w="0" w:type="dxa"/>
              <w:lef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21" w:type="dxa"/>
            <w:tcBorders>
              <w:top w:val="single" w:sz="8" w:space="0" w:color="000000"/>
              <w:right w:val="single" w:sz="8" w:space="0" w:color="000000"/>
            </w:tcBorders>
            <w:shd w:fill="FFFFFF" w:val="clear"/>
            <w:tcMar>
              <w:left w:w="0" w:type="dxa"/>
              <w:right w:w="60" w:type="dxa"/>
            </w:tcMar>
            <w:vAlign w:val="center"/>
          </w:tcPr>
          <w:p>
            <w:pPr>
              <w:pStyle w:val="TableContents"/>
              <w:bidi w:val="0"/>
              <w:spacing w:before="0" w:after="283"/>
              <w:jc w:val="center"/>
              <w:rPr/>
            </w:pPr>
            <w:r>
              <w:rPr/>
              <w:t> </w:t>
            </w:r>
          </w:p>
        </w:tc>
      </w:tr>
      <w:tr>
        <w:trPr/>
        <w:tc>
          <w:tcPr>
            <w:tcW w:w="3585" w:type="dxa"/>
            <w:tcBorders>
              <w:left w:val="single" w:sz="8" w:space="0" w:color="000000"/>
              <w:right w:val="single" w:sz="8" w:space="0" w:color="000000"/>
            </w:tcBorders>
            <w:tcMar>
              <w:top w:w="0" w:type="dxa"/>
              <w:right w:w="10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Net interest margin</w:t>
            </w:r>
            <w:r>
              <w:rPr>
                <w:rFonts w:ascii="Times New Roman;Times;Serif" w:hAnsi="Times New Roman;Times;Serif"/>
                <w:b w:val="false"/>
                <w:i w:val="false"/>
                <w:caps w:val="false"/>
                <w:smallCaps w:val="false"/>
                <w:sz w:val="16"/>
              </w:rPr>
              <w:t>(1)</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5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21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31 pbs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Risk-adjusted Net interest margin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-32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5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33 pbs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Funding cost</w:t>
            </w:r>
            <w:r>
              <w:rPr>
                <w:rFonts w:ascii="Times New Roman;Times;Serif" w:hAnsi="Times New Roman;Times;Serif"/>
                <w:b w:val="false"/>
                <w:i w:val="false"/>
                <w:caps w:val="false"/>
                <w:smallCaps w:val="false"/>
                <w:sz w:val="16"/>
              </w:rPr>
              <w:t>(2)</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5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-29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-30 pbs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ROAE</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21.1%</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20.3%</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-77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-44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21.2%</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22 pbs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ROAA</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-20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-8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9 pbs </w:t>
            </w:r>
          </w:p>
        </w:tc>
      </w:tr>
      <w:tr>
        <w:trPr/>
        <w:tc>
          <w:tcPr>
            <w:tcW w:w="3585" w:type="dxa"/>
            <w:tcBorders>
              <w:top w:val="single" w:sz="8" w:space="0" w:color="000000"/>
              <w:left w:val="single" w:sz="8" w:space="0" w:color="000000"/>
              <w:right w:val="single" w:sz="8" w:space="0" w:color="000000"/>
            </w:tcBorders>
            <w:shd w:fill="FFFFFF" w:val="clear"/>
            <w:tcMar>
              <w:right w:w="10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Loan portfolio quality</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513" w:type="dxa"/>
            <w:tcBorders>
              <w:top w:val="single" w:sz="8" w:space="0" w:color="000000"/>
              <w:left w:val="single" w:sz="8" w:space="0" w:color="000000"/>
            </w:tcBorders>
            <w:shd w:fill="FFFFFF" w:val="clear"/>
            <w:tcMar>
              <w:left w:w="60" w:type="dxa"/>
            </w:tcMar>
            <w:vAlign w:val="center"/>
          </w:tcPr>
          <w:p>
            <w:pPr>
              <w:pStyle w:val="TableContents"/>
              <w:bidi w:val="0"/>
              <w:spacing w:before="0" w:after="283"/>
              <w:jc w:val="center"/>
              <w:rPr/>
            </w:pPr>
            <w:r>
              <w:rPr/>
              <w:t> </w:t>
            </w:r>
          </w:p>
        </w:tc>
        <w:tc>
          <w:tcPr>
            <w:tcW w:w="586" w:type="dxa"/>
            <w:tcBorders>
              <w:top w:val="single" w:sz="8" w:space="0" w:color="000000"/>
              <w:right w:val="single" w:sz="8" w:space="0" w:color="000000"/>
            </w:tcBorders>
            <w:shd w:fill="FFFFFF" w:val="clear"/>
            <w:tcMar>
              <w:left w:w="0" w:type="dxa"/>
              <w:right w:w="60" w:type="dxa"/>
            </w:tcMar>
            <w:vAlign w:val="center"/>
          </w:tcPr>
          <w:p>
            <w:pPr>
              <w:pStyle w:val="TableContents"/>
              <w:bidi w:val="0"/>
              <w:spacing w:before="0" w:after="283"/>
              <w:jc w:val="center"/>
              <w:rPr/>
            </w:pPr>
            <w:r>
              <w:rPr/>
              <w:t> </w:t>
            </w:r>
          </w:p>
        </w:tc>
        <w:tc>
          <w:tcPr>
            <w:tcW w:w="920" w:type="dxa"/>
            <w:tcBorders>
              <w:top w:val="single" w:sz="8" w:space="0" w:color="000000"/>
            </w:tcBorders>
            <w:shd w:fill="FFFFFF" w:val="clear"/>
            <w:tcMar>
              <w:left w:w="0" w:type="dxa"/>
            </w:tcMar>
            <w:vAlign w:val="center"/>
          </w:tcPr>
          <w:p>
            <w:pPr>
              <w:pStyle w:val="TableContents"/>
              <w:bidi w:val="0"/>
              <w:spacing w:before="0" w:after="283"/>
              <w:jc w:val="center"/>
              <w:rPr/>
            </w:pPr>
            <w:r>
              <w:rPr/>
              <w:t> </w:t>
            </w:r>
          </w:p>
        </w:tc>
        <w:tc>
          <w:tcPr>
            <w:tcW w:w="920" w:type="dxa"/>
            <w:tcBorders>
              <w:top w:val="single" w:sz="8" w:space="0" w:color="000000"/>
            </w:tcBorders>
            <w:shd w:fill="FFFFFF" w:val="clear"/>
            <w:tcMar>
              <w:left w:w="0" w:type="dxa"/>
            </w:tcMar>
            <w:vAlign w:val="center"/>
          </w:tcPr>
          <w:p>
            <w:pPr>
              <w:pStyle w:val="TableContents"/>
              <w:bidi w:val="0"/>
              <w:spacing w:before="0" w:after="283"/>
              <w:jc w:val="center"/>
              <w:rPr/>
            </w:pPr>
            <w:r>
              <w:rPr/>
              <w:t> </w:t>
            </w:r>
          </w:p>
        </w:tc>
        <w:tc>
          <w:tcPr>
            <w:tcW w:w="921" w:type="dxa"/>
            <w:tcBorders>
              <w:top w:val="single" w:sz="8" w:space="0" w:color="000000"/>
              <w:left w:val="single" w:sz="8" w:space="0" w:color="000000"/>
              <w:right w:val="single" w:sz="8" w:space="0" w:color="000000"/>
            </w:tcBorders>
            <w:shd w:fill="FFFFFF" w:val="clear"/>
            <w:tcMar>
              <w:left w:w="60" w:type="dxa"/>
              <w:right w:w="60" w:type="dxa"/>
            </w:tcMar>
            <w:vAlign w:val="center"/>
          </w:tcPr>
          <w:p>
            <w:pPr>
              <w:pStyle w:val="TableContents"/>
              <w:bidi w:val="0"/>
              <w:spacing w:before="0" w:after="283"/>
              <w:jc w:val="center"/>
              <w:rPr/>
            </w:pPr>
            <w:r>
              <w:rPr/>
              <w:t>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Internal overdue ratio</w:t>
            </w:r>
            <w:r>
              <w:rPr>
                <w:rFonts w:ascii="Times New Roman;Times;Serif" w:hAnsi="Times New Roman;Times;Serif"/>
                <w:b w:val="false"/>
                <w:i w:val="false"/>
                <w:caps w:val="false"/>
                <w:smallCaps w:val="false"/>
                <w:sz w:val="16"/>
              </w:rPr>
              <w:t>(3)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-10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-75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-75 pbs </w:t>
            </w:r>
          </w:p>
        </w:tc>
      </w:tr>
      <w:tr>
        <w:trPr/>
        <w:tc>
          <w:tcPr>
            <w:tcW w:w="358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Internal overdue ratio over 90 days</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513" w:type="dxa"/>
            <w:tcBorders>
              <w:left w:val="single" w:sz="8" w:space="0" w:color="000000"/>
            </w:tcBorders>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-12 pbs </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-67 pbs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921" w:type="dxa"/>
            <w:tcBorders>
              <w:left w:val="single" w:sz="8" w:space="0" w:color="000000"/>
              <w:right w:val="single" w:sz="8" w:space="0" w:color="000000"/>
            </w:tcBorders>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-67 pbs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NPL ratio</w:t>
            </w:r>
            <w:r>
              <w:rPr>
                <w:rFonts w:ascii="Times New Roman;Times;Serif" w:hAnsi="Times New Roman;Times;Serif"/>
                <w:b w:val="false"/>
                <w:i w:val="false"/>
                <w:caps w:val="false"/>
                <w:smallCaps w:val="false"/>
                <w:sz w:val="16"/>
              </w:rPr>
              <w:t>(4)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-22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-91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-91 pbs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Cost of risk</w:t>
            </w:r>
            <w:r>
              <w:rPr>
                <w:rFonts w:ascii="Times New Roman;Times;Serif" w:hAnsi="Times New Roman;Times;Serif"/>
                <w:b w:val="false"/>
                <w:i w:val="false"/>
                <w:caps w:val="false"/>
                <w:smallCaps w:val="false"/>
                <w:sz w:val="16"/>
              </w:rPr>
              <w:t>(5)</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60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24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-4 pbs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Coverage ratio of IOLs</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165.9%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168.2%</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225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1635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151.8%</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168.2%</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1635 pbs </w:t>
            </w:r>
          </w:p>
        </w:tc>
      </w:tr>
      <w:tr>
        <w:trPr/>
        <w:tc>
          <w:tcPr>
            <w:tcW w:w="3585" w:type="dxa"/>
            <w:tcBorders>
              <w:left w:val="single" w:sz="8" w:space="0" w:color="000000"/>
              <w:bottom w:val="single" w:sz="8" w:space="0" w:color="000000"/>
              <w:right w:val="single" w:sz="8" w:space="0" w:color="000000"/>
            </w:tcBorders>
            <w:shd w:fill="FFFFFF" w:val="clear"/>
            <w:tcMar>
              <w:top w:w="0" w:type="dxa"/>
              <w:bottom w:w="28"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Coverage ratio of NPLs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109.5%</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113.8%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117.3%</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349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778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109.5%</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117.3%</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778 pbs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Operating efficiency</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513" w:type="dxa"/>
            <w:tcBorders>
              <w:top w:val="single" w:sz="8" w:space="0" w:color="000000"/>
              <w:left w:val="single" w:sz="8" w:space="0" w:color="000000"/>
            </w:tcBorders>
            <w:shd w:fill="FFFFFF" w:val="clear"/>
            <w:tcMar>
              <w:left w:w="60" w:type="dxa"/>
            </w:tcMar>
            <w:vAlign w:val="center"/>
          </w:tcPr>
          <w:p>
            <w:pPr>
              <w:pStyle w:val="TableContents"/>
              <w:bidi w:val="0"/>
              <w:spacing w:before="0" w:after="283"/>
              <w:jc w:val="center"/>
              <w:rPr/>
            </w:pPr>
            <w:r>
              <w:rPr/>
              <w:t> </w:t>
            </w:r>
          </w:p>
        </w:tc>
        <w:tc>
          <w:tcPr>
            <w:tcW w:w="586" w:type="dxa"/>
            <w:tcBorders>
              <w:top w:val="single" w:sz="8" w:space="0" w:color="000000"/>
              <w:right w:val="single" w:sz="8" w:space="0" w:color="000000"/>
            </w:tcBorders>
            <w:shd w:fill="FFFFFF" w:val="clear"/>
            <w:tcMar>
              <w:left w:w="0" w:type="dxa"/>
              <w:right w:w="60" w:type="dxa"/>
            </w:tcMar>
            <w:vAlign w:val="center"/>
          </w:tcPr>
          <w:p>
            <w:pPr>
              <w:pStyle w:val="TableContents"/>
              <w:bidi w:val="0"/>
              <w:spacing w:before="0" w:after="283"/>
              <w:jc w:val="center"/>
              <w:rPr/>
            </w:pPr>
            <w:r>
              <w:rPr/>
              <w:t> </w:t>
            </w:r>
          </w:p>
        </w:tc>
        <w:tc>
          <w:tcPr>
            <w:tcW w:w="920" w:type="dxa"/>
            <w:tcBorders>
              <w:top w:val="single" w:sz="8" w:space="0" w:color="000000"/>
            </w:tcBorders>
            <w:shd w:fill="FFFFFF" w:val="clear"/>
            <w:tcMar>
              <w:left w:w="0" w:type="dxa"/>
            </w:tcMar>
            <w:vAlign w:val="center"/>
          </w:tcPr>
          <w:p>
            <w:pPr>
              <w:pStyle w:val="TableContents"/>
              <w:bidi w:val="0"/>
              <w:spacing w:before="0" w:after="283"/>
              <w:jc w:val="center"/>
              <w:rPr/>
            </w:pPr>
            <w:r>
              <w:rPr/>
              <w:t> </w:t>
            </w:r>
          </w:p>
        </w:tc>
        <w:tc>
          <w:tcPr>
            <w:tcW w:w="920" w:type="dxa"/>
            <w:tcBorders>
              <w:top w:val="single" w:sz="8" w:space="0" w:color="000000"/>
            </w:tcBorders>
            <w:shd w:fill="FFFFFF" w:val="clear"/>
            <w:tcMar>
              <w:left w:w="0" w:type="dxa"/>
            </w:tcMar>
            <w:vAlign w:val="center"/>
          </w:tcPr>
          <w:p>
            <w:pPr>
              <w:pStyle w:val="TableContents"/>
              <w:bidi w:val="0"/>
              <w:spacing w:before="0" w:after="283"/>
              <w:jc w:val="center"/>
              <w:rPr/>
            </w:pPr>
            <w:r>
              <w:rPr/>
              <w:t> </w:t>
            </w:r>
          </w:p>
        </w:tc>
        <w:tc>
          <w:tcPr>
            <w:tcW w:w="921" w:type="dxa"/>
            <w:tcBorders>
              <w:top w:val="single" w:sz="8" w:space="0" w:color="000000"/>
              <w:left w:val="single" w:sz="8" w:space="0" w:color="000000"/>
              <w:right w:val="single" w:sz="8" w:space="0" w:color="000000"/>
            </w:tcBorders>
            <w:shd w:fill="FFFFFF" w:val="clear"/>
            <w:tcMar>
              <w:left w:w="60" w:type="dxa"/>
              <w:right w:w="60" w:type="dxa"/>
            </w:tcMar>
            <w:vAlign w:val="center"/>
          </w:tcPr>
          <w:p>
            <w:pPr>
              <w:pStyle w:val="TableContents"/>
              <w:bidi w:val="0"/>
              <w:spacing w:before="0" w:after="283"/>
              <w:jc w:val="center"/>
              <w:rPr/>
            </w:pPr>
            <w:r>
              <w:rPr/>
              <w:t> </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Operating income</w:t>
            </w:r>
            <w:r>
              <w:rPr>
                <w:rFonts w:ascii="Times New Roman;Times;Serif" w:hAnsi="Times New Roman;Times;Serif"/>
                <w:b w:val="false"/>
                <w:i w:val="false"/>
                <w:caps w:val="false"/>
                <w:smallCaps w:val="false"/>
                <w:sz w:val="16"/>
              </w:rPr>
              <w:t>(6)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5,529,301</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6,029,112</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6,231,110</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10,869,500</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12,260,222</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Operating expenses</w:t>
            </w:r>
            <w:r>
              <w:rPr>
                <w:rFonts w:ascii="Times New Roman;Times;Serif" w:hAnsi="Times New Roman;Times;Serif"/>
                <w:b w:val="false"/>
                <w:i w:val="false"/>
                <w:caps w:val="false"/>
                <w:smallCaps w:val="false"/>
                <w:sz w:val="16"/>
              </w:rPr>
              <w:t>(7)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2,483,493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2,762,628</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2,825,995</w:t>
            </w:r>
          </w:p>
        </w:tc>
        <w:tc>
          <w:tcPr>
            <w:tcW w:w="513"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4,925,582</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5,588,623</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w:t>
            </w:r>
          </w:p>
        </w:tc>
      </w:tr>
      <w:tr>
        <w:trPr/>
        <w:tc>
          <w:tcPr>
            <w:tcW w:w="3585" w:type="dxa"/>
            <w:tcBorders>
              <w:left w:val="single" w:sz="8" w:space="0" w:color="000000"/>
              <w:right w:val="single" w:sz="8" w:space="0" w:color="000000"/>
            </w:tcBorders>
            <w:shd w:fill="FFFFFF" w:val="clear"/>
            <w:tcMar>
              <w:top w:w="0" w:type="dxa"/>
              <w:right w:w="10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Efficiency ratio</w:t>
            </w:r>
            <w:r>
              <w:rPr>
                <w:rFonts w:ascii="Times New Roman;Times;Serif" w:hAnsi="Times New Roman;Times;Serif"/>
                <w:b w:val="false"/>
                <w:i w:val="false"/>
                <w:caps w:val="false"/>
                <w:smallCaps w:val="false"/>
                <w:sz w:val="16"/>
              </w:rPr>
              <w:t>(8)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45.4%</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-47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43 pbs </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45.3%</w:t>
            </w:r>
          </w:p>
        </w:tc>
        <w:tc>
          <w:tcPr>
            <w:tcW w:w="920" w:type="dxa"/>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45.6%</w:t>
            </w:r>
          </w:p>
        </w:tc>
        <w:tc>
          <w:tcPr>
            <w:tcW w:w="921" w:type="dxa"/>
            <w:tcBorders>
              <w:left w:val="single" w:sz="8" w:space="0" w:color="000000"/>
              <w:right w:val="single" w:sz="8" w:space="0" w:color="000000"/>
            </w:tcBorders>
            <w:shd w:fill="FFFFFF" w:val="clear"/>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26 pbs </w:t>
            </w:r>
          </w:p>
        </w:tc>
      </w:tr>
      <w:tr>
        <w:trPr/>
        <w:tc>
          <w:tcPr>
            <w:tcW w:w="3585" w:type="dxa"/>
            <w:tcBorders>
              <w:left w:val="single" w:sz="8" w:space="0" w:color="000000"/>
              <w:bottom w:val="single" w:sz="8" w:space="0" w:color="000000"/>
              <w:right w:val="single" w:sz="8" w:space="0" w:color="000000"/>
            </w:tcBorders>
            <w:shd w:fill="FFFFFF" w:val="clear"/>
            <w:tcMar>
              <w:top w:w="0" w:type="dxa"/>
              <w:bottom w:w="28" w:type="dxa"/>
              <w:right w:w="10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expenses / Total average assets</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w:t>
            </w:r>
          </w:p>
        </w:tc>
        <w:tc>
          <w:tcPr>
            <w:tcW w:w="513" w:type="dxa"/>
            <w:tcBorders>
              <w:left w:val="single" w:sz="8" w:space="0" w:color="000000"/>
            </w:tcBorders>
            <w:shd w:fill="FFFFFF" w:val="clear"/>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-2 pbs </w:t>
            </w:r>
          </w:p>
        </w:tc>
        <w:tc>
          <w:tcPr>
            <w:tcW w:w="58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8 pbs </w:t>
            </w:r>
          </w:p>
        </w:tc>
        <w:tc>
          <w:tcPr>
            <w:tcW w:w="920"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w:t>
            </w:r>
          </w:p>
        </w:tc>
        <w:tc>
          <w:tcPr>
            <w:tcW w:w="920"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w:t>
            </w:r>
          </w:p>
        </w:tc>
        <w:tc>
          <w:tcPr>
            <w:tcW w:w="921" w:type="dxa"/>
            <w:tcBorders>
              <w:left w:val="single" w:sz="8" w:space="0" w:color="000000"/>
              <w:bottom w:val="single" w:sz="8" w:space="0" w:color="000000"/>
              <w:right w:val="single" w:sz="8" w:space="0" w:color="000000"/>
            </w:tcBorders>
            <w:shd w:fill="FFFFFF" w:val="clear"/>
            <w:tcMar>
              <w:top w:w="0" w:type="dxa"/>
              <w:left w:w="60" w:type="dxa"/>
              <w:bottom w:w="28" w:type="dxa"/>
              <w:right w:w="60" w:type="dxa"/>
            </w:tcMar>
            <w:vAlign w:val="center"/>
          </w:tcPr>
          <w:p>
            <w:pPr>
              <w:pStyle w:val="TableContents"/>
              <w:bidi w:val="0"/>
              <w:spacing w:before="0" w:after="283"/>
              <w:jc w:val="center"/>
              <w:rPr/>
            </w:pPr>
            <w:r>
              <w:rPr/>
              <w:t> </w:t>
            </w:r>
            <w:r>
              <w:rPr>
                <w:rFonts w:ascii="Times New Roman;Times;Serif" w:hAnsi="Times New Roman;Times;Serif"/>
                <w:sz w:val="16"/>
              </w:rPr>
              <w:t>16 pbs </w:t>
            </w:r>
          </w:p>
        </w:tc>
      </w:tr>
      <w:tr>
        <w:trPr/>
        <w:tc>
          <w:tcPr>
            <w:tcW w:w="3585" w:type="dxa"/>
            <w:tcBorders>
              <w:left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Capital adequacy - BCP Stand-alone </w:t>
            </w:r>
          </w:p>
        </w:tc>
        <w:tc>
          <w:tcPr>
            <w:tcW w:w="920" w:type="dxa"/>
            <w:tcBorders/>
            <w:tcMar>
              <w:top w:w="0" w:type="dxa"/>
              <w:left w:w="0" w:type="dxa"/>
            </w:tcMar>
            <w:vAlign w:val="center"/>
          </w:tcPr>
          <w:p>
            <w:pPr>
              <w:pStyle w:val="TableContents"/>
              <w:bidi w:val="0"/>
              <w:spacing w:before="0" w:after="283"/>
              <w:jc w:val="center"/>
              <w:rPr/>
            </w:pPr>
            <w:r>
              <w:rPr/>
              <w:t> </w:t>
            </w:r>
          </w:p>
        </w:tc>
        <w:tc>
          <w:tcPr>
            <w:tcW w:w="920" w:type="dxa"/>
            <w:tcBorders/>
            <w:tcMar>
              <w:top w:w="0" w:type="dxa"/>
              <w:left w:w="0" w:type="dxa"/>
            </w:tcMar>
            <w:vAlign w:val="center"/>
          </w:tcPr>
          <w:p>
            <w:pPr>
              <w:pStyle w:val="TableContents"/>
              <w:bidi w:val="0"/>
              <w:spacing w:before="0" w:after="283"/>
              <w:jc w:val="center"/>
              <w:rPr/>
            </w:pPr>
            <w:r>
              <w:rPr/>
              <w:t> </w:t>
            </w:r>
          </w:p>
        </w:tc>
        <w:tc>
          <w:tcPr>
            <w:tcW w:w="920" w:type="dxa"/>
            <w:tcBorders/>
            <w:tcMar>
              <w:top w:w="0" w:type="dxa"/>
              <w:left w:w="0" w:type="dxa"/>
            </w:tcMar>
            <w:vAlign w:val="center"/>
          </w:tcPr>
          <w:p>
            <w:pPr>
              <w:pStyle w:val="TableContents"/>
              <w:bidi w:val="0"/>
              <w:spacing w:before="0" w:after="283"/>
              <w:jc w:val="center"/>
              <w:rPr/>
            </w:pPr>
            <w:r>
              <w:rPr/>
              <w:t> </w:t>
            </w:r>
          </w:p>
        </w:tc>
        <w:tc>
          <w:tcPr>
            <w:tcW w:w="513" w:type="dxa"/>
            <w:tcBorders>
              <w:top w:val="single" w:sz="8" w:space="0" w:color="000000"/>
              <w:left w:val="single" w:sz="8" w:space="0" w:color="000000"/>
            </w:tcBorders>
            <w:tcMar>
              <w:left w:w="60" w:type="dxa"/>
            </w:tcMar>
            <w:vAlign w:val="center"/>
          </w:tcPr>
          <w:p>
            <w:pPr>
              <w:pStyle w:val="TableContents"/>
              <w:bidi w:val="0"/>
              <w:spacing w:before="0" w:after="283"/>
              <w:jc w:val="center"/>
              <w:rPr/>
            </w:pPr>
            <w:r>
              <w:rPr/>
              <w:t> </w:t>
            </w:r>
          </w:p>
        </w:tc>
        <w:tc>
          <w:tcPr>
            <w:tcW w:w="586"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pPr>
            <w:r>
              <w:rPr/>
              <w:t> </w:t>
            </w:r>
          </w:p>
        </w:tc>
        <w:tc>
          <w:tcPr>
            <w:tcW w:w="920" w:type="dxa"/>
            <w:tcBorders/>
            <w:tcMar>
              <w:top w:w="0" w:type="dxa"/>
              <w:left w:w="0" w:type="dxa"/>
            </w:tcMar>
            <w:vAlign w:val="center"/>
          </w:tcPr>
          <w:p>
            <w:pPr>
              <w:pStyle w:val="TableContents"/>
              <w:bidi w:val="0"/>
              <w:spacing w:before="0" w:after="283"/>
              <w:jc w:val="center"/>
              <w:rPr/>
            </w:pPr>
            <w:r>
              <w:rPr/>
              <w:t> </w:t>
            </w:r>
          </w:p>
        </w:tc>
        <w:tc>
          <w:tcPr>
            <w:tcW w:w="920" w:type="dxa"/>
            <w:tcBorders/>
            <w:tcMar>
              <w:top w:w="0" w:type="dxa"/>
              <w:left w:w="0" w:type="dxa"/>
            </w:tcMar>
            <w:vAlign w:val="center"/>
          </w:tcPr>
          <w:p>
            <w:pPr>
              <w:pStyle w:val="TableContents"/>
              <w:bidi w:val="0"/>
              <w:spacing w:before="0" w:after="283"/>
              <w:jc w:val="center"/>
              <w:rPr/>
            </w:pPr>
            <w:r>
              <w:rPr/>
              <w:t> </w:t>
            </w:r>
          </w:p>
        </w:tc>
        <w:tc>
          <w:tcPr>
            <w:tcW w:w="921" w:type="dxa"/>
            <w:tcBorders>
              <w:left w:val="single" w:sz="8" w:space="0" w:color="000000"/>
              <w:right w:val="single" w:sz="8" w:space="0" w:color="000000"/>
            </w:tcBorders>
            <w:tcMar>
              <w:top w:w="0" w:type="dxa"/>
              <w:left w:w="60" w:type="dxa"/>
              <w:right w:w="60" w:type="dxa"/>
            </w:tcMar>
            <w:vAlign w:val="center"/>
          </w:tcPr>
          <w:p>
            <w:pPr>
              <w:pStyle w:val="TableContents"/>
              <w:bidi w:val="0"/>
              <w:spacing w:before="0" w:after="283"/>
              <w:jc w:val="center"/>
              <w:rPr/>
            </w:pPr>
            <w:r>
              <w:rPr/>
              <w:t> </w:t>
            </w:r>
          </w:p>
        </w:tc>
      </w:tr>
      <w:tr>
        <w:trPr/>
        <w:tc>
          <w:tcPr>
            <w:tcW w:w="3585" w:type="dxa"/>
            <w:tcBorders>
              <w:lef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Global Capital Ratio</w:t>
            </w:r>
            <w:r>
              <w:rPr>
                <w:rFonts w:ascii="Times New Roman;Times;Serif" w:hAnsi="Times New Roman;Times;Serif"/>
                <w:b w:val="false"/>
                <w:i w:val="false"/>
                <w:caps w:val="false"/>
                <w:smallCaps w:val="false"/>
                <w:sz w:val="16"/>
              </w:rPr>
              <w:t>(9)</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17.27%</w:t>
            </w:r>
          </w:p>
        </w:tc>
        <w:tc>
          <w:tcPr>
            <w:tcW w:w="513" w:type="dxa"/>
            <w:tcBorders>
              <w:left w:val="single" w:sz="8" w:space="0" w:color="000000"/>
            </w:tcBorders>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57 bps </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-6 bps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w:t>
            </w:r>
          </w:p>
        </w:tc>
        <w:tc>
          <w:tcPr>
            <w:tcW w:w="921" w:type="dxa"/>
            <w:tcBorders>
              <w:left w:val="single" w:sz="8" w:space="0" w:color="000000"/>
              <w:right w:val="single" w:sz="8" w:space="0" w:color="000000"/>
            </w:tcBorders>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-6 bps </w:t>
            </w:r>
          </w:p>
        </w:tc>
      </w:tr>
      <w:tr>
        <w:trPr/>
        <w:tc>
          <w:tcPr>
            <w:tcW w:w="3585" w:type="dxa"/>
            <w:tcBorders>
              <w:lef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Ratio Tier 1</w:t>
            </w:r>
            <w:r>
              <w:rPr>
                <w:rFonts w:ascii="Times New Roman;Times;Serif" w:hAnsi="Times New Roman;Times;Serif"/>
                <w:b w:val="false"/>
                <w:i w:val="false"/>
                <w:caps w:val="false"/>
                <w:smallCaps w:val="false"/>
                <w:sz w:val="16"/>
              </w:rPr>
              <w:t>(10)</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11.40%</w:t>
            </w:r>
          </w:p>
        </w:tc>
        <w:tc>
          <w:tcPr>
            <w:tcW w:w="513" w:type="dxa"/>
            <w:tcBorders>
              <w:left w:val="single" w:sz="8" w:space="0" w:color="000000"/>
            </w:tcBorders>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44 bps </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-84 bps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w:t>
            </w:r>
          </w:p>
        </w:tc>
        <w:tc>
          <w:tcPr>
            <w:tcW w:w="921" w:type="dxa"/>
            <w:tcBorders>
              <w:left w:val="single" w:sz="8" w:space="0" w:color="000000"/>
              <w:right w:val="single" w:sz="8" w:space="0" w:color="000000"/>
            </w:tcBorders>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-84 bps </w:t>
            </w:r>
          </w:p>
        </w:tc>
      </w:tr>
      <w:tr>
        <w:trPr/>
        <w:tc>
          <w:tcPr>
            <w:tcW w:w="3585" w:type="dxa"/>
            <w:tcBorders>
              <w:left w:val="single" w:sz="8" w:space="0" w:color="000000"/>
              <w:bottom w:val="single" w:sz="8" w:space="0" w:color="000000"/>
            </w:tcBorders>
            <w:tcMar>
              <w:top w:w="0" w:type="dxa"/>
              <w:bottom w:w="2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Ratio common equity tier 1</w:t>
            </w:r>
            <w:r>
              <w:rPr>
                <w:rFonts w:ascii="Times New Roman;Times;Serif" w:hAnsi="Times New Roman;Times;Serif"/>
                <w:b w:val="false"/>
                <w:i w:val="false"/>
                <w:caps w:val="false"/>
                <w:smallCaps w:val="false"/>
                <w:sz w:val="16"/>
              </w:rPr>
              <w:t>(11) (12)</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12.56%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11.70%</w:t>
            </w:r>
          </w:p>
        </w:tc>
        <w:tc>
          <w:tcPr>
            <w:tcW w:w="513" w:type="dxa"/>
            <w:tcBorders>
              <w:left w:val="single" w:sz="8" w:space="0" w:color="000000"/>
            </w:tcBorders>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40 bps </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-86 bps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w:t>
            </w:r>
          </w:p>
        </w:tc>
        <w:tc>
          <w:tcPr>
            <w:tcW w:w="921" w:type="dxa"/>
            <w:tcBorders>
              <w:left w:val="single" w:sz="8" w:space="0" w:color="000000"/>
              <w:right w:val="single" w:sz="8" w:space="0" w:color="000000"/>
            </w:tcBorders>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-86 bps </w:t>
            </w:r>
          </w:p>
        </w:tc>
      </w:tr>
      <w:tr>
        <w:trPr/>
        <w:tc>
          <w:tcPr>
            <w:tcW w:w="358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Capital adequacy - Mibanco </w:t>
            </w:r>
          </w:p>
        </w:tc>
        <w:tc>
          <w:tcPr>
            <w:tcW w:w="920" w:type="dxa"/>
            <w:tcBorders>
              <w:top w:val="single" w:sz="8" w:space="0" w:color="000000"/>
              <w:left w:val="single" w:sz="8" w:space="0" w:color="000000"/>
            </w:tcBorders>
            <w:tcMar>
              <w:left w:w="60" w:type="dxa"/>
            </w:tcMar>
            <w:vAlign w:val="center"/>
          </w:tcPr>
          <w:p>
            <w:pPr>
              <w:pStyle w:val="TableContents"/>
              <w:bidi w:val="0"/>
              <w:spacing w:before="0" w:after="283"/>
              <w:jc w:val="center"/>
              <w:rPr/>
            </w:pPr>
            <w:r>
              <w:rPr/>
              <w:t> </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513" w:type="dxa"/>
            <w:tcBorders>
              <w:top w:val="single" w:sz="8" w:space="0" w:color="000000"/>
              <w:left w:val="single" w:sz="8" w:space="0" w:color="000000"/>
            </w:tcBorders>
            <w:tcMar>
              <w:left w:w="60" w:type="dxa"/>
            </w:tcMar>
            <w:vAlign w:val="center"/>
          </w:tcPr>
          <w:p>
            <w:pPr>
              <w:pStyle w:val="TableContents"/>
              <w:bidi w:val="0"/>
              <w:spacing w:before="0" w:after="283"/>
              <w:jc w:val="center"/>
              <w:rPr/>
            </w:pPr>
            <w:r>
              <w:rPr/>
              <w:t> </w:t>
            </w:r>
          </w:p>
        </w:tc>
        <w:tc>
          <w:tcPr>
            <w:tcW w:w="586"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pPr>
            <w:r>
              <w:rPr/>
              <w:t> </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920" w:type="dxa"/>
            <w:tcBorders>
              <w:top w:val="single" w:sz="8" w:space="0" w:color="000000"/>
            </w:tcBorders>
            <w:tcMar>
              <w:left w:w="0" w:type="dxa"/>
            </w:tcMar>
            <w:vAlign w:val="center"/>
          </w:tcPr>
          <w:p>
            <w:pPr>
              <w:pStyle w:val="TableContents"/>
              <w:bidi w:val="0"/>
              <w:spacing w:before="0" w:after="283"/>
              <w:jc w:val="center"/>
              <w:rPr/>
            </w:pPr>
            <w:r>
              <w:rPr/>
              <w:t> </w:t>
            </w:r>
          </w:p>
        </w:tc>
        <w:tc>
          <w:tcPr>
            <w:tcW w:w="921" w:type="dxa"/>
            <w:tcBorders>
              <w:top w:val="single" w:sz="8" w:space="0" w:color="000000"/>
              <w:left w:val="single" w:sz="8" w:space="0" w:color="000000"/>
              <w:right w:val="single" w:sz="8" w:space="0" w:color="000000"/>
            </w:tcBorders>
            <w:tcMar>
              <w:left w:w="60" w:type="dxa"/>
              <w:right w:w="60" w:type="dxa"/>
            </w:tcMar>
            <w:vAlign w:val="center"/>
          </w:tcPr>
          <w:p>
            <w:pPr>
              <w:pStyle w:val="TableContents"/>
              <w:bidi w:val="0"/>
              <w:spacing w:before="0" w:after="283"/>
              <w:jc w:val="center"/>
              <w:rPr/>
            </w:pPr>
            <w:r>
              <w:rPr/>
              <w:t> </w:t>
            </w:r>
          </w:p>
        </w:tc>
      </w:tr>
      <w:tr>
        <w:trPr/>
        <w:tc>
          <w:tcPr>
            <w:tcW w:w="3585" w:type="dxa"/>
            <w:tcBorders>
              <w:lef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Global Capital Ratio</w:t>
            </w:r>
            <w:r>
              <w:rPr>
                <w:rFonts w:ascii="Times New Roman;Times;Serif" w:hAnsi="Times New Roman;Times;Serif"/>
                <w:b w:val="false"/>
                <w:i w:val="false"/>
                <w:caps w:val="false"/>
                <w:smallCaps w:val="false"/>
                <w:sz w:val="16"/>
              </w:rPr>
              <w:t>(9)</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19.61%</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20.31%</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20.61%</w:t>
            </w:r>
          </w:p>
        </w:tc>
        <w:tc>
          <w:tcPr>
            <w:tcW w:w="513" w:type="dxa"/>
            <w:tcBorders>
              <w:left w:val="single" w:sz="8" w:space="0" w:color="000000"/>
            </w:tcBorders>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30 bps </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100 bps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20.6%</w:t>
            </w:r>
          </w:p>
        </w:tc>
        <w:tc>
          <w:tcPr>
            <w:tcW w:w="921" w:type="dxa"/>
            <w:tcBorders>
              <w:left w:val="single" w:sz="8" w:space="0" w:color="000000"/>
              <w:right w:val="single" w:sz="8" w:space="0" w:color="000000"/>
            </w:tcBorders>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100 bps </w:t>
            </w:r>
          </w:p>
        </w:tc>
      </w:tr>
      <w:tr>
        <w:trPr/>
        <w:tc>
          <w:tcPr>
            <w:tcW w:w="3585" w:type="dxa"/>
            <w:tcBorders>
              <w:lef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Ratio Tier 1</w:t>
            </w:r>
            <w:r>
              <w:rPr>
                <w:rFonts w:ascii="Times New Roman;Times;Serif" w:hAnsi="Times New Roman;Times;Serif"/>
                <w:b w:val="false"/>
                <w:i w:val="false"/>
                <w:caps w:val="false"/>
                <w:smallCaps w:val="false"/>
                <w:sz w:val="16"/>
              </w:rPr>
              <w:t>(10)</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16.48%</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16.32%</w:t>
            </w:r>
          </w:p>
        </w:tc>
        <w:tc>
          <w:tcPr>
            <w:tcW w:w="513" w:type="dxa"/>
            <w:tcBorders>
              <w:left w:val="single" w:sz="8" w:space="0" w:color="000000"/>
            </w:tcBorders>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45 bps </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-16 bps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16.5%</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w:t>
            </w:r>
          </w:p>
        </w:tc>
        <w:tc>
          <w:tcPr>
            <w:tcW w:w="921" w:type="dxa"/>
            <w:tcBorders>
              <w:left w:val="single" w:sz="8" w:space="0" w:color="000000"/>
              <w:right w:val="single" w:sz="8" w:space="0" w:color="000000"/>
            </w:tcBorders>
            <w:tcMar>
              <w:top w:w="0" w:type="dxa"/>
              <w:left w:w="60" w:type="dxa"/>
              <w:right w:w="60" w:type="dxa"/>
            </w:tcMar>
            <w:vAlign w:val="center"/>
          </w:tcPr>
          <w:p>
            <w:pPr>
              <w:pStyle w:val="TableContents"/>
              <w:bidi w:val="0"/>
              <w:spacing w:before="0" w:after="283"/>
              <w:jc w:val="center"/>
              <w:rPr/>
            </w:pPr>
            <w:r>
              <w:rPr/>
              <w:t> </w:t>
            </w:r>
            <w:r>
              <w:rPr>
                <w:rFonts w:ascii="Times New Roman;Times;Serif" w:hAnsi="Times New Roman;Times;Serif"/>
                <w:sz w:val="16"/>
              </w:rPr>
              <w:t>-16 bps </w:t>
            </w:r>
          </w:p>
        </w:tc>
      </w:tr>
      <w:tr>
        <w:trPr/>
        <w:tc>
          <w:tcPr>
            <w:tcW w:w="3585" w:type="dxa"/>
            <w:tcBorders>
              <w:lef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Ratio common equity tier 1</w:t>
            </w:r>
            <w:r>
              <w:rPr>
                <w:rFonts w:ascii="Times New Roman;Times;Serif" w:hAnsi="Times New Roman;Times;Serif"/>
                <w:b w:val="false"/>
                <w:i w:val="false"/>
                <w:caps w:val="false"/>
                <w:smallCaps w:val="false"/>
                <w:sz w:val="16"/>
              </w:rPr>
              <w:t>(11) (12)</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15.90%</w:t>
            </w:r>
          </w:p>
        </w:tc>
        <w:tc>
          <w:tcPr>
            <w:tcW w:w="513" w:type="dxa"/>
            <w:tcBorders>
              <w:left w:val="single" w:sz="8" w:space="0" w:color="000000"/>
            </w:tcBorders>
            <w:tcMar>
              <w:top w:w="0" w:type="dxa"/>
              <w:left w:w="60" w:type="dxa"/>
            </w:tcMar>
            <w:vAlign w:val="center"/>
          </w:tcPr>
          <w:p>
            <w:pPr>
              <w:pStyle w:val="TableContents"/>
              <w:bidi w:val="0"/>
              <w:spacing w:before="0" w:after="283"/>
              <w:jc w:val="center"/>
              <w:rPr/>
            </w:pPr>
            <w:r>
              <w:rPr/>
              <w:t> </w:t>
            </w:r>
            <w:r>
              <w:rPr>
                <w:rFonts w:ascii="Times New Roman;Times;Serif" w:hAnsi="Times New Roman;Times;Serif"/>
                <w:sz w:val="16"/>
              </w:rPr>
              <w:t>21 bps </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r>
              <w:rPr>
                <w:rFonts w:ascii="Times New Roman;Times;Serif" w:hAnsi="Times New Roman;Times;Serif"/>
                <w:sz w:val="16"/>
              </w:rPr>
              <w:t>-83 bps </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w:t>
            </w:r>
          </w:p>
        </w:tc>
        <w:tc>
          <w:tcPr>
            <w:tcW w:w="921" w:type="dxa"/>
            <w:tcBorders>
              <w:left w:val="single" w:sz="8" w:space="0" w:color="000000"/>
              <w:bottom w:val="single" w:sz="8" w:space="0" w:color="000000"/>
              <w:right w:val="single" w:sz="8" w:space="0" w:color="000000"/>
            </w:tcBorders>
            <w:tcMar>
              <w:top w:w="0" w:type="dxa"/>
              <w:left w:w="60" w:type="dxa"/>
              <w:bottom w:w="28" w:type="dxa"/>
              <w:right w:w="60" w:type="dxa"/>
            </w:tcMar>
            <w:vAlign w:val="center"/>
          </w:tcPr>
          <w:p>
            <w:pPr>
              <w:pStyle w:val="TableContents"/>
              <w:bidi w:val="0"/>
              <w:spacing w:before="0" w:after="283"/>
              <w:jc w:val="center"/>
              <w:rPr/>
            </w:pPr>
            <w:r>
              <w:rPr/>
              <w:t> </w:t>
            </w:r>
            <w:r>
              <w:rPr>
                <w:rFonts w:ascii="Times New Roman;Times;Serif" w:hAnsi="Times New Roman;Times;Serif"/>
                <w:sz w:val="16"/>
              </w:rPr>
              <w:t>-83 bps </w:t>
            </w:r>
          </w:p>
        </w:tc>
      </w:tr>
      <w:tr>
        <w:trPr/>
        <w:tc>
          <w:tcPr>
            <w:tcW w:w="358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Employees</w:t>
            </w:r>
            <w:r>
              <w:rPr>
                <w:rFonts w:ascii="Times New Roman;Times;Serif" w:hAnsi="Times New Roman;Times;Serif"/>
                <w:b/>
                <w:i w:val="false"/>
                <w:caps w:val="false"/>
                <w:smallCaps w:val="false"/>
                <w:sz w:val="16"/>
              </w:rPr>
              <w:t>(13)</w:t>
            </w:r>
          </w:p>
        </w:tc>
        <w:tc>
          <w:tcPr>
            <w:tcW w:w="920" w:type="dxa"/>
            <w:tcBorders>
              <w:top w:val="single" w:sz="8" w:space="0" w:color="000000"/>
              <w:left w:val="single" w:sz="8" w:space="0" w:color="000000"/>
              <w:bottom w:val="single" w:sz="8" w:space="0" w:color="000000"/>
            </w:tcBorders>
            <w:shd w:fill="FFFFFF" w:val="clear"/>
            <w:tcMar>
              <w:left w:w="6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49,485</w:t>
            </w:r>
          </w:p>
        </w:tc>
        <w:tc>
          <w:tcPr>
            <w:tcW w:w="920"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51,725</w:t>
            </w:r>
          </w:p>
        </w:tc>
        <w:tc>
          <w:tcPr>
            <w:tcW w:w="92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52,770</w:t>
            </w:r>
          </w:p>
        </w:tc>
        <w:tc>
          <w:tcPr>
            <w:tcW w:w="513"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586"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w:t>
            </w:r>
          </w:p>
        </w:tc>
        <w:tc>
          <w:tcPr>
            <w:tcW w:w="920"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49,485</w:t>
            </w:r>
          </w:p>
        </w:tc>
        <w:tc>
          <w:tcPr>
            <w:tcW w:w="92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52,770</w:t>
            </w:r>
          </w:p>
        </w:tc>
        <w:tc>
          <w:tcPr>
            <w:tcW w:w="921"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w:t>
            </w:r>
          </w:p>
        </w:tc>
      </w:tr>
      <w:tr>
        <w:trPr/>
        <w:tc>
          <w:tcPr>
            <w:tcW w:w="3585" w:type="dxa"/>
            <w:tcBorders>
              <w:lef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Share Information</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pPr>
            <w:r>
              <w:rPr/>
              <w:t> </w:t>
            </w:r>
          </w:p>
        </w:tc>
        <w:tc>
          <w:tcPr>
            <w:tcW w:w="920" w:type="dxa"/>
            <w:tcBorders/>
            <w:tcMar>
              <w:top w:w="0" w:type="dxa"/>
              <w:lef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513" w:type="dxa"/>
            <w:tcBorders/>
            <w:tcMar>
              <w:top w:w="0" w:type="dxa"/>
              <w:left w:w="0" w:type="dxa"/>
            </w:tcMar>
            <w:vAlign w:val="center"/>
          </w:tcPr>
          <w:p>
            <w:pPr>
              <w:pStyle w:val="TableContents"/>
              <w:bidi w:val="0"/>
              <w:spacing w:before="0" w:after="283"/>
              <w:jc w:val="center"/>
              <w:rPr/>
            </w:pPr>
            <w:r>
              <w:rPr/>
              <w:t> </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20" w:type="dxa"/>
            <w:tcBorders/>
            <w:tcMar>
              <w:top w:w="0" w:type="dxa"/>
              <w:lef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3585" w:type="dxa"/>
            <w:tcBorders>
              <w:lef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Issued Shares</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94,382</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94,382</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94,382</w:t>
            </w:r>
          </w:p>
        </w:tc>
        <w:tc>
          <w:tcPr>
            <w:tcW w:w="513"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94,382</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94,382</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3585" w:type="dxa"/>
            <w:tcBorders>
              <w:left w:val="single" w:sz="8" w:space="0" w:color="000000"/>
            </w:tcBorders>
            <w:shd w:fill="FFFFFF" w:val="clear"/>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Treasury Shares</w:t>
            </w:r>
            <w:r>
              <w:rPr>
                <w:rFonts w:ascii="Times New Roman;Times;Serif" w:hAnsi="Times New Roman;Times;Serif"/>
                <w:b w:val="false"/>
                <w:i w:val="false"/>
                <w:caps w:val="false"/>
                <w:smallCaps w:val="false"/>
                <w:sz w:val="16"/>
              </w:rPr>
              <w:t>(14)</w:t>
            </w:r>
          </w:p>
        </w:tc>
        <w:tc>
          <w:tcPr>
            <w:tcW w:w="920" w:type="dxa"/>
            <w:tcBorders>
              <w:left w:val="single" w:sz="8" w:space="0" w:color="000000"/>
            </w:tcBorders>
            <w:tcMar>
              <w:top w:w="0" w:type="dxa"/>
              <w:lef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15,016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14,934</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14,963</w:t>
            </w:r>
          </w:p>
        </w:tc>
        <w:tc>
          <w:tcPr>
            <w:tcW w:w="513"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0.2%</w:t>
            </w:r>
          </w:p>
        </w:tc>
        <w:tc>
          <w:tcPr>
            <w:tcW w:w="586"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15,016</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14,963</w:t>
            </w:r>
          </w:p>
        </w:tc>
        <w:tc>
          <w:tcPr>
            <w:tcW w:w="921"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-0.4%</w:t>
            </w:r>
          </w:p>
        </w:tc>
      </w:tr>
      <w:tr>
        <w:trPr/>
        <w:tc>
          <w:tcPr>
            <w:tcW w:w="358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Outstanding Shares</w:t>
            </w:r>
          </w:p>
        </w:tc>
        <w:tc>
          <w:tcPr>
            <w:tcW w:w="920" w:type="dxa"/>
            <w:tcBorders>
              <w:left w:val="single" w:sz="8" w:space="0" w:color="000000"/>
              <w:bottom w:val="single" w:sz="8" w:space="0" w:color="000000"/>
            </w:tcBorders>
            <w:tcMar>
              <w:top w:w="0" w:type="dxa"/>
              <w:left w:w="6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79,366</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79,448</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79,419</w:t>
            </w:r>
          </w:p>
        </w:tc>
        <w:tc>
          <w:tcPr>
            <w:tcW w:w="513"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86"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0.1%</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79,366</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79,419</w:t>
            </w:r>
          </w:p>
        </w:tc>
        <w:tc>
          <w:tcPr>
            <w:tcW w:w="921"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0.1%</w:t>
            </w:r>
          </w:p>
        </w:tc>
      </w:tr>
    </w:tbl>
    <w:p>
      <w:pPr>
        <w:pStyle w:val="TextBody"/>
        <w:bidi w:val="0"/>
        <w:spacing w:before="0" w:after="0"/>
        <w:ind w:left="175" w:right="0" w:hanging="0"/>
        <w:jc w:val="both"/>
        <w:rPr>
          <w:caps w:val="false"/>
          <w:smallCaps w:val="false"/>
          <w:color w:val="FFFFFF"/>
        </w:rPr>
      </w:pPr>
      <w:r>
        <w:rPr>
          <w:caps w:val="false"/>
          <w:smallCaps w:val="false"/>
          <w:color w:val="FFFFFF"/>
        </w:rPr>
        <w:t> </w:t>
      </w:r>
    </w:p>
    <w:p>
      <w:pPr>
        <w:pStyle w:val="TextBody"/>
        <w:bidi w:val="0"/>
        <w:spacing w:before="0" w:after="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Net Interest Margin = Net Interest Income (Excluding Net Insurance Financial Expenses) / Average Interest Earning Assets</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Funding Cost = Interest Expense (Does not include Net Insurance Financial Expenses) / Average Funding</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Internal Overdue Loans: includes overdue loans and loans under legal collection, according to our internal policy for overdue loans. Internal Overdue Ratio: Internal overdue loans / Total loans.</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Non-performing loans (NPL): Internal overdue loans + Refinanced loans. NPL ratio: NPL / Total loans.</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 Cost of risk = Annualized provision for loan losses, net of recoveries / Average Total loans.</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 Operating Income = Net interest, similar income and expenses + Fee Income+ Net gain on foreign exchange transactions + Net Gain From associates + Net gain on derivatives held for trading + Result on exchange differences + Insurance Underwriting Result + Medical services result.</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 Operating Expenses = Salaries and employee benefits + Administrative expenses + Depreciation and amortization + Association in participation + Acquisition cost.</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 Efficiency Ratio = Operating Expenses / Operating Income.</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 Regulatory Capital / Risk-weighted assets (legal minimum = 10% since July 2011).</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 Tier 1 = Capital + Legal and other capital reserves + Accumulated earnings with capitalization agreement + (0.5 x Unrealized profit and net income in subsidiaries) - Goodwill - (0.5 x Investment in subsidiaries) + Perpetual subordinated debt (the maximum amount that can be included is 17.65% of Capital + Reserves + Accumulated earnings with capitalization agreement + Unrealized profit and net income in subsidiaries - Goodwill).</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 Common Equity Tier I = Capital + Reserves – 100% of applicable deductions (investment in subsidiaries, goodwill, intangibles and net deferred taxes that rely on future profitability) + retained earnings + unrealized gains.</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 Common Equity Tier I calculated based on IFRS Accounting.</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 Internal management figures. Since 1Q25, it has included corporate health and medical services employees.</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 Considers shares held by Atlantic Security Holding Corporation (ASHC) and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57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620000" cy="657225"/>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050" w:type="dxa"/>
        <w:jc w:val="left"/>
        <w:tblInd w:w="0" w:type="dxa"/>
        <w:tblLayout w:type="fixed"/>
        <w:tblCellMar>
          <w:top w:w="0" w:type="dxa"/>
          <w:left w:w="0" w:type="dxa"/>
          <w:bottom w:w="0" w:type="dxa"/>
          <w:right w:w="0" w:type="dxa"/>
        </w:tblCellMar>
      </w:tblPr>
      <w:tblGrid>
        <w:gridCol w:w="1995"/>
        <w:gridCol w:w="65"/>
        <w:gridCol w:w="227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b w:val="false"/>
                <w:i w:val="false"/>
                <w:caps w:val="false"/>
                <w:smallCaps w:val="false"/>
                <w:color w:val="FF00FF"/>
                <w:sz w:val="16"/>
              </w:rPr>
            </w:pPr>
            <w:r>
              <w:rPr>
                <w:rFonts w:ascii="Times New Roman;Times;serif" w:hAnsi="Times New Roman;Times;serif"/>
                <w:b w:val="false"/>
                <w:i w:val="false"/>
                <w:caps w:val="false"/>
                <w:smallCaps w:val="false"/>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tbl>
      <w:tblPr>
        <w:tblW w:w="2705" w:type="dxa"/>
        <w:jc w:val="left"/>
        <w:tblInd w:w="0" w:type="dxa"/>
        <w:tblLayout w:type="fixed"/>
        <w:tblCellMar>
          <w:top w:w="0" w:type="dxa"/>
          <w:left w:w="0" w:type="dxa"/>
          <w:bottom w:w="0" w:type="dxa"/>
          <w:right w:w="0" w:type="dxa"/>
        </w:tblCellMar>
      </w:tblPr>
      <w:tblGrid>
        <w:gridCol w:w="2705"/>
      </w:tblGrid>
      <w:tr>
        <w:trPr/>
        <w:tc>
          <w:tcPr>
            <w:tcW w:w="270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Credicorp’s Strategy Update</w:t>
            </w:r>
          </w:p>
        </w:tc>
      </w:tr>
    </w:tbl>
    <w:p>
      <w:pPr>
        <w:pStyle w:val="TextBody"/>
        <w:bidi w:val="0"/>
        <w:spacing w:before="0" w:after="0"/>
        <w:ind w:left="0" w:right="0" w:hanging="0"/>
        <w:jc w:val="both"/>
        <w:rPr>
          <w:caps w:val="false"/>
          <w:smallCaps w:val="false"/>
          <w:color w:val="E93AAC"/>
        </w:rPr>
      </w:pPr>
      <w:r>
        <w:rPr>
          <w:caps w:val="false"/>
          <w:smallCaps w:val="false"/>
          <w:color w:val="E93AAC"/>
        </w:rPr>
        <w:t> </w:t>
      </w:r>
    </w:p>
    <w:p>
      <w:pPr>
        <w:pStyle w:val="TextBody"/>
        <w:bidi w:val="0"/>
        <w:spacing w:before="0" w:after="0"/>
        <w:ind w:left="0" w:right="0" w:hanging="0"/>
        <w:jc w:val="both"/>
        <w:rPr>
          <w:rFonts w:ascii="Times New Roman;Times;Serif" w:hAnsi="Times New Roman;Times;Serif"/>
          <w:b w:val="false"/>
          <w:i w:val="false"/>
          <w:caps w:val="false"/>
          <w:smallCaps w:val="false"/>
          <w:color w:val="E93AAC"/>
          <w:sz w:val="36"/>
        </w:rPr>
      </w:pPr>
      <w:r>
        <w:rPr>
          <w:rFonts w:ascii="Times New Roman;Times;Serif" w:hAnsi="Times New Roman;Times;Serif"/>
          <w:b w:val="false"/>
          <w:i w:val="false"/>
          <w:caps w:val="false"/>
          <w:smallCaps w:val="false"/>
          <w:color w:val="E93AAC"/>
          <w:sz w:val="36"/>
        </w:rPr>
        <w:t>Credicorp Strategy</w:t>
      </w:r>
    </w:p>
    <w:p>
      <w:pPr>
        <w:pStyle w:val="TextBody"/>
        <w:bidi w:val="0"/>
        <w:spacing w:before="0" w:after="0"/>
        <w:ind w:left="0" w:right="0" w:hanging="0"/>
        <w:jc w:val="both"/>
        <w:rPr>
          <w:caps w:val="false"/>
          <w:smallCaps w:val="false"/>
          <w:color w:val="E93AAC"/>
        </w:rPr>
      </w:pPr>
      <w:r>
        <w:rPr>
          <w:caps w:val="false"/>
          <w:smallCaps w:val="false"/>
          <w:color w:val="E93AAC"/>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Credicorp has strengthened its leadership in the Andean region through a strategy anchored in digital transformation and innovation, talent development, and the integration of sustainability into the core of its business. The company has transitioned into an integrated financial ecosystem—one where the whole is increasingly greater than the sum of its parts—supported by four differentiated growth levers: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Prioritizing Leading Market Positions in Underpenetrated Markets with Clear Growth Avenues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Credicorp holds leading positions across mature core businesses in markets that remain structurally underpenetrated. In Peru, low levels of financial inclusion and insurance coverage, together with high informality, continue to create significant room to expand access to financial, payment, insurance, and remittance products and services. This provides a long runway for sustainable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Scaling an Integrated Digital Ecosystem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Backed by its innovation portfolio, Credicorp has evolved into an integrated financial ecosystem. The combination of complementary capabilities differentiated distribution channels, and a broad client base allow us to strengthen engagement, accelerate product adoption through cross-selling, and deepen integration across businesses. We will continue to broaden access to financial products and services to advance financial inclusion, with the ambition of incorporating 8 million people into the financial system by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Unlocking Synergies by Leveraging Shared Capabilities Across the Ecosystem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capabilities in technology, data, analytics, artificial intelligence, and risk management constitute a competitive advantage to accelerate value creation at scale. These capabilities strengthen decision-making, enable more personalized customer experiences, generate productivity gains and accelerate innovation, supporting further monetization across the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Delivering Strong, Resilient Returns Across Economic Cycles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decades of disciplined execution, Credicorp has demonstrated its capacity to generate value across economic cycles. The combination of market knowledge and leadership, business diversification, and ecosystem-based competitive advantages strengthen our resilience and supports a sustainable trajectory of profitable growth and long-term value creation.</w:t>
      </w:r>
    </w:p>
    <w:p>
      <w:pPr>
        <w:pStyle w:val="TextBody"/>
        <w:bidi w:val="0"/>
        <w:spacing w:before="0" w:after="0"/>
        <w:ind w:left="175" w:right="0" w:hanging="0"/>
        <w:jc w:val="both"/>
        <w:rPr>
          <w:caps w:val="false"/>
          <w:smallCaps w:val="false"/>
        </w:rPr>
      </w:pPr>
      <w:r>
        <w:rPr>
          <w:caps w:val="false"/>
          <w:smallCaps w:val="false"/>
        </w:rPr>
        <w:t> </w:t>
      </w:r>
    </w:p>
    <w:p>
      <w:pPr>
        <w:pStyle w:val="TextBody"/>
        <w:bidi w:val="0"/>
        <w:spacing w:before="0" w:after="0"/>
        <w:ind w:left="15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 KPIs for Credicorp’s Strategy</w:t>
      </w:r>
    </w:p>
    <w:p>
      <w:pPr>
        <w:pStyle w:val="TextBody"/>
        <w:bidi w:val="0"/>
        <w:spacing w:before="0" w:after="0"/>
        <w:ind w:left="151" w:right="0" w:hanging="0"/>
        <w:jc w:val="center"/>
        <w:rPr>
          <w:caps w:val="false"/>
          <w:smallCaps w:val="false"/>
        </w:rPr>
      </w:pPr>
      <w:r>
        <w:rPr>
          <w:caps w:val="false"/>
          <w:smallCaps w:val="false"/>
        </w:rPr>
        <w:t> </w:t>
      </w:r>
    </w:p>
    <w:tbl>
      <w:tblPr>
        <w:tblW w:w="6120" w:type="dxa"/>
        <w:jc w:val="center"/>
        <w:tblInd w:w="0" w:type="dxa"/>
        <w:tblLayout w:type="fixed"/>
        <w:tblCellMar>
          <w:top w:w="28" w:type="dxa"/>
          <w:left w:w="108" w:type="dxa"/>
          <w:bottom w:w="28" w:type="dxa"/>
          <w:right w:w="108" w:type="dxa"/>
        </w:tblCellMar>
      </w:tblPr>
      <w:tblGrid>
        <w:gridCol w:w="3815"/>
        <w:gridCol w:w="425"/>
        <w:gridCol w:w="425"/>
        <w:gridCol w:w="425"/>
        <w:gridCol w:w="515"/>
        <w:gridCol w:w="515"/>
      </w:tblGrid>
      <w:tr>
        <w:trPr/>
        <w:tc>
          <w:tcPr>
            <w:tcW w:w="3815"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lineRule="auto" w:line="240" w:before="0" w:after="283"/>
              <w:jc w:val="left"/>
              <w:rPr>
                <w:rFonts w:ascii="Times New Roman;Times;Serif" w:hAnsi="Times New Roman;Times;Serif"/>
                <w:b/>
                <w:color w:val="FFFFFF"/>
                <w:sz w:val="16"/>
              </w:rPr>
            </w:pPr>
            <w:r>
              <w:rPr>
                <w:rFonts w:ascii="Times New Roman;Times;Serif" w:hAnsi="Times New Roman;Times;Serif"/>
                <w:b/>
                <w:color w:val="FFFFFF"/>
                <w:sz w:val="16"/>
              </w:rPr>
              <w:t xml:space="preserve">Core Businesses Transformation </w:t>
            </w:r>
            <w:r>
              <w:rPr>
                <w:rFonts w:ascii="Times New Roman;Times;Serif" w:hAnsi="Times New Roman;Times;Serif"/>
                <w:b/>
                <w:i w:val="false"/>
                <w:caps w:val="false"/>
                <w:smallCaps w:val="false"/>
                <w:color w:val="FFFFFF"/>
                <w:sz w:val="16"/>
              </w:rPr>
              <w:t>(1) </w:t>
            </w:r>
          </w:p>
        </w:tc>
        <w:tc>
          <w:tcPr>
            <w:tcW w:w="1275" w:type="dxa"/>
            <w:gridSpan w:val="3"/>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Trimestre</w:t>
            </w:r>
          </w:p>
        </w:tc>
        <w:tc>
          <w:tcPr>
            <w:tcW w:w="1030" w:type="dxa"/>
            <w:gridSpan w:val="2"/>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r>
      <w:tr>
        <w:trPr/>
        <w:tc>
          <w:tcPr>
            <w:tcW w:w="381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42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42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425"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51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15"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Credicorp</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Innovation Portfolio Risk-Adjusted Revenue Share </w:t>
            </w:r>
            <w:r>
              <w:rPr>
                <w:rFonts w:ascii="Times New Roman;Times;Serif" w:hAnsi="Times New Roman;Times;Serif"/>
                <w:b w:val="false"/>
                <w:i w:val="false"/>
                <w:caps w:val="false"/>
                <w:smallCaps w:val="false"/>
                <w:sz w:val="16"/>
              </w:rPr>
              <w:t>(2)</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9.9%</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People financially included </w:t>
            </w:r>
            <w:r>
              <w:rPr>
                <w:rFonts w:ascii="Times New Roman;Times;Serif" w:hAnsi="Times New Roman;Times;Serif"/>
                <w:b w:val="false"/>
                <w:i w:val="false"/>
                <w:caps w:val="false"/>
                <w:smallCaps w:val="false"/>
                <w:sz w:val="16"/>
              </w:rPr>
              <w:t>(3)</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loan disbursements for MSMEs  (S/ million)</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7,757</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4,591</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9,419</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11,659</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14,010</w:t>
            </w:r>
          </w:p>
        </w:tc>
      </w:tr>
      <w:tr>
        <w:trPr/>
        <w:tc>
          <w:tcPr>
            <w:tcW w:w="3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Disbursements of sustainable financings (USD million)</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1,517</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734</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1,861</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1,947</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2,595</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BCP Stand-alone</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51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Loan enabled clients </w:t>
            </w:r>
            <w:r>
              <w:rPr>
                <w:rFonts w:ascii="Times New Roman;Times;Serif" w:hAnsi="Times New Roman;Times;Serif"/>
                <w:b w:val="false"/>
                <w:i w:val="false"/>
                <w:caps w:val="false"/>
                <w:smallCaps w:val="false"/>
                <w:sz w:val="16"/>
              </w:rPr>
              <w:t>(4)</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Consumer NPS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Cashless transactions </w:t>
            </w:r>
            <w:r>
              <w:rPr>
                <w:rFonts w:ascii="Times New Roman;Times;Serif" w:hAnsi="Times New Roman;Times;Serif"/>
                <w:b w:val="false"/>
                <w:i w:val="false"/>
                <w:caps w:val="false"/>
                <w:smallCaps w:val="false"/>
                <w:sz w:val="16"/>
              </w:rPr>
              <w:t>(5)</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w:t>
            </w:r>
          </w:p>
        </w:tc>
      </w:tr>
      <w:tr>
        <w:trPr/>
        <w:tc>
          <w:tcPr>
            <w:tcW w:w="3815"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Mibanco</w:t>
            </w:r>
          </w:p>
        </w:tc>
        <w:tc>
          <w:tcPr>
            <w:tcW w:w="42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42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42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c>
          <w:tcPr>
            <w:tcW w:w="51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51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Share of Low-Cost Deposits / Total Funding </w:t>
            </w:r>
            <w:r>
              <w:rPr>
                <w:rFonts w:ascii="Times New Roman;Times;Serif" w:hAnsi="Times New Roman;Times;Serif"/>
                <w:b w:val="false"/>
                <w:i w:val="false"/>
                <w:caps w:val="false"/>
                <w:smallCaps w:val="false"/>
                <w:sz w:val="16"/>
              </w:rPr>
              <w:t>(6)</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w:t>
            </w:r>
          </w:p>
        </w:tc>
      </w:tr>
      <w:tr>
        <w:trPr/>
        <w:tc>
          <w:tcPr>
            <w:tcW w:w="3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 of Other Income / Total Risk-Adjusted Revenue</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8.2%</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w:t>
            </w:r>
          </w:p>
        </w:tc>
        <w:tc>
          <w:tcPr>
            <w:tcW w:w="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8.2%</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Pacifico</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81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Insured Clients </w:t>
            </w:r>
            <w:r>
              <w:rPr>
                <w:rFonts w:ascii="Times New Roman;Times;Serif" w:hAnsi="Times New Roman;Times;Serif"/>
                <w:b w:val="false"/>
                <w:i w:val="false"/>
                <w:caps w:val="false"/>
                <w:smallCaps w:val="false"/>
                <w:sz w:val="16"/>
              </w:rPr>
              <w:t>(7)</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w:t>
            </w:r>
          </w:p>
        </w:tc>
      </w:tr>
      <w:tr>
        <w:trPr/>
        <w:tc>
          <w:tcPr>
            <w:tcW w:w="3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Digital Policies (thousands) </w:t>
            </w:r>
            <w:r>
              <w:rPr>
                <w:rFonts w:ascii="Times New Roman;Times;Serif" w:hAnsi="Times New Roman;Times;Serif"/>
                <w:b w:val="false"/>
                <w:i w:val="false"/>
                <w:caps w:val="false"/>
                <w:smallCaps w:val="false"/>
                <w:sz w:val="16"/>
              </w:rPr>
              <w:t>(8)</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580</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733</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575</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1,302</w:t>
            </w:r>
          </w:p>
        </w:tc>
        <w:tc>
          <w:tcPr>
            <w:tcW w:w="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1,308</w:t>
            </w:r>
          </w:p>
        </w:tc>
      </w:tr>
    </w:tbl>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Management figures; may differ from previously reported. Figures for June 2025, March 2025, and June 2026.</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As a percentage of Credicorp’s total Risk-Adjusted Revenue.</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Clients with an active loan.</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 Amount transacted through Mobile Banking, Internet Banking, Yape and POS /Total amount transacted through Retail Banking.</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 Includes low-cost funding products (Ahorro Negocio, Ahorro, Cuenta Premio, and Demand Deposits) as a proportion of total funding.</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 Includes natural and legal clients. New methodological adjustments since 4Q25, related to customers with loan life insurance.</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 Number of insurance policies issued through digital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19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620000" cy="619125"/>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560" w:type="dxa"/>
        <w:jc w:val="left"/>
        <w:tblInd w:w="0" w:type="dxa"/>
        <w:tblLayout w:type="fixed"/>
        <w:tblCellMar>
          <w:top w:w="0" w:type="dxa"/>
          <w:left w:w="0" w:type="dxa"/>
          <w:bottom w:w="0" w:type="dxa"/>
          <w:right w:w="0" w:type="dxa"/>
        </w:tblCellMar>
      </w:tblPr>
      <w:tblGrid>
        <w:gridCol w:w="1995"/>
        <w:gridCol w:w="65"/>
        <w:gridCol w:w="2270"/>
        <w:gridCol w:w="323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3230" w:type="dxa"/>
            <w:tcBorders/>
            <w:shd w:fill="000000" w:val="clear"/>
            <w:vAlign w:val="center"/>
          </w:tcPr>
          <w:p>
            <w:pPr>
              <w:pStyle w:val="TableContents"/>
              <w:bidi w:val="0"/>
              <w:spacing w:before="0" w:after="283"/>
              <w:jc w:val="right"/>
              <w:rPr>
                <w:rFonts w:ascii="Times New Roman;Times;Serif" w:hAnsi="Times New Roman;Times;Serif"/>
                <w:color w:val="FF00FF"/>
                <w:sz w:val="20"/>
              </w:rPr>
            </w:pPr>
            <w:r>
              <w:rPr>
                <w:rFonts w:ascii="Times New Roman;Times;Serif" w:hAnsi="Times New Roman;Times;Serif"/>
                <w:color w:val="FF00FF"/>
                <w:sz w:val="20"/>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bl>
    <w:tbl>
      <w:tblPr>
        <w:tblW w:w="2705" w:type="dxa"/>
        <w:jc w:val="left"/>
        <w:tblInd w:w="0" w:type="dxa"/>
        <w:tblLayout w:type="fixed"/>
        <w:tblCellMar>
          <w:top w:w="0" w:type="dxa"/>
          <w:left w:w="0" w:type="dxa"/>
          <w:bottom w:w="0" w:type="dxa"/>
          <w:right w:w="0" w:type="dxa"/>
        </w:tblCellMar>
      </w:tblPr>
      <w:tblGrid>
        <w:gridCol w:w="2705"/>
      </w:tblGrid>
      <w:tr>
        <w:trPr/>
        <w:tc>
          <w:tcPr>
            <w:tcW w:w="270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Credicorp’s Strategy Update</w:t>
            </w:r>
          </w:p>
        </w:tc>
      </w:tr>
    </w:tbl>
    <w:p>
      <w:pPr>
        <w:pStyle w:val="TextBody"/>
        <w:bidi w:val="0"/>
        <w:spacing w:before="0" w:after="0"/>
        <w:ind w:left="0" w:right="0" w:hanging="0"/>
        <w:jc w:val="left"/>
        <w:rPr>
          <w:caps w:val="false"/>
          <w:smallCaps w:val="false"/>
          <w:color w:val="E93AAC"/>
        </w:rPr>
      </w:pPr>
      <w:r>
        <w:rPr>
          <w:caps w:val="false"/>
          <w:smallCaps w:val="false"/>
          <w:color w:val="E93AAC"/>
        </w:rPr>
        <w:t> </w:t>
      </w:r>
    </w:p>
    <w:p>
      <w:pPr>
        <w:pStyle w:val="TextBody"/>
        <w:bidi w:val="0"/>
        <w:spacing w:before="0" w:after="0"/>
        <w:ind w:left="0" w:right="0" w:hanging="0"/>
        <w:jc w:val="left"/>
        <w:rPr>
          <w:rFonts w:ascii="Times New Roman;Times;Serif" w:hAnsi="Times New Roman;Times;Serif"/>
          <w:b w:val="false"/>
          <w:i w:val="false"/>
          <w:caps w:val="false"/>
          <w:smallCaps w:val="false"/>
          <w:color w:val="E93AAC"/>
          <w:sz w:val="36"/>
        </w:rPr>
      </w:pPr>
      <w:r>
        <w:rPr>
          <w:rFonts w:ascii="Times New Roman;Times;Serif" w:hAnsi="Times New Roman;Times;Serif"/>
          <w:b w:val="false"/>
          <w:i w:val="false"/>
          <w:caps w:val="false"/>
          <w:smallCaps w:val="false"/>
          <w:color w:val="E93AAC"/>
          <w:sz w:val="36"/>
        </w:rPr>
        <w:t>Innovation Portfolio</w:t>
      </w:r>
    </w:p>
    <w:p>
      <w:pPr>
        <w:pStyle w:val="TextBody"/>
        <w:bidi w:val="0"/>
        <w:spacing w:before="0" w:after="0"/>
        <w:ind w:left="0" w:right="0" w:hanging="0"/>
        <w:jc w:val="left"/>
        <w:rPr>
          <w:caps w:val="false"/>
          <w:smallCaps w:val="false"/>
          <w:color w:val="E93AAC"/>
        </w:rPr>
      </w:pPr>
      <w:r>
        <w:rPr>
          <w:caps w:val="false"/>
          <w:smallCaps w:val="false"/>
          <w:color w:val="E93AAC"/>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Credicorp’s innovation portfolio strengthens the group’s existing franchises by scaling digital platforms and deploying capit al with discipline. It diversifies revenue streams, broadens the value proposition, and leverages the ecosystem’s competitive advantages to support the next stage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Credicorp’s portfolio focuses on high-growth verticals, including Neobanking and services for SMEs, Acquiring, InsurTech, WealthTech and Healthtech, where initiatives are developed at different stages of maturity. The Innovation Committee governs the portfolio through a formal process that prioritizes differentiated value propositions with potential to reshape business models and deliver exponential growth. Capital is allocated dynamically, progress is monitored against defined milestones, and resources are reallocated toward initiatives with greater scalability and return potential. Initiatives cycle through five stages of development: origination, incubation, product-market fit, acceleration, and scaling. Once operating maturity has been reached, they can graduate and integrate into the group’s core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Initiatives can be incubated within core businesses or be channeled through Krealo, our Corporate Venture Capital arm, which builds outside-in innovation through strategic investments and acquisitions that can strengthen current and future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portfolio is managed under a clear financial appetite, allowing for an impact of up to 150 bps on ROE and 350 bps on the efficiency ratio. In addition, it is expected to account for 10% of the group’s risk-adjusted income by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E93AAC"/>
          <w:sz w:val="36"/>
        </w:rPr>
      </w:pPr>
      <w:r>
        <w:rPr>
          <w:rFonts w:ascii="Times New Roman;Times;Serif" w:hAnsi="Times New Roman;Times;Serif"/>
          <w:b w:val="false"/>
          <w:i w:val="false"/>
          <w:caps w:val="false"/>
          <w:smallCaps w:val="false"/>
          <w:color w:val="E93AAC"/>
          <w:sz w:val="36"/>
        </w:rPr>
        <w:t>Neobanking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innovation portfolio, Neobanking was created in April 2026 as a new business unit that brings together Yape, Yape Bolivia, Tenpo and iO under a common operating model. The value hypothesis behind this unit is to accelerate the development of a more integrated digital ecosystem by leveraging shared capabilities, products and data to capture efficiencies, develop synergies and scale the value proposition in a more disciplined way over time. Neobanking brings together scalable digital platforms with strong potential for financial inclusion, monetization and regional expansion, reinforcing the group’s long-term growth thesis.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E93AAC"/>
          <w:sz w:val="36"/>
        </w:rPr>
      </w:pPr>
      <w:r>
        <w:rPr>
          <w:rFonts w:ascii="Times New Roman;Times;Serif" w:hAnsi="Times New Roman;Times;Serif"/>
          <w:b w:val="false"/>
          <w:i w:val="false"/>
          <w:caps w:val="false"/>
          <w:smallCaps w:val="false"/>
          <w:color w:val="E93AAC"/>
          <w:sz w:val="36"/>
        </w:rPr>
        <w:t>1. Yape: Scaling profitability with a greater contribution from lending and the ecosystem.</w:t>
      </w:r>
    </w:p>
    <w:p>
      <w:pPr>
        <w:pStyle w:val="TextBody"/>
        <w:bidi w:val="0"/>
        <w:spacing w:before="0" w:after="0"/>
        <w:ind w:left="167" w:right="0" w:hanging="0"/>
        <w:jc w:val="left"/>
        <w:rPr>
          <w:caps w:val="false"/>
          <w:smallCaps w:val="false"/>
          <w:color w:val="E93AAC"/>
        </w:rPr>
      </w:pPr>
      <w:r>
        <w:rPr>
          <w:caps w:val="false"/>
          <w:smallCaps w:val="false"/>
          <w:color w:val="E93AAC"/>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 management indicators</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10" w:type="dxa"/>
        <w:tblLayout w:type="fixed"/>
        <w:tblCellMar>
          <w:top w:w="28" w:type="dxa"/>
          <w:left w:w="108" w:type="dxa"/>
          <w:bottom w:w="28" w:type="dxa"/>
          <w:right w:w="108" w:type="dxa"/>
        </w:tblCellMar>
      </w:tblPr>
      <w:tblGrid>
        <w:gridCol w:w="3365"/>
        <w:gridCol w:w="425"/>
        <w:gridCol w:w="425"/>
        <w:gridCol w:w="425"/>
        <w:gridCol w:w="470"/>
        <w:gridCol w:w="470"/>
        <w:gridCol w:w="515"/>
        <w:gridCol w:w="515"/>
        <w:gridCol w:w="1160"/>
      </w:tblGrid>
      <w:tr>
        <w:trPr/>
        <w:tc>
          <w:tcPr>
            <w:tcW w:w="3365"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lineRule="auto" w:line="240" w:before="0" w:after="283"/>
              <w:jc w:val="left"/>
              <w:rPr>
                <w:rFonts w:ascii="Times New Roman;Times;Serif" w:hAnsi="Times New Roman;Times;Serif"/>
                <w:b/>
                <w:color w:val="FFFFFF"/>
                <w:sz w:val="16"/>
              </w:rPr>
            </w:pPr>
            <w:r>
              <w:rPr>
                <w:rFonts w:ascii="Times New Roman;Times;Serif" w:hAnsi="Times New Roman;Times;Serif"/>
                <w:b/>
                <w:color w:val="FFFFFF"/>
                <w:sz w:val="16"/>
              </w:rPr>
              <w:t>Management KPI’s (1)</w:t>
            </w:r>
          </w:p>
        </w:tc>
        <w:tc>
          <w:tcPr>
            <w:tcW w:w="1275" w:type="dxa"/>
            <w:gridSpan w:val="3"/>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940" w:type="dxa"/>
            <w:gridSpan w:val="2"/>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c>
          <w:tcPr>
            <w:tcW w:w="1030" w:type="dxa"/>
            <w:gridSpan w:val="2"/>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60" w:type="dxa"/>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r>
      <w:tr>
        <w:trPr/>
        <w:tc>
          <w:tcPr>
            <w:tcW w:w="336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42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42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42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470" w:type="dxa"/>
            <w:tcBorders>
              <w:left w:val="single" w:sz="8" w:space="0" w:color="000000"/>
              <w:bottom w:val="single" w:sz="8" w:space="0" w:color="000000"/>
            </w:tcBorders>
            <w:shd w:fill="2AD2C9" w:val="clear"/>
            <w:tcMar>
              <w:top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47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51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15"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6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Users</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Users (millions)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19.8</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19.8</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Monthly Active Users (MAU) (millions) (2)</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16.4</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w:t>
            </w:r>
          </w:p>
        </w:tc>
      </w:tr>
      <w:tr>
        <w:trPr/>
        <w:tc>
          <w:tcPr>
            <w:tcW w:w="33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Revenue Generating MAU (millions) </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14.3</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Engagement</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1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 </w:t>
            </w:r>
          </w:p>
        </w:tc>
        <w:tc>
          <w:tcPr>
            <w:tcW w:w="1160"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Transactions (millions)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2,385</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3,005</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3,381</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12.5%</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41.8%</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4,410</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6,387</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44.8%</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Revenue Generating Transactions (millions)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257</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337</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364</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8.1%</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42.0%</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486</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701</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44.4%</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Transactions / MAU</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25.7%</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25.7%</w:t>
            </w:r>
          </w:p>
        </w:tc>
      </w:tr>
      <w:tr>
        <w:trPr/>
        <w:tc>
          <w:tcPr>
            <w:tcW w:w="33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Average Functionalities / MAU</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w:t>
            </w:r>
          </w:p>
        </w:tc>
        <w:tc>
          <w:tcPr>
            <w:tcW w:w="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Experience</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160"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NPS (3)</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77</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77</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 p</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 p</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77</w:t>
            </w:r>
          </w:p>
        </w:tc>
        <w:tc>
          <w:tcPr>
            <w:tcW w:w="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 p</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Unit Economics</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Monthly Indicators (4)</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Revenues / MAU (S/)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10.3</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72.4%</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72.4%</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Expenses / MAU (S/)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37.4%</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37.4%</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Quarterly Indicators (5)</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Revenues / MAU (S/)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9.7</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67.1%</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10.2</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70.4%</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Expenses / MAU (S/)</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30.4%</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28.7%</w:t>
            </w:r>
          </w:p>
        </w:tc>
      </w:tr>
      <w:tr>
        <w:trPr/>
        <w:tc>
          <w:tcPr>
            <w:tcW w:w="3365"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Drivers Monetization</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1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 </w:t>
            </w:r>
          </w:p>
        </w:tc>
        <w:tc>
          <w:tcPr>
            <w:tcW w:w="1160"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Total TPV (S/, billions) (6)</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103.4</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129.8</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139.7</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35.1%</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194.9</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269.5</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38.2%</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Total Revenue Generating TPV (S/, billions) (6)</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16.5</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65.7%</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20.3</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34.6</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70.5%</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Payments</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 Bill Payments transactions (millions) </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43.9%</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46.4%</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Financials</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 Loans Disbursements (thousands) </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3,855</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5,734</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6,376</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65.4%</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6,956</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12,110</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74.1%</w:t>
            </w:r>
          </w:p>
        </w:tc>
      </w:tr>
      <w:tr>
        <w:trPr/>
        <w:tc>
          <w:tcPr>
            <w:tcW w:w="336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E-Commerce</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36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GMV (S/, millions) (7)</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127.9</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175.7</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167.2</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30.8%</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252.0</w:t>
            </w:r>
          </w:p>
        </w:tc>
        <w:tc>
          <w:tcPr>
            <w:tcW w:w="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342.9</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Management figures.</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Yape users that have made at least one outgoing transaction in the measurement month.</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Net Promoter Score.</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Monthly indicators consider the results of the last month of the quarter for the numerator and denominator.</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 Quarterly indicators are calculated using the sum of the three months in the period for numerator accounts, and the average of the denominator—based on last month’s data from both the current and previous quarters.</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 Total Payment Volume.</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 Gross Merchant Volume includes the following functionalities: Yape Promos, Yape Store, Ticketing, Gaming, Delivery, Buses, Gas, Brand Solutions and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620000" cy="638175"/>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560" w:type="dxa"/>
        <w:jc w:val="left"/>
        <w:tblInd w:w="0" w:type="dxa"/>
        <w:tblLayout w:type="fixed"/>
        <w:tblCellMar>
          <w:top w:w="0" w:type="dxa"/>
          <w:left w:w="0" w:type="dxa"/>
          <w:bottom w:w="0" w:type="dxa"/>
          <w:right w:w="0" w:type="dxa"/>
        </w:tblCellMar>
      </w:tblPr>
      <w:tblGrid>
        <w:gridCol w:w="1995"/>
        <w:gridCol w:w="65"/>
        <w:gridCol w:w="2270"/>
        <w:gridCol w:w="323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3230" w:type="dxa"/>
            <w:tcBorders/>
            <w:shd w:fill="000000" w:val="clear"/>
            <w:vAlign w:val="center"/>
          </w:tcPr>
          <w:p>
            <w:pPr>
              <w:pStyle w:val="TableContents"/>
              <w:bidi w:val="0"/>
              <w:spacing w:before="0" w:after="283"/>
              <w:jc w:val="right"/>
              <w:rPr>
                <w:rFonts w:ascii="Times New Roman;Times;Serif" w:hAnsi="Times New Roman;Times;Serif"/>
                <w:color w:val="FF00FF"/>
                <w:sz w:val="20"/>
              </w:rPr>
            </w:pPr>
            <w:r>
              <w:rPr>
                <w:rFonts w:ascii="Times New Roman;Times;Serif" w:hAnsi="Times New Roman;Times;Serif"/>
                <w:color w:val="FF00FF"/>
                <w:sz w:val="20"/>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bl>
    <w:tbl>
      <w:tblPr>
        <w:tblW w:w="2705" w:type="dxa"/>
        <w:jc w:val="left"/>
        <w:tblInd w:w="0" w:type="dxa"/>
        <w:tblLayout w:type="fixed"/>
        <w:tblCellMar>
          <w:top w:w="0" w:type="dxa"/>
          <w:left w:w="0" w:type="dxa"/>
          <w:bottom w:w="0" w:type="dxa"/>
          <w:right w:w="0" w:type="dxa"/>
        </w:tblCellMar>
      </w:tblPr>
      <w:tblGrid>
        <w:gridCol w:w="2705"/>
      </w:tblGrid>
      <w:tr>
        <w:trPr/>
        <w:tc>
          <w:tcPr>
            <w:tcW w:w="270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Credicorp’s Strategy Update</w:t>
            </w:r>
          </w:p>
        </w:tc>
      </w:tr>
    </w:tbl>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 Financial Metrics</w:t>
      </w:r>
    </w:p>
    <w:tbl>
      <w:tblPr>
        <w:tblW w:w="7635" w:type="dxa"/>
        <w:jc w:val="left"/>
        <w:tblInd w:w="-10" w:type="dxa"/>
        <w:tblLayout w:type="fixed"/>
        <w:tblCellMar>
          <w:top w:w="28" w:type="dxa"/>
          <w:left w:w="108" w:type="dxa"/>
          <w:bottom w:w="28" w:type="dxa"/>
          <w:right w:w="108" w:type="dxa"/>
        </w:tblCellMar>
      </w:tblPr>
      <w:tblGrid>
        <w:gridCol w:w="2675"/>
        <w:gridCol w:w="515"/>
        <w:gridCol w:w="560"/>
        <w:gridCol w:w="560"/>
        <w:gridCol w:w="500"/>
        <w:gridCol w:w="590"/>
        <w:gridCol w:w="515"/>
        <w:gridCol w:w="560"/>
        <w:gridCol w:w="1160"/>
      </w:tblGrid>
      <w:tr>
        <w:trPr/>
        <w:tc>
          <w:tcPr>
            <w:tcW w:w="2675"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lineRule="auto" w:line="240" w:before="0" w:after="283"/>
              <w:jc w:val="left"/>
              <w:rPr/>
            </w:pPr>
            <w:r>
              <w:rPr>
                <w:rFonts w:ascii="Times New Roman;Times;Serif" w:hAnsi="Times New Roman;Times;Serif"/>
                <w:b/>
                <w:color w:val="FFFFFF"/>
                <w:sz w:val="16"/>
              </w:rPr>
              <w:t>Financial Metrics (1)</w:t>
            </w:r>
            <w:r>
              <w:rPr>
                <w:rFonts w:ascii="Times New Roman;Times;Serif" w:hAnsi="Times New Roman;Times;Serif"/>
                <w:sz w:val="16"/>
              </w:rPr>
              <w:br/>
            </w:r>
            <w:r>
              <w:rPr>
                <w:rFonts w:ascii="Times New Roman;Times;Serif" w:hAnsi="Times New Roman;Times;Serif"/>
                <w:b/>
                <w:color w:val="FFFFFF"/>
                <w:sz w:val="16"/>
              </w:rPr>
              <w:t>S/ millions</w:t>
            </w:r>
          </w:p>
        </w:tc>
        <w:tc>
          <w:tcPr>
            <w:tcW w:w="1635" w:type="dxa"/>
            <w:gridSpan w:val="3"/>
            <w:tcBorders>
              <w:top w:val="single" w:sz="8" w:space="0" w:color="000000"/>
            </w:tcBorders>
            <w:shd w:fill="2AD2C9" w:val="clear"/>
            <w:tcMar>
              <w:left w:w="0" w:type="dxa"/>
              <w:bottom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1090" w:type="dxa"/>
            <w:gridSpan w:val="2"/>
            <w:tcBorders>
              <w:top w:val="single" w:sz="8" w:space="0" w:color="000000"/>
              <w:left w:val="single" w:sz="8" w:space="0" w:color="000000"/>
              <w:right w:val="single" w:sz="8" w:space="0" w:color="000000"/>
            </w:tcBorders>
            <w:shd w:fill="2AD2C9" w:val="clear"/>
            <w:tcMar>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c>
          <w:tcPr>
            <w:tcW w:w="1075" w:type="dxa"/>
            <w:gridSpan w:val="2"/>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60" w:type="dxa"/>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r>
      <w:tr>
        <w:trPr/>
        <w:tc>
          <w:tcPr>
            <w:tcW w:w="267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51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6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Dec 25</w:t>
            </w:r>
          </w:p>
        </w:tc>
        <w:tc>
          <w:tcPr>
            <w:tcW w:w="56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0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9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51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6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6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26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Loans (quarter-end balances)</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444.5</w:t>
            </w:r>
          </w:p>
        </w:tc>
        <w:tc>
          <w:tcPr>
            <w:tcW w:w="5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1,142.8</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1,817.0</w:t>
            </w:r>
          </w:p>
        </w:tc>
        <w:tc>
          <w:tcPr>
            <w:tcW w:w="50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59.0%</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308.7%</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444.5</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1,817.0</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308.7%</w:t>
            </w:r>
          </w:p>
        </w:tc>
      </w:tr>
      <w:tr>
        <w:trPr/>
        <w:tc>
          <w:tcPr>
            <w:tcW w:w="267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Risk-Adjusted Net Interest Income (2)</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123.9</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235.7</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276.1</w:t>
            </w:r>
          </w:p>
        </w:tc>
        <w:tc>
          <w:tcPr>
            <w:tcW w:w="50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17.1%</w:t>
            </w:r>
          </w:p>
        </w:tc>
        <w:tc>
          <w:tcPr>
            <w:tcW w:w="59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122.8%</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123.9</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276.1</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122.8%</w:t>
            </w:r>
          </w:p>
        </w:tc>
      </w:tr>
      <w:tr>
        <w:trPr/>
        <w:tc>
          <w:tcPr>
            <w:tcW w:w="267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Other Income (3)</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159.0</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235.6</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256.9</w:t>
            </w:r>
          </w:p>
        </w:tc>
        <w:tc>
          <w:tcPr>
            <w:tcW w:w="50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w:t>
            </w:r>
          </w:p>
        </w:tc>
        <w:tc>
          <w:tcPr>
            <w:tcW w:w="59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61.6%</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159.0</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256.9</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61.6%</w:t>
            </w:r>
          </w:p>
        </w:tc>
      </w:tr>
      <w:tr>
        <w:trPr/>
        <w:tc>
          <w:tcPr>
            <w:tcW w:w="26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Risk-Adjusted Revenues</w:t>
            </w:r>
          </w:p>
        </w:tc>
        <w:tc>
          <w:tcPr>
            <w:tcW w:w="51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282.9</w:t>
            </w:r>
          </w:p>
        </w:tc>
        <w:tc>
          <w:tcPr>
            <w:tcW w:w="5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471.3</w:t>
            </w:r>
          </w:p>
        </w:tc>
        <w:tc>
          <w:tcPr>
            <w:tcW w:w="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533.0</w:t>
            </w:r>
          </w:p>
        </w:tc>
        <w:tc>
          <w:tcPr>
            <w:tcW w:w="50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w:t>
            </w:r>
          </w:p>
        </w:tc>
        <w:tc>
          <w:tcPr>
            <w:tcW w:w="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88.4%</w:t>
            </w:r>
          </w:p>
        </w:tc>
        <w:tc>
          <w:tcPr>
            <w:tcW w:w="51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282.9</w:t>
            </w:r>
          </w:p>
        </w:tc>
        <w:tc>
          <w:tcPr>
            <w:tcW w:w="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533.0</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88.4%</w:t>
            </w:r>
          </w:p>
        </w:tc>
      </w:tr>
      <w:tr>
        <w:trPr/>
        <w:tc>
          <w:tcPr>
            <w:tcW w:w="26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Operating Expenses</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-197.1</w:t>
            </w:r>
          </w:p>
        </w:tc>
        <w:tc>
          <w:tcPr>
            <w:tcW w:w="5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-266.1</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-290.9</w:t>
            </w:r>
          </w:p>
        </w:tc>
        <w:tc>
          <w:tcPr>
            <w:tcW w:w="50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9.3%</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47.6%</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-197.1</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-290.9</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Management figures.</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Includes interest income, interest expense and net provisions.</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Includes Other Income recorded in BCP and in Yape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 and engagement reinforce Yape’s role in daily financial activity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2Q26, Yape continued to consolidate its position in the Peruvian market, as users increasingly relied on the app for daily payments and other financial activities. In this context, Yape is capturing transactions that were traditionally conducted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maintained strong engagement, reaching an average frequency of 69 monthly transactions per MAU, while NPS stood at 78 points, reflecting solid user satisfaction and trust. These indicators show Yape’s ability to increase recurrence, expand feature adoption, and deepen its relationship with a base of more than 16 million MAUs.</w:t>
      </w:r>
    </w:p>
    <w:p>
      <w:pPr>
        <w:pStyle w:val="TextBody"/>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3110230" cy="3284220"/>
                <wp:effectExtent l="0" t="0" r="0" b="0"/>
                <wp:wrapSquare wrapText="right"/>
                <wp:docPr id="46" name="Frame1"/>
                <a:graphic xmlns:a="http://schemas.openxmlformats.org/drawingml/2006/main">
                  <a:graphicData uri="http://schemas.microsoft.com/office/word/2010/wordprocessingShape">
                    <wps:wsp>
                      <wps:cNvSpPr txBox="1"/>
                      <wps:spPr>
                        <a:xfrm>
                          <a:off x="0" y="0"/>
                          <a:ext cx="3110230" cy="328422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Growing monetization and operating leverage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monetization strategy continues to advance consistently with clear operating leverage. In 2Q26, monthly revenue per MAU reached S/11.1 (+72.4% YoY), driven by growth in transactions and in the use of features (2.9 in 2Q26 vs. 2.7 in 2Q25). This evolution widely outpaced growth in monthly expenses per MAU, which stood at S/6.0 (+37.4% YoY). By the end of 2Q26, Yape accounted for 8.9% of Credicorp’s risk-adjusted revenue, up from 5.3% in 2Q25.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 as a key driver of customer activation and insight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remain a key monetization engine and the main entry point into Yape’s ecosystem, supporting customer acquisition, engagement and data generation for future cross-selling. At the end of 2Q26, Payments represented 45% of Yape’s total revenue, driven mainly by Bill Payments, QR/POS Payments and Checkout, as stronger commercial execution and higher adoption among merchants and users continued to reinforce Yape’s position as one of Peru’s leading digital payment platforms.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Growing monetization and operating leverage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monetization strategy continues to advance consistently with clear operating leverage. In 2Q26, monthly revenue per MAU reached S/11.1 (+72.4% YoY), driven by growth in transactions and in the use of features (2.9 in 2Q26 vs. 2.7 in 2Q25). This evolution widely outpaced growth in monthly expenses per MAU, which stood at S/6.0 (+37.4% YoY). By the end of 2Q26, Yape accounted for 8.9% of Credicorp’s risk-adjusted revenue, up from 5.3% in 2Q25.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 as a key driver of customer activation and insight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remain a key monetization engine and the main entry point into Yape’s ecosystem, supporting customer acquisition, engagement and data generation for future cross-selling. At the end of 2Q26, Payments represented 45% of Yape’s total revenue, driven mainly by Bill Payments, QR/POS Payments and Checkout, as stronger commercial execution and higher adoption among merchants and users continued to reinforce Yape’s position as one of Peru’s leading digital payment platforms.</w:t>
                      </w:r>
                    </w:p>
                  </w:txbxContent>
                </v:textbox>
                <w10:wrap type="square" side="right"/>
              </v:rect>
            </w:pict>
          </mc:Fallback>
        </mc:AlternateContent>
      </w:r>
      <w:r>
        <mc:AlternateContent>
          <mc:Choice Requires="wps">
            <w:drawing>
              <wp:anchor behindDoc="0" distT="0" distB="0" distL="0" distR="0" simplePos="0" locked="0" layoutInCell="1" allowOverlap="1" relativeHeight="133">
                <wp:simplePos x="0" y="0"/>
                <wp:positionH relativeFrom="column">
                  <wp:align>right</wp:align>
                </wp:positionH>
                <wp:positionV relativeFrom="line">
                  <wp:posOffset>635</wp:posOffset>
                </wp:positionV>
                <wp:extent cx="3110230" cy="3585210"/>
                <wp:effectExtent l="0" t="0" r="0" b="0"/>
                <wp:wrapSquare wrapText="left"/>
                <wp:docPr id="47" name="Frame2"/>
                <a:graphic xmlns:a="http://schemas.openxmlformats.org/drawingml/2006/main">
                  <a:graphicData uri="http://schemas.microsoft.com/office/word/2010/wordprocessingShape">
                    <wps:wsp>
                      <wps:cNvSpPr txBox="1"/>
                      <wps:spPr>
                        <a:xfrm>
                          <a:off x="0" y="0"/>
                          <a:ext cx="3110230" cy="3585210"/>
                        </a:xfrm>
                        <a:prstGeom prst="rect"/>
                        <a:solidFill>
                          <a:srgbClr val="FFFFFF"/>
                        </a:solidFill>
                      </wps:spPr>
                      <wps:txbx>
                        <w:txbxContent>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3581400" cy="1724025"/>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3581400" cy="17240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3743325" cy="1685925"/>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3743325" cy="168592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2.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3581400" cy="17240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9"/>
                                    <a:stretch>
                                      <a:fillRect/>
                                    </a:stretch>
                                  </pic:blipFill>
                                  <pic:spPr bwMode="auto">
                                    <a:xfrm>
                                      <a:off x="0" y="0"/>
                                      <a:ext cx="3581400" cy="17240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3743325" cy="16859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50"/>
                                    <a:stretch>
                                      <a:fillRect/>
                                    </a:stretch>
                                  </pic:blipFill>
                                  <pic:spPr bwMode="auto">
                                    <a:xfrm>
                                      <a:off x="0" y="0"/>
                                      <a:ext cx="3743325" cy="1685925"/>
                                    </a:xfrm>
                                    <a:prstGeom prst="rect">
                                      <a:avLst/>
                                    </a:prstGeom>
                                  </pic:spPr>
                                </pic:pic>
                              </a:graphicData>
                            </a:graphic>
                          </wp:inline>
                        </w:drawing>
                      </w:r>
                    </w:p>
                  </w:txbxContent>
                </v:textbox>
                <w10:wrap type="square" side="left"/>
              </v:rect>
            </w:pict>
          </mc:Fallback>
        </mc:AlternateConten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Lending accelerating financial inclusion through a scalable digital proposition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2Q26, the financial business represented 52% of Yape’s total revenues, where Lending led growth and accounted for 28% of this vertical’s total revenues compared to 19% in 2Q25.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2Q26, the loan portfolio reached S/1.8 billion, four times the level reported in 2Q25. Loan disbursements have reached 5.6 million clients, expanding access to credit for segments traditionally underserved by the financial system. This growth has been supported by enhanced capabilities in data and advanced analytics, risk management, and digital distribution. With loan penetration at 34% of MAUs, there remains significant room to deepen credit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olumn">
                  <wp:align>right</wp:align>
                </wp:positionH>
                <wp:positionV relativeFrom="line">
                  <wp:posOffset>635</wp:posOffset>
                </wp:positionV>
                <wp:extent cx="3110230" cy="1162050"/>
                <wp:effectExtent l="0" t="0" r="0" b="0"/>
                <wp:wrapSquare wrapText="left"/>
                <wp:docPr id="52" name="Frame4"/>
                <a:graphic xmlns:a="http://schemas.openxmlformats.org/drawingml/2006/main">
                  <a:graphicData uri="http://schemas.microsoft.com/office/word/2010/wordprocessingShape">
                    <wps:wsp>
                      <wps:cNvSpPr txBox="1"/>
                      <wps:spPr>
                        <a:xfrm>
                          <a:off x="0" y="0"/>
                          <a:ext cx="3110230" cy="1162050"/>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drawing>
                                <wp:inline distT="0" distB="0" distL="0" distR="0">
                                  <wp:extent cx="3505200" cy="1162050"/>
                                  <wp:effectExtent l="0" t="0" r="0" b="0"/>
                                  <wp:docPr id="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8" descr=""/>
                                          <pic:cNvPicPr>
                                            <a:picLocks noChangeAspect="1" noChangeArrowheads="1"/>
                                          </pic:cNvPicPr>
                                        </pic:nvPicPr>
                                        <pic:blipFill>
                                          <a:blip r:embed="rId51"/>
                                          <a:stretch>
                                            <a:fillRect/>
                                          </a:stretch>
                                        </pic:blipFill>
                                        <pic:spPr bwMode="auto">
                                          <a:xfrm>
                                            <a:off x="0" y="0"/>
                                            <a:ext cx="3505200" cy="116205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rPr>
                      </w:pPr>
                      <w:r>
                        <w:rPr>
                          <w:caps w:val="false"/>
                          <w:smallCaps w:val="false"/>
                        </w:rPr>
                        <w:drawing>
                          <wp:inline distT="0" distB="0" distL="0" distR="0">
                            <wp:extent cx="3505200" cy="116205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52"/>
                                    <a:stretch>
                                      <a:fillRect/>
                                    </a:stretch>
                                  </pic:blipFill>
                                  <pic:spPr bwMode="auto">
                                    <a:xfrm>
                                      <a:off x="0" y="0"/>
                                      <a:ext cx="3505200" cy="116205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3110230" cy="1026795"/>
                <wp:effectExtent l="0" t="0" r="0" b="0"/>
                <wp:wrapSquare wrapText="right"/>
                <wp:docPr id="55" name="Frame3"/>
                <a:graphic xmlns:a="http://schemas.openxmlformats.org/drawingml/2006/main">
                  <a:graphicData uri="http://schemas.microsoft.com/office/word/2010/wordprocessingShape">
                    <wps:wsp>
                      <wps:cNvSpPr txBox="1"/>
                      <wps:spPr>
                        <a:xfrm>
                          <a:off x="0" y="0"/>
                          <a:ext cx="3110230" cy="1026795"/>
                        </a:xfrm>
                        <a:prstGeom prst="rect"/>
                        <a:solidFill>
                          <a:srgbClr val="FFFFFF"/>
                        </a:solidFill>
                      </wps:spPr>
                      <wps:txbx>
                        <w:txbxContent>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ticket sizes and terms vary by product: single-installment loans average approximately S/220 with maturities below one month; multi-installment loans average approximately S/850 over nine months; and SME loans average approximately S/3,300 over ten months. As of 2Q26, the portfolio balance was mainly composed of multi-installment loans.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ticket sizes and terms vary by product: single-installment loans average approximately S/220 with maturities below one month; multi-installment loans average approximately S/850 over nine months; and SME loans average approximately S/3,300 over ten months. As of 2Q26, the portfolio balance was mainly composed of multi-installment loans.</w:t>
                      </w:r>
                    </w:p>
                  </w:txbxContent>
                </v:textbox>
                <w10:wrap type="square" side="right"/>
              </v:rect>
            </w:pict>
          </mc:Fallback>
        </mc:AlternateContent>
      </w:r>
    </w:p>
    <w:p>
      <w:pPr>
        <w:pStyle w:val="TextBody"/>
        <w:bidi w:val="0"/>
        <w:spacing w:before="0" w:after="0"/>
        <w:jc w:val="center"/>
        <w:rPr>
          <w:caps w:val="false"/>
          <w:smallCaps w:val="false"/>
        </w:rPr>
      </w:pPr>
      <w:r>
        <w:rPr>
          <w:caps w:val="false"/>
          <w:smallCaps w:val="false"/>
        </w:rPr>
        <w:drawing>
          <wp:inline distT="0" distB="0" distL="0" distR="0">
            <wp:extent cx="7620000" cy="628650"/>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3"/>
                    <a:stretch>
                      <a:fillRect/>
                    </a:stretch>
                  </pic:blipFill>
                  <pic:spPr bwMode="auto">
                    <a:xfrm>
                      <a:off x="0" y="0"/>
                      <a:ext cx="7620000" cy="62865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560" w:type="dxa"/>
        <w:jc w:val="left"/>
        <w:tblInd w:w="0" w:type="dxa"/>
        <w:tblLayout w:type="fixed"/>
        <w:tblCellMar>
          <w:top w:w="0" w:type="dxa"/>
          <w:left w:w="0" w:type="dxa"/>
          <w:bottom w:w="0" w:type="dxa"/>
          <w:right w:w="0" w:type="dxa"/>
        </w:tblCellMar>
      </w:tblPr>
      <w:tblGrid>
        <w:gridCol w:w="1995"/>
        <w:gridCol w:w="65"/>
        <w:gridCol w:w="2270"/>
        <w:gridCol w:w="323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4"/>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3230" w:type="dxa"/>
            <w:tcBorders/>
            <w:shd w:fill="000000" w:val="clear"/>
            <w:vAlign w:val="center"/>
          </w:tcPr>
          <w:p>
            <w:pPr>
              <w:pStyle w:val="TableContents"/>
              <w:bidi w:val="0"/>
              <w:spacing w:before="0" w:after="283"/>
              <w:jc w:val="right"/>
              <w:rPr>
                <w:rFonts w:ascii="Times New Roman;Times;Serif" w:hAnsi="Times New Roman;Times;Serif"/>
                <w:color w:val="FF00FF"/>
                <w:sz w:val="20"/>
              </w:rPr>
            </w:pPr>
            <w:r>
              <w:rPr>
                <w:rFonts w:ascii="Times New Roman;Times;Serif" w:hAnsi="Times New Roman;Times;Serif"/>
                <w:color w:val="FF00FF"/>
                <w:sz w:val="20"/>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bl>
    <w:tbl>
      <w:tblPr>
        <w:tblW w:w="2705" w:type="dxa"/>
        <w:jc w:val="left"/>
        <w:tblInd w:w="0" w:type="dxa"/>
        <w:tblLayout w:type="fixed"/>
        <w:tblCellMar>
          <w:top w:w="0" w:type="dxa"/>
          <w:left w:w="0" w:type="dxa"/>
          <w:bottom w:w="0" w:type="dxa"/>
          <w:right w:w="0" w:type="dxa"/>
        </w:tblCellMar>
      </w:tblPr>
      <w:tblGrid>
        <w:gridCol w:w="2705"/>
      </w:tblGrid>
      <w:tr>
        <w:trPr/>
        <w:tc>
          <w:tcPr>
            <w:tcW w:w="270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Credicorp’s Strategy Update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Growing contribution and strategic relevance for Credicorp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Yape continues to increase its contribution to Credicorp by leveraging scale, engagement and customer insight. As a transvers al distribution platform, it expands the group’s reach into new segments, supports cross-selling and accelerates adoption of financial products and services. This reinforces Yape’s role as a long-term growth engine within Credicorp’s ecosystem.</w:t>
      </w:r>
    </w:p>
    <w:p>
      <w:pPr>
        <w:pStyle w:val="TextBody"/>
        <w:bidi w:val="0"/>
        <w:spacing w:before="0" w:after="0"/>
        <w:ind w:left="17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E93AAC"/>
          <w:sz w:val="36"/>
        </w:rPr>
      </w:pPr>
      <w:r>
        <w:rPr>
          <w:rFonts w:ascii="Times New Roman;Times;Serif" w:hAnsi="Times New Roman;Times;Serif"/>
          <w:b w:val="false"/>
          <w:i w:val="false"/>
          <w:caps w:val="false"/>
          <w:smallCaps w:val="false"/>
          <w:color w:val="E93AAC"/>
          <w:sz w:val="36"/>
        </w:rPr>
        <w:t>2. Yape Bolivia: leader in QR transactions in the Financial System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 management indicators</w:t>
      </w:r>
    </w:p>
    <w:p>
      <w:pPr>
        <w:pStyle w:val="TextBody"/>
        <w:bidi w:val="0"/>
        <w:spacing w:before="0" w:after="0"/>
        <w:ind w:left="0" w:right="0" w:hanging="0"/>
        <w:jc w:val="both"/>
        <w:rPr>
          <w:caps w:val="false"/>
          <w:smallCaps w:val="false"/>
        </w:rPr>
      </w:pPr>
      <w:r>
        <w:rPr>
          <w:caps w:val="false"/>
          <w:smallCaps w:val="false"/>
        </w:rPr>
        <w:t> </w:t>
      </w:r>
    </w:p>
    <w:tbl>
      <w:tblPr>
        <w:tblW w:w="7575" w:type="dxa"/>
        <w:jc w:val="left"/>
        <w:tblInd w:w="-10" w:type="dxa"/>
        <w:tblLayout w:type="fixed"/>
        <w:tblCellMar>
          <w:top w:w="28" w:type="dxa"/>
          <w:left w:w="108" w:type="dxa"/>
          <w:bottom w:w="28" w:type="dxa"/>
          <w:right w:w="108" w:type="dxa"/>
        </w:tblCellMar>
      </w:tblPr>
      <w:tblGrid>
        <w:gridCol w:w="3080"/>
        <w:gridCol w:w="425"/>
        <w:gridCol w:w="425"/>
        <w:gridCol w:w="425"/>
        <w:gridCol w:w="470"/>
        <w:gridCol w:w="560"/>
        <w:gridCol w:w="515"/>
        <w:gridCol w:w="515"/>
        <w:gridCol w:w="1160"/>
      </w:tblGrid>
      <w:tr>
        <w:trPr/>
        <w:tc>
          <w:tcPr>
            <w:tcW w:w="3080"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lineRule="auto" w:line="240" w:before="0" w:after="283"/>
              <w:jc w:val="left"/>
              <w:rPr>
                <w:rFonts w:ascii="Times New Roman;Times;Serif" w:hAnsi="Times New Roman;Times;Serif"/>
                <w:b/>
                <w:color w:val="FFFFFF"/>
                <w:sz w:val="16"/>
              </w:rPr>
            </w:pPr>
            <w:r>
              <w:rPr>
                <w:rFonts w:ascii="Times New Roman;Times;Serif" w:hAnsi="Times New Roman;Times;Serif"/>
                <w:b/>
                <w:color w:val="FFFFFF"/>
                <w:sz w:val="16"/>
              </w:rPr>
              <w:t>Management KPI’s (1)</w:t>
            </w:r>
          </w:p>
        </w:tc>
        <w:tc>
          <w:tcPr>
            <w:tcW w:w="1275" w:type="dxa"/>
            <w:gridSpan w:val="3"/>
            <w:tcBorders>
              <w:top w:val="single" w:sz="8" w:space="0" w:color="000000"/>
            </w:tcBorders>
            <w:shd w:fill="2AD2C9" w:val="clear"/>
            <w:tcMar>
              <w:left w:w="0" w:type="dxa"/>
              <w:bottom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1030" w:type="dxa"/>
            <w:gridSpan w:val="2"/>
            <w:tcBorders>
              <w:top w:val="single" w:sz="8" w:space="0" w:color="000000"/>
              <w:left w:val="single" w:sz="8" w:space="0" w:color="000000"/>
              <w:right w:val="single" w:sz="8" w:space="0" w:color="000000"/>
            </w:tcBorders>
            <w:shd w:fill="2AD2C9" w:val="clear"/>
            <w:tcMar>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c>
          <w:tcPr>
            <w:tcW w:w="1030" w:type="dxa"/>
            <w:gridSpan w:val="2"/>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60" w:type="dxa"/>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r>
      <w:tr>
        <w:trPr/>
        <w:tc>
          <w:tcPr>
            <w:tcW w:w="3080"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42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42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42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470" w:type="dxa"/>
            <w:tcBorders>
              <w:left w:val="single" w:sz="8" w:space="0" w:color="000000"/>
              <w:bottom w:val="single" w:sz="8" w:space="0" w:color="000000"/>
            </w:tcBorders>
            <w:shd w:fill="2AD2C9" w:val="clear"/>
            <w:tcMar>
              <w:top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6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51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15"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6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08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Users</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08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Users (millions)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41.3%</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41.3%</w:t>
            </w:r>
          </w:p>
        </w:tc>
      </w:tr>
      <w:tr>
        <w:trPr/>
        <w:tc>
          <w:tcPr>
            <w:tcW w:w="3080"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Monthly Active Users (MAU) (millions) (2)</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52.4%</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52.4%</w:t>
            </w:r>
          </w:p>
        </w:tc>
      </w:tr>
      <w:tr>
        <w:trPr/>
        <w:tc>
          <w:tcPr>
            <w:tcW w:w="3080"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Engagement</w:t>
            </w:r>
          </w:p>
        </w:tc>
        <w:tc>
          <w:tcPr>
            <w:tcW w:w="42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42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42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c>
          <w:tcPr>
            <w:tcW w:w="470"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560"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c>
          <w:tcPr>
            <w:tcW w:w="515"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515"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c>
          <w:tcPr>
            <w:tcW w:w="1160"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pPr>
            <w:r>
              <w:rPr/>
              <w:t> </w:t>
            </w:r>
          </w:p>
        </w:tc>
      </w:tr>
      <w:tr>
        <w:trPr/>
        <w:tc>
          <w:tcPr>
            <w:tcW w:w="308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Transactions (millions)</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155.1</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272.7</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337.7</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23.8%</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117.7%</w:t>
            </w:r>
          </w:p>
        </w:tc>
        <w:tc>
          <w:tcPr>
            <w:tcW w:w="51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284.7</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610.4</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114.4%</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Transactions / MAU</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35.6</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44.1</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50.3</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41.2%</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33.8</w:t>
            </w:r>
          </w:p>
        </w:tc>
        <w:tc>
          <w:tcPr>
            <w:tcW w:w="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47.2</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39.6%</w:t>
            </w:r>
          </w:p>
        </w:tc>
      </w:tr>
      <w:tr>
        <w:trPr/>
        <w:tc>
          <w:tcPr>
            <w:tcW w:w="308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Experience</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08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NPS (3)</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4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c>
          <w:tcPr>
            <w:tcW w:w="4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 p</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 p</w:t>
            </w:r>
          </w:p>
        </w:tc>
        <w:tc>
          <w:tcPr>
            <w:tcW w:w="51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w:t>
            </w:r>
          </w:p>
        </w:tc>
        <w:tc>
          <w:tcPr>
            <w:tcW w:w="5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 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Management figures.</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Yape users that have made at least one outgoing transaction in the measurement month.</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Net Promoter Score.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Yape Bolivia represents one of the first tests of regional scalability for the Yape model, leveraging BCP Bolivia’s capabilities to modernize everyday payments and expand financial inclusion in a market with significant digitalization potential. As of 2Q26, it reached 4.5 million users, with MAUs representing 51%, equivalent to approximately one-third of Bolivia’s population. Yape Bolivia leads the QR transaction market with a 26.5% share, up from 23.2% in 2Q25. These results reflect accelerated adoption, consolidate Yape as a relevant player in Bolivia’s digital payments market, and support the replicability of the model in markets with high informality and intensive cash usage.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19125"/>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5"/>
                    <a:stretch>
                      <a:fillRect/>
                    </a:stretch>
                  </pic:blipFill>
                  <pic:spPr bwMode="auto">
                    <a:xfrm>
                      <a:off x="0" y="0"/>
                      <a:ext cx="7620000" cy="619125"/>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560" w:type="dxa"/>
        <w:jc w:val="left"/>
        <w:tblInd w:w="0" w:type="dxa"/>
        <w:tblLayout w:type="fixed"/>
        <w:tblCellMar>
          <w:top w:w="0" w:type="dxa"/>
          <w:left w:w="0" w:type="dxa"/>
          <w:bottom w:w="0" w:type="dxa"/>
          <w:right w:w="0" w:type="dxa"/>
        </w:tblCellMar>
      </w:tblPr>
      <w:tblGrid>
        <w:gridCol w:w="1995"/>
        <w:gridCol w:w="65"/>
        <w:gridCol w:w="2270"/>
        <w:gridCol w:w="323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6"/>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3230" w:type="dxa"/>
            <w:tcBorders/>
            <w:shd w:fill="000000" w:val="clear"/>
            <w:vAlign w:val="center"/>
          </w:tcPr>
          <w:p>
            <w:pPr>
              <w:pStyle w:val="TableContents"/>
              <w:bidi w:val="0"/>
              <w:spacing w:before="0" w:after="283"/>
              <w:jc w:val="right"/>
              <w:rPr>
                <w:rFonts w:ascii="Times New Roman;Times;Serif" w:hAnsi="Times New Roman;Times;Serif"/>
                <w:color w:val="FF00FF"/>
                <w:sz w:val="20"/>
              </w:rPr>
            </w:pPr>
            <w:r>
              <w:rPr>
                <w:rFonts w:ascii="Times New Roman;Times;Serif" w:hAnsi="Times New Roman;Times;Serif"/>
                <w:color w:val="FF00FF"/>
                <w:sz w:val="20"/>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62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rFonts w:ascii="Times New Roman;Times;Serif" w:hAnsi="Times New Roman;Times;Serif"/>
                <w:b/>
                <w:color w:val="E93AAC"/>
                <w:sz w:val="58"/>
              </w:rPr>
            </w:pPr>
            <w:r>
              <w:rPr>
                <w:rFonts w:ascii="Times New Roman;Times;Serif" w:hAnsi="Times New Roman;Times;Serif"/>
                <w:b/>
                <w:color w:val="E93AAC"/>
                <w:sz w:val="58"/>
              </w:rPr>
              <w:t>01</w:t>
            </w:r>
          </w:p>
        </w:tc>
        <w:tc>
          <w:tcPr>
            <w:tcW w:w="2165" w:type="dxa"/>
            <w:tcBorders/>
            <w:vAlign w:val="center"/>
          </w:tcPr>
          <w:p>
            <w:pPr>
              <w:pStyle w:val="TableContents"/>
              <w:bidi w:val="0"/>
              <w:spacing w:before="0" w:after="283"/>
              <w:jc w:val="left"/>
              <w:rPr>
                <w:rFonts w:ascii="Times New Roman;Times;Serif" w:hAnsi="Times New Roman;Times;Serif"/>
                <w:color w:val="E93AAC"/>
                <w:sz w:val="36"/>
              </w:rPr>
            </w:pPr>
            <w:r>
              <w:rPr>
                <w:rFonts w:ascii="Times New Roman;Times;Serif" w:hAnsi="Times New Roman;Times;Serif"/>
                <w:color w:val="E93AAC"/>
                <w:sz w:val="36"/>
              </w:rPr>
              <w:t>Loan Portfolio</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Total loans expanded 4.3% QoQ and 13.1% YoY. If we exclude the impact of the US Dollar’s depreciation against the sol, total loans rose 5.2% QoQ and 14.6% YoY.</w:t>
            </w:r>
          </w:p>
          <w:p>
            <w:pPr>
              <w:pStyle w:val="TableContents"/>
              <w:bidi w:val="0"/>
              <w:spacing w:before="0" w:after="0"/>
              <w:ind w:left="0" w:right="0" w:hanging="0"/>
              <w:jc w:val="left"/>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QoQ, growth in total loans was driven mainly by (i) an increase in consumer and SME-Pyme loans at BCP, on the back of an uptick in our risk appetite; (ii) growth in short-term loan disbursements at BCP’s Wholesale Banking, driven mainly by financing needs for the fishing season; and (iii) loan disbursements at Mibanco, which were predominantly for high-ticket loans while smaller-ticket loans maintained a stable growth rate.</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YoY, total loans rose 14.6% with a neutral exchange rate. The main dynamics that fueled this evolution were: (i) an expansion across most Retail Banking Segments at BCP, (ii) an uptick in long-term lending in Wholesale Banking at BCP, and (iii) solid growth in disbursements at Mibanco. Additionally, BCP Bolivia’s loan portfolio benefited from a positive foreign exchange effect following the country’s transition to a flexible exchange rate regime.</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Evolution in Quarter-end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quarter, total loans in quarter-end balances increased 4.3% and 13.1%,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respectively. If we exclude the US Dollar’s depreciation against the Sol, which provides a better view of commercial performance, loans in quarter-end balances rose 5.2%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and 14.6% </w:t>
      </w: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In BCP Bolivia, the loan portfolio increased, primarily reflecting a positive base effect related to the exchange rate used to value the balance sheet in the same period last year. Accounting adjustments implemented since 1Q25 have helped mitigate the impact on Credicorp’s consolidated results of both foreign exchange volatility and the recent transition to a flexible ex change rate regime in Bolivia.</w:t>
      </w:r>
    </w:p>
    <w:p>
      <w:pPr>
        <w:pStyle w:val="TextBody"/>
        <w:bidi w:val="0"/>
        <w:spacing w:before="0" w:after="0"/>
        <w:ind w:left="175" w:right="0" w:hanging="0"/>
        <w:jc w:val="both"/>
        <w:rPr>
          <w:caps w:val="false"/>
          <w:smallCaps w:val="false"/>
        </w:rPr>
      </w:pPr>
      <w:r>
        <w:rPr>
          <w:caps w:val="false"/>
          <w:smallCaps w:val="false"/>
        </w:rPr>
        <w:t> </w:t>
      </w:r>
    </w:p>
    <w:p>
      <w:pPr>
        <w:pStyle w:val="TextBody"/>
        <w:bidi w:val="0"/>
        <w:spacing w:before="0" w:after="0"/>
        <w:ind w:left="15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(in Quarter-end balances)</w:t>
      </w:r>
    </w:p>
    <w:p>
      <w:pPr>
        <w:pStyle w:val="TextBody"/>
        <w:bidi w:val="0"/>
        <w:spacing w:before="0" w:after="0"/>
        <w:ind w:left="151" w:right="0" w:hanging="0"/>
        <w:jc w:val="center"/>
        <w:rPr>
          <w:caps w:val="false"/>
          <w:smallCaps w:val="false"/>
        </w:rPr>
      </w:pPr>
      <w:r>
        <w:rPr>
          <w:caps w:val="false"/>
          <w:smallCaps w:val="false"/>
        </w:rPr>
        <w:t> </w:t>
      </w:r>
    </w:p>
    <w:tbl>
      <w:tblPr>
        <w:tblW w:w="6968" w:type="dxa"/>
        <w:jc w:val="left"/>
        <w:tblInd w:w="-10" w:type="dxa"/>
        <w:tblLayout w:type="fixed"/>
        <w:tblCellMar>
          <w:top w:w="28" w:type="dxa"/>
          <w:left w:w="108" w:type="dxa"/>
          <w:bottom w:w="28" w:type="dxa"/>
          <w:right w:w="108" w:type="dxa"/>
        </w:tblCellMar>
      </w:tblPr>
      <w:tblGrid>
        <w:gridCol w:w="1370"/>
        <w:gridCol w:w="605"/>
        <w:gridCol w:w="605"/>
        <w:gridCol w:w="605"/>
        <w:gridCol w:w="530"/>
        <w:gridCol w:w="530"/>
        <w:gridCol w:w="599"/>
        <w:gridCol w:w="725"/>
        <w:gridCol w:w="662"/>
        <w:gridCol w:w="662"/>
        <w:gridCol w:w="75"/>
      </w:tblGrid>
      <w:tr>
        <w:trPr/>
        <w:tc>
          <w:tcPr>
            <w:tcW w:w="1370"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left"/>
              <w:rPr/>
            </w:pPr>
            <w:r>
              <w:rPr>
                <w:rFonts w:ascii="Times New Roman;Times;Serif" w:hAnsi="Times New Roman;Times;Serif"/>
                <w:b/>
                <w:color w:val="FFFFFF"/>
                <w:sz w:val="16"/>
              </w:rPr>
              <w:t>Total Loans</w:t>
            </w:r>
            <w:r>
              <w:rPr>
                <w:rFonts w:ascii="Times New Roman;Times;Serif" w:hAnsi="Times New Roman;Times;Serif"/>
                <w:sz w:val="16"/>
              </w:rPr>
              <w:br/>
            </w:r>
            <w:r>
              <w:rPr>
                <w:rFonts w:ascii="Times New Roman;Times;Serif" w:hAnsi="Times New Roman;Times;Serif"/>
                <w:color w:val="FFFFFF"/>
                <w:sz w:val="16"/>
              </w:rPr>
              <w:t>(S/ Millions)</w:t>
            </w:r>
          </w:p>
        </w:tc>
        <w:tc>
          <w:tcPr>
            <w:tcW w:w="1815" w:type="dxa"/>
            <w:gridSpan w:val="3"/>
            <w:vMerge w:val="restart"/>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060" w:type="dxa"/>
            <w:gridSpan w:val="2"/>
            <w:vMerge w:val="restart"/>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324" w:type="dxa"/>
            <w:gridSpan w:val="2"/>
            <w:vMerge w:val="restart"/>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pPr>
            <w:r>
              <w:rPr>
                <w:rFonts w:ascii="Times New Roman;Times;Serif" w:hAnsi="Times New Roman;Times;Serif"/>
                <w:b/>
                <w:color w:val="F2F2F2"/>
                <w:sz w:val="16"/>
              </w:rPr>
              <w:t>USD/PEN Neutral</w:t>
            </w:r>
            <w:r>
              <w:rPr>
                <w:rFonts w:ascii="Times New Roman;Times;Serif" w:hAnsi="Times New Roman;Times;Serif"/>
                <w:sz w:val="16"/>
              </w:rPr>
              <w:br/>
            </w:r>
            <w:r>
              <w:rPr>
                <w:rFonts w:ascii="Times New Roman;Times;Serif" w:hAnsi="Times New Roman;Times;Serif"/>
                <w:b/>
                <w:color w:val="F2F2F2"/>
                <w:sz w:val="16"/>
              </w:rPr>
              <w:t>Volume change</w:t>
            </w:r>
          </w:p>
        </w:tc>
        <w:tc>
          <w:tcPr>
            <w:tcW w:w="1324" w:type="dxa"/>
            <w:gridSpan w:val="2"/>
            <w:vMerge w:val="restart"/>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pPr>
            <w:r>
              <w:rPr>
                <w:rFonts w:ascii="Times New Roman;Times;Serif" w:hAnsi="Times New Roman;Times;Serif"/>
                <w:b/>
                <w:color w:val="F2F2F2"/>
                <w:sz w:val="16"/>
              </w:rPr>
              <w:t>USD/PEN Neutral</w:t>
            </w:r>
            <w:r>
              <w:rPr>
                <w:rFonts w:ascii="Times New Roman;Times;Serif" w:hAnsi="Times New Roman;Times;Serif"/>
                <w:sz w:val="16"/>
              </w:rPr>
              <w:br/>
            </w:r>
            <w:r>
              <w:rPr>
                <w:rFonts w:ascii="Times New Roman;Times;Serif" w:hAnsi="Times New Roman;Times;Serif"/>
                <w:b/>
                <w:color w:val="F2F2F2"/>
                <w:sz w:val="16"/>
              </w:rPr>
              <w:t>% Change</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1815" w:type="dxa"/>
            <w:gridSpan w:val="3"/>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1060"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1324"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1324"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60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60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605"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3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3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599"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725"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662"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662"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BCP Stand-alone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120,999</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128,142</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134,207</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599"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7,110</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14,911</w:t>
            </w:r>
          </w:p>
        </w:tc>
        <w:tc>
          <w:tcPr>
            <w:tcW w:w="662"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w:t>
            </w:r>
          </w:p>
        </w:tc>
        <w:tc>
          <w:tcPr>
            <w:tcW w:w="66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Mibanco</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12,785</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14,080</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14,698</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15.0%</w:t>
            </w:r>
          </w:p>
        </w:tc>
        <w:tc>
          <w:tcPr>
            <w:tcW w:w="599"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618</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1,913</w:t>
            </w:r>
          </w:p>
        </w:tc>
        <w:tc>
          <w:tcPr>
            <w:tcW w:w="662"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w:t>
            </w:r>
          </w:p>
        </w:tc>
        <w:tc>
          <w:tcPr>
            <w:tcW w:w="66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15.0%</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Mibanco Colombia</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1,976</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2,618</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2,951</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49.3%</w:t>
            </w:r>
          </w:p>
        </w:tc>
        <w:tc>
          <w:tcPr>
            <w:tcW w:w="599"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403</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1,089</w:t>
            </w:r>
          </w:p>
        </w:tc>
        <w:tc>
          <w:tcPr>
            <w:tcW w:w="662"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w:t>
            </w:r>
          </w:p>
        </w:tc>
        <w:tc>
          <w:tcPr>
            <w:tcW w:w="66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55.1%</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BCP Bolivia</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4,189</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7,319</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6,584</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w:t>
            </w:r>
          </w:p>
        </w:tc>
        <w:tc>
          <w:tcPr>
            <w:tcW w:w="5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57.2%</w:t>
            </w:r>
          </w:p>
        </w:tc>
        <w:tc>
          <w:tcPr>
            <w:tcW w:w="599"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-579</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2,650</w:t>
            </w:r>
          </w:p>
        </w:tc>
        <w:tc>
          <w:tcPr>
            <w:tcW w:w="662"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w:t>
            </w:r>
          </w:p>
        </w:tc>
        <w:tc>
          <w:tcPr>
            <w:tcW w:w="66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63.2%</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ASB Bank Corp.</w:t>
            </w:r>
          </w:p>
        </w:tc>
        <w:tc>
          <w:tcPr>
            <w:tcW w:w="60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1,559</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1,459</w:t>
            </w:r>
          </w:p>
        </w:tc>
        <w:tc>
          <w:tcPr>
            <w:tcW w:w="60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1,428</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w:t>
            </w:r>
          </w:p>
        </w:tc>
        <w:tc>
          <w:tcPr>
            <w:tcW w:w="59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w:t>
            </w:r>
          </w:p>
        </w:tc>
        <w:tc>
          <w:tcPr>
            <w:tcW w:w="72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0.2%</w:t>
            </w:r>
          </w:p>
        </w:tc>
        <w:tc>
          <w:tcPr>
            <w:tcW w:w="6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Others(1)</w:t>
            </w:r>
          </w:p>
        </w:tc>
        <w:tc>
          <w:tcPr>
            <w:tcW w:w="60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-546</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-794</w:t>
            </w:r>
          </w:p>
        </w:tc>
        <w:tc>
          <w:tcPr>
            <w:tcW w:w="60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-434</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-45.4%</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-20.6%</w:t>
            </w:r>
          </w:p>
        </w:tc>
        <w:tc>
          <w:tcPr>
            <w:tcW w:w="599"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373</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w:t>
            </w:r>
          </w:p>
        </w:tc>
        <w:tc>
          <w:tcPr>
            <w:tcW w:w="66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-46.9%</w:t>
            </w:r>
          </w:p>
        </w:tc>
        <w:tc>
          <w:tcPr>
            <w:tcW w:w="66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-24.4%</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7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Loans</w:t>
            </w:r>
          </w:p>
        </w:tc>
        <w:tc>
          <w:tcPr>
            <w:tcW w:w="60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140,962</w:t>
            </w:r>
          </w:p>
        </w:tc>
        <w:tc>
          <w:tcPr>
            <w:tcW w:w="60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152,825</w:t>
            </w:r>
          </w:p>
        </w:tc>
        <w:tc>
          <w:tcPr>
            <w:tcW w:w="605"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159,434</w:t>
            </w:r>
          </w:p>
        </w:tc>
        <w:tc>
          <w:tcPr>
            <w:tcW w:w="53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4.3%</w:t>
            </w:r>
          </w:p>
        </w:tc>
        <w:tc>
          <w:tcPr>
            <w:tcW w:w="53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w:t>
            </w:r>
          </w:p>
        </w:tc>
        <w:tc>
          <w:tcPr>
            <w:tcW w:w="599"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7,928</w:t>
            </w:r>
          </w:p>
        </w:tc>
        <w:tc>
          <w:tcPr>
            <w:tcW w:w="72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20,621</w:t>
            </w:r>
          </w:p>
        </w:tc>
        <w:tc>
          <w:tcPr>
            <w:tcW w:w="66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w:t>
            </w:r>
          </w:p>
        </w:tc>
        <w:tc>
          <w:tcPr>
            <w:tcW w:w="662"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14.6%</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consolidation purposes, loans generated in Foreign Currency (FC) are converted into Local Currency (LC).</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Includes eliminations for intercompany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QoQ, </w:t>
      </w:r>
      <w:r>
        <w:rPr>
          <w:rFonts w:ascii="Times New Roman;Times;Serif" w:hAnsi="Times New Roman;Times;Serif"/>
          <w:b w:val="false"/>
          <w:i w:val="false"/>
          <w:caps w:val="false"/>
          <w:smallCaps w:val="false"/>
          <w:sz w:val="20"/>
        </w:rPr>
        <w:t xml:space="preserve">the evolution of loans with a neutral exchange rate was driven mainly by </w:t>
      </w:r>
      <w:r>
        <w:rPr>
          <w:rFonts w:ascii="Times New Roman;Times;Serif" w:hAnsi="Times New Roman;Times;Serif"/>
          <w:b/>
          <w:i w:val="false"/>
          <w:caps w:val="false"/>
          <w:smallCaps w:val="false"/>
          <w:sz w:val="20"/>
        </w:rPr>
        <w:t xml:space="preserve">BCP Stand-alone (+5.5%), </w:t>
      </w:r>
      <w:r>
        <w:rPr>
          <w:rFonts w:ascii="Times New Roman;Times;Serif" w:hAnsi="Times New Roman;Times;Serif"/>
          <w:b w:val="false"/>
          <w:i w:val="false"/>
          <w:caps w:val="false"/>
          <w:smallCaps w:val="false"/>
          <w:sz w:val="20"/>
        </w:rPr>
        <w:t xml:space="preserve">and to a lesser extent by </w:t>
      </w:r>
      <w:r>
        <w:rPr>
          <w:rFonts w:ascii="Times New Roman;Times;Serif" w:hAnsi="Times New Roman;Times;Serif"/>
          <w:b/>
          <w:i w:val="false"/>
          <w:caps w:val="false"/>
          <w:smallCaps w:val="false"/>
          <w:sz w:val="20"/>
        </w:rPr>
        <w:t xml:space="preserve">Mibanco (+4.4%) and Mibanco Colombia (+15.4%). </w:t>
      </w:r>
      <w:r>
        <w:rPr>
          <w:rFonts w:ascii="Times New Roman;Times;Serif" w:hAnsi="Times New Roman;Times;Serif"/>
          <w:b w:val="false"/>
          <w:i w:val="false"/>
          <w:caps w:val="false"/>
          <w:smallCaps w:val="false"/>
          <w:sz w:val="20"/>
        </w:rPr>
        <w:t xml:space="preserve">At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xml:space="preserve">, loan expansion was fueled by greater focus on higher-ticket loans, while maintaining the pace of growth in smaller tickets. At </w:t>
      </w:r>
      <w:r>
        <w:rPr>
          <w:rFonts w:ascii="Times New Roman;Times;Serif" w:hAnsi="Times New Roman;Times;Serif"/>
          <w:b/>
          <w:i w:val="false"/>
          <w:caps w:val="false"/>
          <w:smallCaps w:val="false"/>
          <w:sz w:val="20"/>
        </w:rPr>
        <w:t>Mibanco Colombia</w:t>
      </w:r>
      <w:r>
        <w:rPr>
          <w:rFonts w:ascii="Times New Roman;Times;Serif" w:hAnsi="Times New Roman;Times;Serif"/>
          <w:b w:val="false"/>
          <w:i w:val="false"/>
          <w:caps w:val="false"/>
          <w:smallCaps w:val="false"/>
          <w:sz w:val="20"/>
        </w:rPr>
        <w:t>, loans ticked up due to growth in sales productivity in a context that is more favorable for microfinance.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the evolution of loans with a neutral exchange rate was fueled primarily by </w:t>
      </w:r>
      <w:r>
        <w:rPr>
          <w:rFonts w:ascii="Times New Roman;Times;Serif" w:hAnsi="Times New Roman;Times;Serif"/>
          <w:b/>
          <w:i w:val="false"/>
          <w:caps w:val="false"/>
          <w:smallCaps w:val="false"/>
          <w:sz w:val="20"/>
        </w:rPr>
        <w:t>BCP Stand-alone (+12.3%)</w:t>
      </w:r>
      <w:r>
        <w:rPr>
          <w:rFonts w:ascii="Times New Roman;Times;Serif" w:hAnsi="Times New Roman;Times;Serif"/>
          <w:b w:val="false"/>
          <w:i w:val="false"/>
          <w:caps w:val="false"/>
          <w:smallCaps w:val="false"/>
          <w:sz w:val="20"/>
        </w:rPr>
        <w:t xml:space="preserve">, followed by </w:t>
      </w:r>
      <w:r>
        <w:rPr>
          <w:rFonts w:ascii="Times New Roman;Times;Serif" w:hAnsi="Times New Roman;Times;Serif"/>
          <w:b/>
          <w:i w:val="false"/>
          <w:caps w:val="false"/>
          <w:smallCaps w:val="false"/>
          <w:sz w:val="20"/>
        </w:rPr>
        <w:t>BCP Bolivia (+63.2%)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Mibanco (+15.0%) and Mibanco Colombia (+55.1%)</w:t>
      </w:r>
      <w:r>
        <w:rPr>
          <w:rFonts w:ascii="Times New Roman;Times;Serif" w:hAnsi="Times New Roman;Times;Serif"/>
          <w:b w:val="false"/>
          <w:i w:val="false"/>
          <w:caps w:val="false"/>
          <w:smallCaps w:val="false"/>
          <w:sz w:val="20"/>
        </w:rPr>
        <w:t xml:space="preserve">. At BCP Bolivia, the result reflects the base effect related to the exchange rate used to revalue the balance sheet, as explained previously. At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xml:space="preserve">, loans rose on the back of an uptick in disbursements. This reflects an increase in our risk appetite in a more dynamic environment for microfinance. At </w:t>
      </w:r>
      <w:r>
        <w:rPr>
          <w:rFonts w:ascii="Times New Roman;Times;Serif" w:hAnsi="Times New Roman;Times;Serif"/>
          <w:b/>
          <w:i w:val="false"/>
          <w:caps w:val="false"/>
          <w:smallCaps w:val="false"/>
          <w:sz w:val="20"/>
        </w:rPr>
        <w:t xml:space="preserve">Mibanco Colombia, </w:t>
      </w:r>
      <w:r>
        <w:rPr>
          <w:rFonts w:ascii="Times New Roman;Times;Serif" w:hAnsi="Times New Roman;Times;Serif"/>
          <w:b w:val="false"/>
          <w:i w:val="false"/>
          <w:caps w:val="false"/>
          <w:smallCaps w:val="false"/>
          <w:sz w:val="20"/>
        </w:rPr>
        <w:t>growth was spurred by the same factors outlined in the QoQ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28650"/>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7"/>
                    <a:stretch>
                      <a:fillRect/>
                    </a:stretch>
                  </pic:blipFill>
                  <pic:spPr bwMode="auto">
                    <a:xfrm>
                      <a:off x="0" y="0"/>
                      <a:ext cx="7620000" cy="62865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560" w:type="dxa"/>
        <w:jc w:val="left"/>
        <w:tblInd w:w="0" w:type="dxa"/>
        <w:tblLayout w:type="fixed"/>
        <w:tblCellMar>
          <w:top w:w="0" w:type="dxa"/>
          <w:left w:w="0" w:type="dxa"/>
          <w:bottom w:w="0" w:type="dxa"/>
          <w:right w:w="0" w:type="dxa"/>
        </w:tblCellMar>
      </w:tblPr>
      <w:tblGrid>
        <w:gridCol w:w="1995"/>
        <w:gridCol w:w="65"/>
        <w:gridCol w:w="2270"/>
        <w:gridCol w:w="323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58"/>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3230" w:type="dxa"/>
            <w:tcBorders/>
            <w:shd w:fill="000000" w:val="clear"/>
            <w:vAlign w:val="center"/>
          </w:tcPr>
          <w:p>
            <w:pPr>
              <w:pStyle w:val="TableContents"/>
              <w:bidi w:val="0"/>
              <w:spacing w:before="0" w:after="283"/>
              <w:jc w:val="right"/>
              <w:rPr>
                <w:rFonts w:ascii="Times New Roman;Times;Serif" w:hAnsi="Times New Roman;Times;Serif"/>
                <w:color w:val="FF00FF"/>
                <w:sz w:val="20"/>
              </w:rPr>
            </w:pPr>
            <w:r>
              <w:rPr>
                <w:rFonts w:ascii="Times New Roman;Times;Serif" w:hAnsi="Times New Roman;Times;Serif"/>
                <w:color w:val="FF00FF"/>
                <w:sz w:val="20"/>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433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01. Loan Portfolio</w:t>
            </w:r>
          </w:p>
        </w:tc>
        <w:tc>
          <w:tcPr>
            <w:tcW w:w="3230" w:type="dxa"/>
            <w:tcBorders/>
            <w:shd w:fill="E93BAB"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Next, we will analyze loan dynamics by segment at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w:t>
      </w:r>
    </w:p>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QoQ: Total Loans by Segment at BCP Stand-alone (Quarter-end balances)</w:t>
      </w:r>
    </w:p>
    <w:p>
      <w:pPr>
        <w:pStyle w:val="TextBody"/>
        <w:bidi w:val="0"/>
        <w:spacing w:before="0" w:after="0"/>
        <w:jc w:val="center"/>
        <w:rPr>
          <w:caps w:val="false"/>
          <w:smallCaps w:val="false"/>
        </w:rPr>
      </w:pPr>
      <w:r>
        <w:rPr>
          <w:caps w:val="false"/>
          <w:smallCaps w:val="false"/>
        </w:rPr>
        <w:t> </w:t>
      </w:r>
    </w:p>
    <w:tbl>
      <w:tblPr>
        <w:tblW w:w="7990" w:type="dxa"/>
        <w:jc w:val="left"/>
        <w:tblInd w:w="-10" w:type="dxa"/>
        <w:tblLayout w:type="fixed"/>
        <w:tblCellMar>
          <w:top w:w="28" w:type="dxa"/>
          <w:left w:w="108" w:type="dxa"/>
          <w:bottom w:w="28" w:type="dxa"/>
          <w:right w:w="108" w:type="dxa"/>
        </w:tblCellMar>
      </w:tblPr>
      <w:tblGrid>
        <w:gridCol w:w="1415"/>
        <w:gridCol w:w="605"/>
        <w:gridCol w:w="605"/>
        <w:gridCol w:w="575"/>
        <w:gridCol w:w="470"/>
        <w:gridCol w:w="1270"/>
        <w:gridCol w:w="1270"/>
        <w:gridCol w:w="828"/>
        <w:gridCol w:w="676"/>
        <w:gridCol w:w="276"/>
      </w:tblGrid>
      <w:tr>
        <w:trPr/>
        <w:tc>
          <w:tcPr>
            <w:tcW w:w="1415"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left"/>
              <w:rPr/>
            </w:pPr>
            <w:r>
              <w:rPr>
                <w:rFonts w:ascii="Times New Roman;Times;Serif" w:hAnsi="Times New Roman;Times;Serif"/>
                <w:b/>
                <w:color w:val="FFFFFF"/>
                <w:sz w:val="16"/>
              </w:rPr>
              <w:t>Total Loans</w:t>
            </w:r>
            <w:r>
              <w:rPr>
                <w:rFonts w:ascii="Times New Roman;Times;Serif" w:hAnsi="Times New Roman;Times;Serif"/>
                <w:sz w:val="16"/>
              </w:rPr>
              <w:br/>
            </w:r>
            <w:r>
              <w:rPr>
                <w:rFonts w:ascii="Times New Roman;Times;Serif" w:hAnsi="Times New Roman;Times;Serif"/>
                <w:color w:val="FFFFFF"/>
                <w:sz w:val="16"/>
              </w:rPr>
              <w:t>(S/ Millions)</w:t>
            </w:r>
          </w:p>
        </w:tc>
        <w:tc>
          <w:tcPr>
            <w:tcW w:w="1210" w:type="dxa"/>
            <w:gridSpan w:val="2"/>
            <w:vMerge w:val="restart"/>
            <w:tcBorders>
              <w:top w:val="single" w:sz="8" w:space="0" w:color="000000"/>
            </w:tcBorders>
            <w:shd w:fill="2AD2C9" w:val="clear"/>
            <w:tcMar>
              <w:left w:w="0" w:type="dxa"/>
              <w:bottom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045" w:type="dxa"/>
            <w:gridSpan w:val="2"/>
            <w:vMerge w:val="restart"/>
            <w:tcBorders>
              <w:top w:val="single" w:sz="8" w:space="0" w:color="000000"/>
              <w:left w:val="single" w:sz="8" w:space="0" w:color="000000"/>
              <w:right w:val="single" w:sz="8" w:space="0" w:color="000000"/>
            </w:tcBorders>
            <w:shd w:fill="2AD2C9" w:val="clear"/>
            <w:tcMar>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 Change</w:t>
            </w:r>
          </w:p>
        </w:tc>
        <w:tc>
          <w:tcPr>
            <w:tcW w:w="2540" w:type="dxa"/>
            <w:gridSpan w:val="2"/>
            <w:vMerge w:val="restart"/>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Balance in USD/PEN Neutral As of</w:t>
            </w:r>
          </w:p>
        </w:tc>
        <w:tc>
          <w:tcPr>
            <w:tcW w:w="1504" w:type="dxa"/>
            <w:gridSpan w:val="2"/>
            <w:vMerge w:val="restart"/>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pPr>
            <w:r>
              <w:rPr>
                <w:rFonts w:ascii="Times New Roman;Times;Serif" w:hAnsi="Times New Roman;Times;Serif"/>
                <w:b/>
                <w:color w:val="FFFFFF"/>
                <w:sz w:val="16"/>
              </w:rPr>
              <w:t xml:space="preserve">QoQ Change </w:t>
            </w:r>
            <w:r>
              <w:rPr>
                <w:rFonts w:ascii="Times New Roman;Times;Serif" w:hAnsi="Times New Roman;Times;Serif"/>
                <w:sz w:val="16"/>
              </w:rPr>
              <w:br/>
            </w:r>
            <w:r>
              <w:rPr>
                <w:rFonts w:ascii="Times New Roman;Times;Serif" w:hAnsi="Times New Roman;Times;Serif"/>
                <w:b/>
                <w:color w:val="FFFFFF"/>
                <w:sz w:val="16"/>
              </w:rPr>
              <w:t>in USD/PEN Neutral</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1210" w:type="dxa"/>
            <w:gridSpan w:val="2"/>
            <w:vMerge w:val="continue"/>
            <w:tcBorders>
              <w:top w:val="single" w:sz="8" w:space="0" w:color="000000"/>
            </w:tcBorders>
            <w:shd w:fill="2AD2C9" w:val="clear"/>
            <w:tcMar>
              <w:left w:w="0" w:type="dxa"/>
              <w:bottom w:w="0" w:type="dxa"/>
              <w:right w:w="0" w:type="dxa"/>
            </w:tcMar>
            <w:vAlign w:val="center"/>
          </w:tcPr>
          <w:p>
            <w:pPr>
              <w:pStyle w:val="Normal"/>
              <w:bidi w:val="0"/>
              <w:jc w:val="left"/>
              <w:rPr/>
            </w:pPr>
            <w:r>
              <w:rPr/>
            </w:r>
          </w:p>
        </w:tc>
        <w:tc>
          <w:tcPr>
            <w:tcW w:w="1045"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2540"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1504"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60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60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75" w:type="dxa"/>
            <w:tcBorders>
              <w:left w:val="single" w:sz="8" w:space="0" w:color="000000"/>
              <w:bottom w:val="single" w:sz="8" w:space="0" w:color="000000"/>
            </w:tcBorders>
            <w:shd w:fill="2AD2C9" w:val="clear"/>
            <w:tcMar>
              <w:top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Volume</w:t>
            </w:r>
          </w:p>
        </w:tc>
        <w:tc>
          <w:tcPr>
            <w:tcW w:w="47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127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127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828" w:type="dxa"/>
            <w:tcBorders>
              <w:left w:val="single" w:sz="8" w:space="0" w:color="000000"/>
              <w:bottom w:val="single" w:sz="8" w:space="0" w:color="000000"/>
            </w:tcBorders>
            <w:shd w:fill="2AD2C9" w:val="clear"/>
            <w:tcMar>
              <w:top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Volume</w:t>
            </w:r>
          </w:p>
        </w:tc>
        <w:tc>
          <w:tcPr>
            <w:tcW w:w="676"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BCP Stand-alone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128,142</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134,207</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6,064</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128,142</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135,252</w:t>
            </w:r>
          </w:p>
        </w:tc>
        <w:tc>
          <w:tcPr>
            <w:tcW w:w="828"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7,110</w:t>
            </w:r>
          </w:p>
        </w:tc>
        <w:tc>
          <w:tcPr>
            <w:tcW w:w="67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w:t>
            </w:r>
          </w:p>
        </w:tc>
        <w:tc>
          <w:tcPr>
            <w:tcW w:w="276" w:type="dxa"/>
            <w:tcBorders/>
            <w:tcMar>
              <w:top w:w="0" w:type="dxa"/>
              <w:left w:w="0" w:type="dxa"/>
              <w:bottom w:w="0" w:type="dxa"/>
              <w:right w:w="0" w:type="dxa"/>
            </w:tcMar>
            <w:vAlign w:val="center"/>
          </w:tcPr>
          <w:p>
            <w:pPr>
              <w:pStyle w:val="TableContents"/>
              <w:bidi w:val="0"/>
              <w:spacing w:before="0" w:after="283"/>
              <w:ind w:left="0" w:right="0" w:firstLine="201"/>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Wholesale Banking</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56,335</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58,148</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1,813</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3.2%</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56,335</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58,955</w:t>
            </w:r>
          </w:p>
        </w:tc>
        <w:tc>
          <w:tcPr>
            <w:tcW w:w="828"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2,620</w:t>
            </w:r>
          </w:p>
        </w:tc>
        <w:tc>
          <w:tcPr>
            <w:tcW w:w="67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w:t>
            </w:r>
          </w:p>
        </w:tc>
        <w:tc>
          <w:tcPr>
            <w:tcW w:w="276" w:type="dxa"/>
            <w:tcBorders/>
            <w:tcMar>
              <w:top w:w="0" w:type="dxa"/>
              <w:left w:w="0" w:type="dxa"/>
              <w:bottom w:w="0" w:type="dxa"/>
              <w:right w:w="0" w:type="dxa"/>
            </w:tcMar>
            <w:vAlign w:val="center"/>
          </w:tcPr>
          <w:p>
            <w:pPr>
              <w:pStyle w:val="TableContents"/>
              <w:bidi w:val="0"/>
              <w:spacing w:before="0" w:after="283"/>
              <w:ind w:left="0" w:right="0" w:firstLine="201"/>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Corporate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33,209</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33,545</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335</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33,209</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34,018</w:t>
            </w:r>
          </w:p>
        </w:tc>
        <w:tc>
          <w:tcPr>
            <w:tcW w:w="828"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809</w:t>
            </w:r>
          </w:p>
        </w:tc>
        <w:tc>
          <w:tcPr>
            <w:tcW w:w="676"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r>
              <w:rPr>
                <w:rFonts w:ascii="Times New Roman;Times;Serif" w:hAnsi="Times New Roman;Times;Serif"/>
                <w:sz w:val="16"/>
              </w:rPr>
              <w:t>Middle - Market</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23,125</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24,603</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1,478</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23,125</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24,936</w:t>
            </w:r>
          </w:p>
        </w:tc>
        <w:tc>
          <w:tcPr>
            <w:tcW w:w="828"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1,811</w:t>
            </w:r>
          </w:p>
        </w:tc>
        <w:tc>
          <w:tcPr>
            <w:tcW w:w="676"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w:t>
            </w:r>
          </w:p>
        </w:tc>
        <w:tc>
          <w:tcPr>
            <w:tcW w:w="276" w:type="dxa"/>
            <w:tcBorders/>
            <w:tcMar>
              <w:top w:w="0" w:type="dxa"/>
              <w:left w:w="0" w:type="dxa"/>
              <w:bottom w:w="0" w:type="dxa"/>
              <w:right w:w="0" w:type="dxa"/>
            </w:tcMar>
            <w:vAlign w:val="center"/>
          </w:tcPr>
          <w:p>
            <w:pPr>
              <w:pStyle w:val="TableContents"/>
              <w:bidi w:val="0"/>
              <w:spacing w:before="0" w:after="283"/>
              <w:ind w:left="0" w:right="0" w:firstLine="201"/>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Retail Banking</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69,808</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74,081</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4,273</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6.1%</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69,808</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74,287</w:t>
            </w:r>
          </w:p>
        </w:tc>
        <w:tc>
          <w:tcPr>
            <w:tcW w:w="828"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4,480</w:t>
            </w:r>
          </w:p>
        </w:tc>
        <w:tc>
          <w:tcPr>
            <w:tcW w:w="67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6.4%</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SME - Business</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7,100</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7,440</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340</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7,100</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7,520</w:t>
            </w:r>
          </w:p>
        </w:tc>
        <w:tc>
          <w:tcPr>
            <w:tcW w:w="828"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420</w:t>
            </w:r>
          </w:p>
        </w:tc>
        <w:tc>
          <w:tcPr>
            <w:tcW w:w="67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SME - Pyme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17,036</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18,244</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1,208</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17,036</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18,247</w:t>
            </w:r>
          </w:p>
        </w:tc>
        <w:tc>
          <w:tcPr>
            <w:tcW w:w="828"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1,211</w:t>
            </w:r>
          </w:p>
        </w:tc>
        <w:tc>
          <w:tcPr>
            <w:tcW w:w="676"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Mortgage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24,396</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24,998</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602</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24,396</w:t>
            </w:r>
          </w:p>
        </w:tc>
        <w:tc>
          <w:tcPr>
            <w:tcW w:w="12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25,036</w:t>
            </w:r>
          </w:p>
        </w:tc>
        <w:tc>
          <w:tcPr>
            <w:tcW w:w="828"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640</w:t>
            </w:r>
          </w:p>
        </w:tc>
        <w:tc>
          <w:tcPr>
            <w:tcW w:w="676"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Consumer</w:t>
            </w:r>
          </w:p>
        </w:tc>
        <w:tc>
          <w:tcPr>
            <w:tcW w:w="60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14,879</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16,543</w:t>
            </w:r>
          </w:p>
        </w:tc>
        <w:tc>
          <w:tcPr>
            <w:tcW w:w="57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1,663</w:t>
            </w:r>
          </w:p>
        </w:tc>
        <w:tc>
          <w:tcPr>
            <w:tcW w:w="47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14,879</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16,601</w:t>
            </w:r>
          </w:p>
        </w:tc>
        <w:tc>
          <w:tcPr>
            <w:tcW w:w="828"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1,722</w:t>
            </w:r>
          </w:p>
        </w:tc>
        <w:tc>
          <w:tcPr>
            <w:tcW w:w="676"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Credit Card</w:t>
            </w:r>
          </w:p>
        </w:tc>
        <w:tc>
          <w:tcPr>
            <w:tcW w:w="60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6,396</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6,857</w:t>
            </w:r>
          </w:p>
        </w:tc>
        <w:tc>
          <w:tcPr>
            <w:tcW w:w="57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461</w:t>
            </w:r>
          </w:p>
        </w:tc>
        <w:tc>
          <w:tcPr>
            <w:tcW w:w="47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6,396</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6,884</w:t>
            </w:r>
          </w:p>
        </w:tc>
        <w:tc>
          <w:tcPr>
            <w:tcW w:w="828"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487</w:t>
            </w:r>
          </w:p>
        </w:tc>
        <w:tc>
          <w:tcPr>
            <w:tcW w:w="67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w:t>
            </w:r>
          </w:p>
        </w:tc>
        <w:tc>
          <w:tcPr>
            <w:tcW w:w="276" w:type="dxa"/>
            <w:tcBorders/>
            <w:tcMar>
              <w:top w:w="0" w:type="dxa"/>
              <w:left w:w="0" w:type="dxa"/>
              <w:bottom w:w="0" w:type="dxa"/>
              <w:right w:w="0" w:type="dxa"/>
            </w:tcMar>
            <w:vAlign w:val="center"/>
          </w:tcPr>
          <w:p>
            <w:pPr>
              <w:pStyle w:val="TableContents"/>
              <w:bidi w:val="0"/>
              <w:spacing w:before="0" w:after="283"/>
              <w:ind w:left="0" w:right="0" w:firstLine="201"/>
              <w:jc w:val="left"/>
              <w:rPr/>
            </w:pPr>
            <w:r>
              <w:rPr/>
              <w:t> </w:t>
            </w:r>
          </w:p>
        </w:tc>
      </w:tr>
      <w:tr>
        <w:trPr/>
        <w:tc>
          <w:tcPr>
            <w:tcW w:w="1415"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Others (1)</w:t>
            </w:r>
          </w:p>
        </w:tc>
        <w:tc>
          <w:tcPr>
            <w:tcW w:w="605"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2,000</w:t>
            </w:r>
          </w:p>
        </w:tc>
        <w:tc>
          <w:tcPr>
            <w:tcW w:w="60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1,978</w:t>
            </w:r>
          </w:p>
        </w:tc>
        <w:tc>
          <w:tcPr>
            <w:tcW w:w="575"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w:t>
            </w:r>
          </w:p>
        </w:tc>
        <w:tc>
          <w:tcPr>
            <w:tcW w:w="4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w:t>
            </w:r>
          </w:p>
        </w:tc>
        <w:tc>
          <w:tcPr>
            <w:tcW w:w="127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2,000</w:t>
            </w:r>
          </w:p>
        </w:tc>
        <w:tc>
          <w:tcPr>
            <w:tcW w:w="127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2,010</w:t>
            </w:r>
          </w:p>
        </w:tc>
        <w:tc>
          <w:tcPr>
            <w:tcW w:w="828"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w:t>
            </w:r>
          </w:p>
        </w:tc>
        <w:tc>
          <w:tcPr>
            <w:tcW w:w="67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0.5%</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consolidation purposes, loans generated in Foreign Currency (FC) are converted into Local Currency (LC).</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Includes other assets and accruals.</w:t>
      </w:r>
    </w:p>
    <w:tbl>
      <w:tblPr>
        <w:tblW w:w="2121" w:type="dxa"/>
        <w:jc w:val="left"/>
        <w:tblInd w:w="0" w:type="dxa"/>
        <w:tblLayout w:type="fixed"/>
        <w:tblCellMar>
          <w:top w:w="0" w:type="dxa"/>
          <w:left w:w="0" w:type="dxa"/>
          <w:bottom w:w="0" w:type="dxa"/>
          <w:right w:w="0" w:type="dxa"/>
        </w:tblCellMar>
      </w:tblPr>
      <w:tblGrid>
        <w:gridCol w:w="38"/>
        <w:gridCol w:w="23"/>
        <w:gridCol w:w="6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25D07B"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Larger expansion in volume</w:t>
            </w:r>
          </w:p>
        </w:tc>
      </w:tr>
    </w:tbl>
    <w:p>
      <w:pPr>
        <w:pStyle w:val="TextBody"/>
        <w:bidi w:val="0"/>
        <w:spacing w:before="0" w:after="0"/>
        <w:ind w:left="203"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total loans in quarter-end balances at </w:t>
      </w:r>
      <w:r>
        <w:rPr>
          <w:rFonts w:ascii="Times New Roman;Times;Serif" w:hAnsi="Times New Roman;Times;Serif"/>
          <w:b/>
          <w:i w:val="false"/>
          <w:caps w:val="false"/>
          <w:smallCaps w:val="false"/>
          <w:sz w:val="20"/>
        </w:rPr>
        <w:t xml:space="preserve">BCP Stand-alone </w:t>
      </w:r>
      <w:r>
        <w:rPr>
          <w:rFonts w:ascii="Times New Roman;Times;Serif" w:hAnsi="Times New Roman;Times;Serif"/>
          <w:b w:val="false"/>
          <w:i w:val="false"/>
          <w:caps w:val="false"/>
          <w:smallCaps w:val="false"/>
          <w:sz w:val="20"/>
        </w:rPr>
        <w:t xml:space="preserve">increased 5.5% with a neutral exchange rate. This growth was driven mainly by </w:t>
      </w:r>
      <w:r>
        <w:rPr>
          <w:rFonts w:ascii="Times New Roman;Times;Serif" w:hAnsi="Times New Roman;Times;Serif"/>
          <w:b/>
          <w:i w:val="false"/>
          <w:caps w:val="false"/>
          <w:smallCaps w:val="false"/>
          <w:sz w:val="20"/>
        </w:rPr>
        <w:t xml:space="preserve">Retail Banking </w:t>
      </w:r>
      <w:r>
        <w:rPr>
          <w:rFonts w:ascii="Times New Roman;Times;Serif" w:hAnsi="Times New Roman;Times;Serif"/>
          <w:b w:val="false"/>
          <w:i w:val="false"/>
          <w:caps w:val="false"/>
          <w:smallCaps w:val="false"/>
          <w:sz w:val="20"/>
        </w:rPr>
        <w:t>(+6.4%)</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and secondarily by </w:t>
      </w:r>
      <w:r>
        <w:rPr>
          <w:rFonts w:ascii="Times New Roman;Times;Serif" w:hAnsi="Times New Roman;Times;Serif"/>
          <w:b/>
          <w:i w:val="false"/>
          <w:caps w:val="false"/>
          <w:smallCaps w:val="false"/>
          <w:sz w:val="20"/>
        </w:rPr>
        <w:t xml:space="preserve">Wholesale Banking </w:t>
      </w:r>
      <w:r>
        <w:rPr>
          <w:rFonts w:ascii="Times New Roman;Times;Serif" w:hAnsi="Times New Roman;Times;Serif"/>
          <w:b w:val="false"/>
          <w:i w:val="false"/>
          <w:caps w:val="false"/>
          <w:smallCaps w:val="false"/>
          <w:sz w:val="20"/>
        </w:rPr>
        <w:t>(4.7%)</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Retail Banking</w:t>
      </w:r>
      <w:r>
        <w:rPr>
          <w:rFonts w:ascii="Times New Roman;Times;Serif" w:hAnsi="Times New Roman;Times;Serif"/>
          <w:b w:val="false"/>
          <w:i w:val="false"/>
          <w:caps w:val="false"/>
          <w:smallCaps w:val="false"/>
          <w:sz w:val="20"/>
        </w:rPr>
        <w:t xml:space="preserve">, expansion was fueled by </w:t>
      </w:r>
      <w:r>
        <w:rPr>
          <w:rFonts w:ascii="Times New Roman;Times;Serif" w:hAnsi="Times New Roman;Times;Serif"/>
          <w:b/>
          <w:i w:val="false"/>
          <w:caps w:val="false"/>
          <w:smallCaps w:val="false"/>
          <w:sz w:val="20"/>
        </w:rPr>
        <w:t xml:space="preserve">Individuals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SME-Pyme</w:t>
      </w:r>
      <w:r>
        <w:rPr>
          <w:rFonts w:ascii="Times New Roman;Times;Serif" w:hAnsi="Times New Roman;Times;Serif"/>
          <w:b w:val="false"/>
          <w:i w:val="false"/>
          <w:caps w:val="false"/>
          <w:smallCaps w:val="false"/>
          <w:sz w:val="20"/>
        </w:rPr>
        <w:t>, where upticks were spurred by the following segments:</w:t>
      </w:r>
    </w:p>
    <w:p>
      <w:pPr>
        <w:pStyle w:val="TextBody"/>
        <w:bidi w:val="0"/>
        <w:spacing w:before="0" w:after="0"/>
        <w:ind w:left="175"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Consumer, </w:t>
            </w:r>
            <w:r>
              <w:rPr>
                <w:rFonts w:ascii="Times New Roman;Times;Serif" w:hAnsi="Times New Roman;Times;Serif"/>
                <w:sz w:val="20"/>
              </w:rPr>
              <w:t>where an increase in our risk appetite led us to implement pilots for sales to higher-yield segments.</w:t>
            </w:r>
          </w:p>
        </w:tc>
      </w:tr>
    </w:tbl>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SME-Pyme, </w:t>
            </w:r>
            <w:r>
              <w:rPr>
                <w:rFonts w:ascii="Times New Roman;Times;Serif" w:hAnsi="Times New Roman;Times;Serif"/>
                <w:sz w:val="20"/>
              </w:rPr>
              <w:t>where disbursements for working capital were up alongside expansion in the client base.</w:t>
            </w:r>
          </w:p>
        </w:tc>
      </w:tr>
    </w:tbl>
    <w:tbl>
      <w:tblPr>
        <w:tblW w:w="5000" w:type="pct"/>
        <w:jc w:val="left"/>
        <w:tblInd w:w="0" w:type="dxa"/>
        <w:tblLayout w:type="fixed"/>
        <w:tblCellMar>
          <w:top w:w="0" w:type="dxa"/>
          <w:left w:w="0" w:type="dxa"/>
          <w:bottom w:w="0" w:type="dxa"/>
          <w:right w:w="0" w:type="dxa"/>
        </w:tblCellMar>
      </w:tblPr>
      <w:tblGrid>
        <w:gridCol w:w="61"/>
        <w:gridCol w:w="276"/>
        <w:gridCol w:w="9868"/>
      </w:tblGrid>
      <w:tr>
        <w:trPr/>
        <w:tc>
          <w:tcPr>
            <w:tcW w:w="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w:t>
            </w:r>
          </w:p>
        </w:tc>
        <w:tc>
          <w:tcPr>
            <w:tcW w:w="98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Mortgage, </w:t>
            </w:r>
            <w:r>
              <w:rPr>
                <w:rFonts w:ascii="Times New Roman;Times;Serif" w:hAnsi="Times New Roman;Times;Serif"/>
                <w:sz w:val="20"/>
              </w:rPr>
              <w:t>where disbursements ticked up due to operating improvements.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 xml:space="preserve">Wholesale Banking, </w:t>
      </w:r>
      <w:r>
        <w:rPr>
          <w:rFonts w:ascii="Times New Roman;Times;Serif" w:hAnsi="Times New Roman;Times;Serif"/>
          <w:b w:val="false"/>
          <w:i w:val="false"/>
          <w:caps w:val="false"/>
          <w:smallCaps w:val="false"/>
          <w:sz w:val="20"/>
        </w:rPr>
        <w:t>loan growth was primarily through Middle Market Banking, which reported an increase in short-term disbursements for the fishing campaign (which was postponed earlier this year due to the adverse impact of the El Niño phenomenon). Corporate loans, which rose due to an increase in the balance for foreign trade transactions, also contributed to Wholesale Banking’s evolution, albeit to a lesser extent.</w:t>
      </w:r>
    </w:p>
    <w:p>
      <w:pPr>
        <w:pStyle w:val="TextBody"/>
        <w:bidi w:val="0"/>
        <w:spacing w:before="0" w:after="0"/>
        <w:ind w:left="175"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 Total Loans by Segment at BCP Stand-alone (in Quarter-end balances)</w:t>
      </w:r>
    </w:p>
    <w:p>
      <w:pPr>
        <w:pStyle w:val="TextBody"/>
        <w:bidi w:val="0"/>
        <w:spacing w:before="0" w:after="0"/>
        <w:jc w:val="center"/>
        <w:rPr>
          <w:caps w:val="false"/>
          <w:smallCaps w:val="false"/>
        </w:rPr>
      </w:pPr>
      <w:r>
        <w:rPr>
          <w:caps w:val="false"/>
          <w:smallCaps w:val="false"/>
        </w:rPr>
        <w:t> </w:t>
      </w:r>
    </w:p>
    <w:tbl>
      <w:tblPr>
        <w:tblW w:w="7001" w:type="dxa"/>
        <w:jc w:val="left"/>
        <w:tblInd w:w="-10" w:type="dxa"/>
        <w:tblLayout w:type="fixed"/>
        <w:tblCellMar>
          <w:top w:w="28" w:type="dxa"/>
          <w:left w:w="108" w:type="dxa"/>
          <w:bottom w:w="28" w:type="dxa"/>
          <w:right w:w="108" w:type="dxa"/>
        </w:tblCellMar>
      </w:tblPr>
      <w:tblGrid>
        <w:gridCol w:w="1415"/>
        <w:gridCol w:w="605"/>
        <w:gridCol w:w="605"/>
        <w:gridCol w:w="575"/>
        <w:gridCol w:w="500"/>
        <w:gridCol w:w="760"/>
        <w:gridCol w:w="760"/>
        <w:gridCol w:w="805"/>
        <w:gridCol w:w="700"/>
        <w:gridCol w:w="276"/>
      </w:tblGrid>
      <w:tr>
        <w:trPr/>
        <w:tc>
          <w:tcPr>
            <w:tcW w:w="1415"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left"/>
              <w:rPr/>
            </w:pPr>
            <w:r>
              <w:rPr>
                <w:rFonts w:ascii="Times New Roman;Times;Serif" w:hAnsi="Times New Roman;Times;Serif"/>
                <w:b/>
                <w:color w:val="FFFFFF"/>
                <w:sz w:val="16"/>
              </w:rPr>
              <w:t>Total Loans</w:t>
            </w:r>
            <w:r>
              <w:rPr>
                <w:rFonts w:ascii="Times New Roman;Times;Serif" w:hAnsi="Times New Roman;Times;Serif"/>
                <w:sz w:val="16"/>
              </w:rPr>
              <w:br/>
            </w:r>
            <w:r>
              <w:rPr>
                <w:rFonts w:ascii="Times New Roman;Times;Serif" w:hAnsi="Times New Roman;Times;Serif"/>
                <w:color w:val="FFFFFF"/>
                <w:sz w:val="16"/>
              </w:rPr>
              <w:t>(S/ Millions)</w:t>
            </w:r>
          </w:p>
        </w:tc>
        <w:tc>
          <w:tcPr>
            <w:tcW w:w="1210" w:type="dxa"/>
            <w:gridSpan w:val="2"/>
            <w:vMerge w:val="restart"/>
            <w:tcBorders>
              <w:top w:val="single" w:sz="8" w:space="0" w:color="000000"/>
            </w:tcBorders>
            <w:shd w:fill="2AD2C9" w:val="clear"/>
            <w:tcMar>
              <w:left w:w="0" w:type="dxa"/>
              <w:bottom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075" w:type="dxa"/>
            <w:gridSpan w:val="2"/>
            <w:vMerge w:val="restart"/>
            <w:tcBorders>
              <w:top w:val="single" w:sz="8" w:space="0" w:color="000000"/>
              <w:left w:val="single" w:sz="8" w:space="0" w:color="000000"/>
              <w:right w:val="single" w:sz="8" w:space="0" w:color="000000"/>
            </w:tcBorders>
            <w:shd w:fill="2AD2C9" w:val="clear"/>
            <w:tcMar>
              <w:bottom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 Change</w:t>
            </w:r>
          </w:p>
        </w:tc>
        <w:tc>
          <w:tcPr>
            <w:tcW w:w="1520" w:type="dxa"/>
            <w:gridSpan w:val="2"/>
            <w:vMerge w:val="restart"/>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pPr>
            <w:r>
              <w:rPr>
                <w:rFonts w:ascii="Times New Roman;Times;Serif" w:hAnsi="Times New Roman;Times;Serif"/>
                <w:b/>
                <w:color w:val="FFFFFF"/>
                <w:sz w:val="16"/>
              </w:rPr>
              <w:t>Balance in USD/PEN</w:t>
            </w:r>
            <w:r>
              <w:rPr>
                <w:rFonts w:ascii="Times New Roman;Times;Serif" w:hAnsi="Times New Roman;Times;Serif"/>
                <w:sz w:val="16"/>
              </w:rPr>
              <w:br/>
            </w:r>
            <w:r>
              <w:rPr>
                <w:rFonts w:ascii="Times New Roman;Times;Serif" w:hAnsi="Times New Roman;Times;Serif"/>
                <w:b/>
                <w:color w:val="FFFFFF"/>
                <w:sz w:val="16"/>
              </w:rPr>
              <w:t>Neutral As of</w:t>
            </w:r>
          </w:p>
        </w:tc>
        <w:tc>
          <w:tcPr>
            <w:tcW w:w="1505" w:type="dxa"/>
            <w:gridSpan w:val="2"/>
            <w:vMerge w:val="restart"/>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pPr>
            <w:r>
              <w:rPr>
                <w:rFonts w:ascii="Times New Roman;Times;Serif" w:hAnsi="Times New Roman;Times;Serif"/>
                <w:b/>
                <w:color w:val="FFFFFF"/>
                <w:sz w:val="16"/>
              </w:rPr>
              <w:t xml:space="preserve">YoY Change </w:t>
            </w:r>
            <w:r>
              <w:rPr>
                <w:rFonts w:ascii="Times New Roman;Times;Serif" w:hAnsi="Times New Roman;Times;Serif"/>
                <w:sz w:val="16"/>
              </w:rPr>
              <w:br/>
            </w:r>
            <w:r>
              <w:rPr>
                <w:rFonts w:ascii="Times New Roman;Times;Serif" w:hAnsi="Times New Roman;Times;Serif"/>
                <w:b/>
                <w:color w:val="FFFFFF"/>
                <w:sz w:val="16"/>
              </w:rPr>
              <w:t>in USD/PEN Neutral</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1210" w:type="dxa"/>
            <w:gridSpan w:val="2"/>
            <w:vMerge w:val="continue"/>
            <w:tcBorders>
              <w:top w:val="single" w:sz="8" w:space="0" w:color="000000"/>
            </w:tcBorders>
            <w:shd w:fill="2AD2C9" w:val="clear"/>
            <w:tcMar>
              <w:left w:w="0" w:type="dxa"/>
              <w:bottom w:w="0" w:type="dxa"/>
              <w:right w:w="0" w:type="dxa"/>
            </w:tcMar>
            <w:vAlign w:val="center"/>
          </w:tcPr>
          <w:p>
            <w:pPr>
              <w:pStyle w:val="Normal"/>
              <w:bidi w:val="0"/>
              <w:jc w:val="left"/>
              <w:rPr/>
            </w:pPr>
            <w:r>
              <w:rPr/>
            </w:r>
          </w:p>
        </w:tc>
        <w:tc>
          <w:tcPr>
            <w:tcW w:w="1075"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1520"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1505" w:type="dxa"/>
            <w:gridSpan w:val="2"/>
            <w:vMerge w:val="continue"/>
            <w:tcBorders>
              <w:top w:val="single" w:sz="8" w:space="0" w:color="000000"/>
              <w:right w:val="single" w:sz="8" w:space="0" w:color="000000"/>
            </w:tcBorders>
            <w:shd w:fill="2AD2C9" w:val="clear"/>
            <w:tcMar>
              <w:left w:w="0" w:type="dxa"/>
              <w:bottom w:w="0" w:type="dxa"/>
            </w:tcMar>
            <w:vAlign w:val="center"/>
          </w:tcPr>
          <w:p>
            <w:pPr>
              <w:pStyle w:val="Normal"/>
              <w:bidi w:val="0"/>
              <w:jc w:val="left"/>
              <w:rPr/>
            </w:pPr>
            <w:r>
              <w:rPr/>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60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60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75" w:type="dxa"/>
            <w:tcBorders>
              <w:left w:val="single" w:sz="8" w:space="0" w:color="000000"/>
              <w:bottom w:val="single" w:sz="8" w:space="0" w:color="000000"/>
            </w:tcBorders>
            <w:shd w:fill="2AD2C9" w:val="clear"/>
            <w:tcMar>
              <w:top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Volume</w:t>
            </w:r>
          </w:p>
        </w:tc>
        <w:tc>
          <w:tcPr>
            <w:tcW w:w="50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76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76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805" w:type="dxa"/>
            <w:tcBorders>
              <w:left w:val="single" w:sz="8" w:space="0" w:color="000000"/>
              <w:bottom w:val="single" w:sz="8" w:space="0" w:color="000000"/>
            </w:tcBorders>
            <w:shd w:fill="2AD2C9" w:val="clear"/>
            <w:tcMar>
              <w:top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Volume</w:t>
            </w:r>
          </w:p>
        </w:tc>
        <w:tc>
          <w:tcPr>
            <w:tcW w:w="70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BCP Stand-alone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120,999</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134,207</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13,208</w:t>
            </w:r>
          </w:p>
        </w:tc>
        <w:tc>
          <w:tcPr>
            <w:tcW w:w="5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10.9%</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120,999</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135,910</w:t>
            </w:r>
          </w:p>
        </w:tc>
        <w:tc>
          <w:tcPr>
            <w:tcW w:w="8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14,911</w:t>
            </w:r>
          </w:p>
        </w:tc>
        <w:tc>
          <w:tcPr>
            <w:tcW w:w="7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12.3%</w:t>
            </w:r>
          </w:p>
        </w:tc>
        <w:tc>
          <w:tcPr>
            <w:tcW w:w="276" w:type="dxa"/>
            <w:tcBorders/>
            <w:tcMar>
              <w:top w:w="0" w:type="dxa"/>
              <w:left w:w="0" w:type="dxa"/>
              <w:bottom w:w="0" w:type="dxa"/>
              <w:right w:w="0" w:type="dxa"/>
            </w:tcMar>
            <w:vAlign w:val="center"/>
          </w:tcPr>
          <w:p>
            <w:pPr>
              <w:pStyle w:val="TableContents"/>
              <w:bidi w:val="0"/>
              <w:spacing w:before="0" w:after="283"/>
              <w:ind w:left="0" w:right="0" w:firstLine="201"/>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Wholesale Banking</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53,025</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58,148</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5,123</w:t>
            </w:r>
          </w:p>
        </w:tc>
        <w:tc>
          <w:tcPr>
            <w:tcW w:w="5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9.7%</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53,025</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59,462</w:t>
            </w:r>
          </w:p>
        </w:tc>
        <w:tc>
          <w:tcPr>
            <w:tcW w:w="8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6,437</w:t>
            </w:r>
          </w:p>
        </w:tc>
        <w:tc>
          <w:tcPr>
            <w:tcW w:w="7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12.1%</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Corporate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30,496</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33,545</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3,049</w:t>
            </w:r>
          </w:p>
        </w:tc>
        <w:tc>
          <w:tcPr>
            <w:tcW w:w="5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30,496</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34,317</w:t>
            </w:r>
          </w:p>
        </w:tc>
        <w:tc>
          <w:tcPr>
            <w:tcW w:w="805"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3,821</w:t>
            </w:r>
          </w:p>
        </w:tc>
        <w:tc>
          <w:tcPr>
            <w:tcW w:w="700"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12.5%</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r>
              <w:rPr>
                <w:rFonts w:ascii="Times New Roman;Times;Serif" w:hAnsi="Times New Roman;Times;Serif"/>
                <w:sz w:val="16"/>
              </w:rPr>
              <w:t>Middle - Market</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22,529</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24,603</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2,074</w:t>
            </w:r>
          </w:p>
        </w:tc>
        <w:tc>
          <w:tcPr>
            <w:tcW w:w="5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22,529</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25,146</w:t>
            </w:r>
          </w:p>
        </w:tc>
        <w:tc>
          <w:tcPr>
            <w:tcW w:w="805"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2,616</w:t>
            </w:r>
          </w:p>
        </w:tc>
        <w:tc>
          <w:tcPr>
            <w:tcW w:w="700"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w:t>
            </w:r>
          </w:p>
        </w:tc>
        <w:tc>
          <w:tcPr>
            <w:tcW w:w="276" w:type="dxa"/>
            <w:tcBorders/>
            <w:tcMar>
              <w:top w:w="0" w:type="dxa"/>
              <w:left w:w="0" w:type="dxa"/>
              <w:bottom w:w="0" w:type="dxa"/>
              <w:right w:w="0" w:type="dxa"/>
            </w:tcMar>
            <w:vAlign w:val="center"/>
          </w:tcPr>
          <w:p>
            <w:pPr>
              <w:pStyle w:val="TableContents"/>
              <w:bidi w:val="0"/>
              <w:spacing w:before="0" w:after="283"/>
              <w:ind w:left="0" w:right="0" w:firstLine="201"/>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Retail Banking</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66,176</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74,081</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7,905</w:t>
            </w:r>
          </w:p>
        </w:tc>
        <w:tc>
          <w:tcPr>
            <w:tcW w:w="5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11.9%</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66,176</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74,417</w:t>
            </w:r>
          </w:p>
        </w:tc>
        <w:tc>
          <w:tcPr>
            <w:tcW w:w="8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8,241</w:t>
            </w:r>
          </w:p>
        </w:tc>
        <w:tc>
          <w:tcPr>
            <w:tcW w:w="7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12.5%</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SME - Business</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7,692</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7,440</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-252</w:t>
            </w:r>
          </w:p>
        </w:tc>
        <w:tc>
          <w:tcPr>
            <w:tcW w:w="5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7,692</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7,571</w:t>
            </w:r>
          </w:p>
        </w:tc>
        <w:tc>
          <w:tcPr>
            <w:tcW w:w="805" w:type="dxa"/>
            <w:tcBorders>
              <w:left w:val="single" w:sz="8" w:space="0" w:color="000000"/>
            </w:tcBorders>
            <w:shd w:fill="CC3399"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w:t>
            </w:r>
          </w:p>
        </w:tc>
        <w:tc>
          <w:tcPr>
            <w:tcW w:w="700" w:type="dxa"/>
            <w:tcBorders>
              <w:right w:val="single" w:sz="8" w:space="0" w:color="000000"/>
            </w:tcBorders>
            <w:shd w:fill="CC3399"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SME - Pyme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16,091</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18,244</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2,153</w:t>
            </w:r>
          </w:p>
        </w:tc>
        <w:tc>
          <w:tcPr>
            <w:tcW w:w="5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16,091</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18,249</w:t>
            </w:r>
          </w:p>
        </w:tc>
        <w:tc>
          <w:tcPr>
            <w:tcW w:w="805" w:type="dxa"/>
            <w:tcBorders>
              <w:left w:val="single" w:sz="8" w:space="0" w:color="000000"/>
            </w:tcBorders>
            <w:shd w:fill="00D274"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2,158</w:t>
            </w:r>
          </w:p>
        </w:tc>
        <w:tc>
          <w:tcPr>
            <w:tcW w:w="700" w:type="dxa"/>
            <w:tcBorders>
              <w:right w:val="single" w:sz="8" w:space="0" w:color="000000"/>
            </w:tcBorders>
            <w:shd w:fill="00D274"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Mortgage</w:t>
            </w:r>
          </w:p>
        </w:tc>
        <w:tc>
          <w:tcPr>
            <w:tcW w:w="60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22,824</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24,998</w:t>
            </w:r>
          </w:p>
        </w:tc>
        <w:tc>
          <w:tcPr>
            <w:tcW w:w="575" w:type="dxa"/>
            <w:tcBorders>
              <w:left w:val="single" w:sz="8" w:space="0" w:color="000000"/>
            </w:tcBorders>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2,174</w:t>
            </w:r>
          </w:p>
        </w:tc>
        <w:tc>
          <w:tcPr>
            <w:tcW w:w="50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22,824</w:t>
            </w:r>
          </w:p>
        </w:tc>
        <w:tc>
          <w:tcPr>
            <w:tcW w:w="7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25,060</w:t>
            </w:r>
          </w:p>
        </w:tc>
        <w:tc>
          <w:tcPr>
            <w:tcW w:w="805"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2,236</w:t>
            </w:r>
          </w:p>
        </w:tc>
        <w:tc>
          <w:tcPr>
            <w:tcW w:w="700"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9.8%</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Consumer</w:t>
            </w:r>
          </w:p>
        </w:tc>
        <w:tc>
          <w:tcPr>
            <w:tcW w:w="60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13,446</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16,543</w:t>
            </w:r>
          </w:p>
        </w:tc>
        <w:tc>
          <w:tcPr>
            <w:tcW w:w="57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3,097</w:t>
            </w:r>
          </w:p>
        </w:tc>
        <w:tc>
          <w:tcPr>
            <w:tcW w:w="50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23.0%</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13,446</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16,638</w:t>
            </w:r>
          </w:p>
        </w:tc>
        <w:tc>
          <w:tcPr>
            <w:tcW w:w="805" w:type="dxa"/>
            <w:tcBorders>
              <w:left w:val="single" w:sz="8" w:space="0" w:color="000000"/>
            </w:tcBorders>
            <w:shd w:fill="26D07C"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3,192</w:t>
            </w:r>
          </w:p>
        </w:tc>
        <w:tc>
          <w:tcPr>
            <w:tcW w:w="700" w:type="dxa"/>
            <w:tcBorders>
              <w:right w:val="single" w:sz="8" w:space="0" w:color="000000"/>
            </w:tcBorders>
            <w:shd w:fill="26D07C"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23.7%</w:t>
            </w:r>
          </w:p>
        </w:tc>
        <w:tc>
          <w:tcPr>
            <w:tcW w:w="27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1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Credit Card</w:t>
            </w:r>
          </w:p>
        </w:tc>
        <w:tc>
          <w:tcPr>
            <w:tcW w:w="60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6,124</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6,857</w:t>
            </w:r>
          </w:p>
        </w:tc>
        <w:tc>
          <w:tcPr>
            <w:tcW w:w="57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733</w:t>
            </w:r>
          </w:p>
        </w:tc>
        <w:tc>
          <w:tcPr>
            <w:tcW w:w="50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6,124</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6,900</w:t>
            </w:r>
          </w:p>
        </w:tc>
        <w:tc>
          <w:tcPr>
            <w:tcW w:w="805"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776</w:t>
            </w:r>
          </w:p>
        </w:tc>
        <w:tc>
          <w:tcPr>
            <w:tcW w:w="70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w:t>
            </w:r>
          </w:p>
        </w:tc>
        <w:tc>
          <w:tcPr>
            <w:tcW w:w="276" w:type="dxa"/>
            <w:tcBorders/>
            <w:tcMar>
              <w:top w:w="0" w:type="dxa"/>
              <w:left w:w="0" w:type="dxa"/>
              <w:bottom w:w="0" w:type="dxa"/>
              <w:right w:w="0" w:type="dxa"/>
            </w:tcMar>
            <w:vAlign w:val="center"/>
          </w:tcPr>
          <w:p>
            <w:pPr>
              <w:pStyle w:val="TableContents"/>
              <w:bidi w:val="0"/>
              <w:spacing w:before="0" w:after="283"/>
              <w:ind w:left="0" w:right="0" w:firstLine="201"/>
              <w:jc w:val="left"/>
              <w:rPr/>
            </w:pPr>
            <w:r>
              <w:rPr/>
              <w:t> </w:t>
            </w:r>
          </w:p>
        </w:tc>
      </w:tr>
      <w:tr>
        <w:trPr/>
        <w:tc>
          <w:tcPr>
            <w:tcW w:w="1415"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Others (1)</w:t>
            </w:r>
          </w:p>
        </w:tc>
        <w:tc>
          <w:tcPr>
            <w:tcW w:w="605"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1,797</w:t>
            </w:r>
          </w:p>
        </w:tc>
        <w:tc>
          <w:tcPr>
            <w:tcW w:w="60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1,978</w:t>
            </w:r>
          </w:p>
        </w:tc>
        <w:tc>
          <w:tcPr>
            <w:tcW w:w="575"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180</w:t>
            </w:r>
          </w:p>
        </w:tc>
        <w:tc>
          <w:tcPr>
            <w:tcW w:w="50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w:t>
            </w:r>
          </w:p>
        </w:tc>
        <w:tc>
          <w:tcPr>
            <w:tcW w:w="76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1,797</w:t>
            </w:r>
          </w:p>
        </w:tc>
        <w:tc>
          <w:tcPr>
            <w:tcW w:w="76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2,030</w:t>
            </w:r>
          </w:p>
        </w:tc>
        <w:tc>
          <w:tcPr>
            <w:tcW w:w="805" w:type="dxa"/>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233</w:t>
            </w:r>
          </w:p>
        </w:tc>
        <w:tc>
          <w:tcPr>
            <w:tcW w:w="70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13.0%</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consolidation purposes, loans generated in Foreign Currency (FC) are converted into Local Currency (LC).</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Includes other assets and accruals.</w:t>
      </w:r>
    </w:p>
    <w:tbl>
      <w:tblPr>
        <w:tblW w:w="2196" w:type="dxa"/>
        <w:jc w:val="left"/>
        <w:tblInd w:w="0" w:type="dxa"/>
        <w:tblLayout w:type="fixed"/>
        <w:tblCellMar>
          <w:top w:w="0" w:type="dxa"/>
          <w:left w:w="0" w:type="dxa"/>
          <w:bottom w:w="0" w:type="dxa"/>
          <w:right w:w="0" w:type="dxa"/>
        </w:tblCellMar>
      </w:tblPr>
      <w:tblGrid>
        <w:gridCol w:w="38"/>
        <w:gridCol w:w="23"/>
        <w:gridCol w:w="6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CC339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Larger contraction in volume</w:t>
            </w:r>
          </w:p>
        </w:tc>
      </w:tr>
    </w:tbl>
    <w:p>
      <w:pPr>
        <w:pStyle w:val="TextBody"/>
        <w:bidi w:val="0"/>
        <w:spacing w:before="0" w:after="0"/>
        <w:ind w:left="0" w:right="0" w:hanging="0"/>
        <w:jc w:val="left"/>
        <w:rPr>
          <w:caps w:val="false"/>
          <w:smallCaps w:val="false"/>
        </w:rPr>
      </w:pPr>
      <w:r>
        <w:rPr>
          <w:caps w:val="false"/>
          <w:smallCaps w:val="false"/>
        </w:rPr>
        <w:t> </w:t>
      </w:r>
    </w:p>
    <w:tbl>
      <w:tblPr>
        <w:tblW w:w="2121" w:type="dxa"/>
        <w:jc w:val="left"/>
        <w:tblInd w:w="0" w:type="dxa"/>
        <w:tblLayout w:type="fixed"/>
        <w:tblCellMar>
          <w:top w:w="0" w:type="dxa"/>
          <w:left w:w="0" w:type="dxa"/>
          <w:bottom w:w="0" w:type="dxa"/>
          <w:right w:w="0" w:type="dxa"/>
        </w:tblCellMar>
      </w:tblPr>
      <w:tblGrid>
        <w:gridCol w:w="38"/>
        <w:gridCol w:w="23"/>
        <w:gridCol w:w="6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25D07B"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Larger expansion in volume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total loans in quarter-end balances at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 xml:space="preserve"> increased 12.3% with a neutral exchange rate. This growth was driven mainly by </w:t>
      </w:r>
      <w:r>
        <w:rPr>
          <w:rFonts w:ascii="Times New Roman;Times;Serif" w:hAnsi="Times New Roman;Times;Serif"/>
          <w:b/>
          <w:i w:val="false"/>
          <w:caps w:val="false"/>
          <w:smallCaps w:val="false"/>
          <w:sz w:val="20"/>
        </w:rPr>
        <w:t xml:space="preserve">Retail Banking </w:t>
      </w:r>
      <w:r>
        <w:rPr>
          <w:rFonts w:ascii="Times New Roman;Times;Serif" w:hAnsi="Times New Roman;Times;Serif"/>
          <w:b w:val="false"/>
          <w:i w:val="false"/>
          <w:caps w:val="false"/>
          <w:smallCaps w:val="false"/>
          <w:sz w:val="20"/>
        </w:rPr>
        <w:t>(+12.5%)</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followed by </w:t>
      </w:r>
      <w:r>
        <w:rPr>
          <w:rFonts w:ascii="Times New Roman;Times;Serif" w:hAnsi="Times New Roman;Times;Serif"/>
          <w:b/>
          <w:i w:val="false"/>
          <w:caps w:val="false"/>
          <w:smallCaps w:val="false"/>
          <w:sz w:val="20"/>
        </w:rPr>
        <w:t xml:space="preserve">Wholesale Banking </w:t>
      </w:r>
      <w:r>
        <w:rPr>
          <w:rFonts w:ascii="Times New Roman;Times;Serif" w:hAnsi="Times New Roman;Times;Serif"/>
          <w:b w:val="false"/>
          <w:i w:val="false"/>
          <w:caps w:val="false"/>
          <w:smallCaps w:val="false"/>
          <w:sz w:val="20"/>
        </w:rPr>
        <w:t>(+12.1%)</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19125"/>
            <wp:effectExtent l="0" t="0" r="0" b="0"/>
            <wp:docPr id="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5" descr=""/>
                    <pic:cNvPicPr>
                      <a:picLocks noChangeAspect="1" noChangeArrowheads="1"/>
                    </pic:cNvPicPr>
                  </pic:nvPicPr>
                  <pic:blipFill>
                    <a:blip r:embed="rId59"/>
                    <a:stretch>
                      <a:fillRect/>
                    </a:stretch>
                  </pic:blipFill>
                  <pic:spPr bwMode="auto">
                    <a:xfrm>
                      <a:off x="0" y="0"/>
                      <a:ext cx="7620000" cy="619125"/>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560" w:type="dxa"/>
        <w:jc w:val="left"/>
        <w:tblInd w:w="0" w:type="dxa"/>
        <w:tblLayout w:type="fixed"/>
        <w:tblCellMar>
          <w:top w:w="0" w:type="dxa"/>
          <w:left w:w="0" w:type="dxa"/>
          <w:bottom w:w="0" w:type="dxa"/>
          <w:right w:w="0" w:type="dxa"/>
        </w:tblCellMar>
      </w:tblPr>
      <w:tblGrid>
        <w:gridCol w:w="1995"/>
        <w:gridCol w:w="65"/>
        <w:gridCol w:w="2270"/>
        <w:gridCol w:w="323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6" descr=""/>
                          <pic:cNvPicPr>
                            <a:picLocks noChangeAspect="1" noChangeArrowheads="1"/>
                          </pic:cNvPicPr>
                        </pic:nvPicPr>
                        <pic:blipFill>
                          <a:blip r:embed="rId60"/>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3230" w:type="dxa"/>
            <w:tcBorders/>
            <w:shd w:fill="000000" w:val="clear"/>
            <w:vAlign w:val="center"/>
          </w:tcPr>
          <w:p>
            <w:pPr>
              <w:pStyle w:val="TableContents"/>
              <w:bidi w:val="0"/>
              <w:spacing w:before="0" w:after="283"/>
              <w:jc w:val="right"/>
              <w:rPr>
                <w:rFonts w:ascii="Times New Roman;Times;Serif" w:hAnsi="Times New Roman;Times;Serif"/>
                <w:color w:val="FF00FF"/>
                <w:sz w:val="20"/>
              </w:rPr>
            </w:pPr>
            <w:r>
              <w:rPr>
                <w:rFonts w:ascii="Times New Roman;Times;Serif" w:hAnsi="Times New Roman;Times;Serif"/>
                <w:color w:val="FF00FF"/>
                <w:sz w:val="20"/>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433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01. Loan Portfolio</w:t>
            </w:r>
          </w:p>
        </w:tc>
        <w:tc>
          <w:tcPr>
            <w:tcW w:w="3230" w:type="dxa"/>
            <w:tcBorders/>
            <w:shd w:fill="E93BAB"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Retail Banking,</w:t>
      </w:r>
      <w:r>
        <w:rPr>
          <w:rFonts w:ascii="Times New Roman;Times;Serif" w:hAnsi="Times New Roman;Times;Serif"/>
          <w:b w:val="false"/>
          <w:i w:val="false"/>
          <w:caps w:val="false"/>
          <w:smallCaps w:val="false"/>
          <w:sz w:val="20"/>
        </w:rPr>
        <w:t xml:space="preserve"> all segments, except </w:t>
      </w:r>
      <w:r>
        <w:rPr>
          <w:rFonts w:ascii="Times New Roman;Times;Serif" w:hAnsi="Times New Roman;Times;Serif"/>
          <w:b/>
          <w:i w:val="false"/>
          <w:caps w:val="false"/>
          <w:smallCaps w:val="false"/>
          <w:sz w:val="20"/>
        </w:rPr>
        <w:t>SME Business</w:t>
      </w:r>
      <w:r>
        <w:rPr>
          <w:rFonts w:ascii="Times New Roman;Times;Serif" w:hAnsi="Times New Roman;Times;Serif"/>
          <w:b w:val="false"/>
          <w:i w:val="false"/>
          <w:caps w:val="false"/>
          <w:smallCaps w:val="false"/>
          <w:sz w:val="20"/>
        </w:rPr>
        <w:t xml:space="preserve"> (which was impacted by resegmentation to migrate some clients to Wholesale Banking), evolved positively year-over-year, fueled by the same dynamics in play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and an uptick in economic momentum.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Wholesale Banking</w:t>
      </w:r>
      <w:r>
        <w:rPr>
          <w:rFonts w:ascii="Times New Roman;Times;Serif" w:hAnsi="Times New Roman;Times;Serif"/>
          <w:b w:val="false"/>
          <w:i w:val="false"/>
          <w:caps w:val="false"/>
          <w:smallCaps w:val="false"/>
          <w:sz w:val="20"/>
        </w:rPr>
        <w:t>, growth was fueled primarily by an increase in disbursements of medium and long-term loans, which was driven by a more favorable macroeconomic environment and a consequent uptick in private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 evolution of Loan Dollarization (in Quarter-end balances)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76950" cy="2371725"/>
            <wp:effectExtent l="0" t="0" r="0" b="0"/>
            <wp:docPr id="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7" descr=""/>
                    <pic:cNvPicPr>
                      <a:picLocks noChangeAspect="1" noChangeArrowheads="1"/>
                    </pic:cNvPicPr>
                  </pic:nvPicPr>
                  <pic:blipFill>
                    <a:blip r:embed="rId61"/>
                    <a:stretch>
                      <a:fillRect/>
                    </a:stretch>
                  </pic:blipFill>
                  <pic:spPr bwMode="auto">
                    <a:xfrm>
                      <a:off x="0" y="0"/>
                      <a:ext cx="6076950" cy="23717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Participation in FC loans at the Credicorp level considers BCP Stand-alone, Mibanco, Mibanco Colombia, BCP Bolivia and ASB.</w:t>
      </w:r>
    </w:p>
    <w:p>
      <w:pPr>
        <w:pStyle w:val="TextBody"/>
        <w:bidi w:val="0"/>
        <w:spacing w:before="0" w:after="0"/>
        <w:ind w:left="161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the loan dollarization level dropped 9 bps on the back of growth in LC loans (+11.1%), mainly in </w:t>
      </w:r>
      <w:r>
        <w:rPr>
          <w:rFonts w:ascii="Times New Roman;Times;Serif" w:hAnsi="Times New Roman;Times;Serif"/>
          <w:b/>
          <w:i w:val="false"/>
          <w:caps w:val="false"/>
          <w:smallCaps w:val="false"/>
          <w:sz w:val="20"/>
        </w:rPr>
        <w:t xml:space="preserve">Retail Banking, </w:t>
      </w:r>
      <w:r>
        <w:rPr>
          <w:rFonts w:ascii="Times New Roman;Times;Serif" w:hAnsi="Times New Roman;Times;Serif"/>
          <w:b w:val="false"/>
          <w:i w:val="false"/>
          <w:caps w:val="false"/>
          <w:smallCaps w:val="false"/>
          <w:sz w:val="20"/>
        </w:rPr>
        <w:t xml:space="preserve">which was partially offset by loan growth in FC (+14.9%), mainly in </w:t>
      </w:r>
      <w:r>
        <w:rPr>
          <w:rFonts w:ascii="Times New Roman;Times;Serif" w:hAnsi="Times New Roman;Times;Serif"/>
          <w:b/>
          <w:i w:val="false"/>
          <w:caps w:val="false"/>
          <w:smallCaps w:val="false"/>
          <w:sz w:val="20"/>
        </w:rPr>
        <w:t>Wholesale Banking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Evolution in Average Daily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loans measured in average daily balances (ADB) rose 5.9% and 10.3%,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YoY, </w:t>
      </w:r>
      <w:r>
        <w:rPr>
          <w:rFonts w:ascii="Times New Roman;Times;Serif" w:hAnsi="Times New Roman;Times;Serif"/>
          <w:b w:val="false"/>
          <w:i w:val="false"/>
          <w:caps w:val="false"/>
          <w:smallCaps w:val="false"/>
          <w:sz w:val="20"/>
        </w:rPr>
        <w:t>respectively. It is important to note that figures for loans in ADB are taken from internal management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details on loan dynamics in ADB, see </w:t>
      </w:r>
      <w:r>
        <w:rPr>
          <w:rFonts w:ascii="Times New Roman;Times;Serif" w:hAnsi="Times New Roman;Times;Serif"/>
          <w:b/>
          <w:i w:val="false"/>
          <w:caps w:val="false"/>
          <w:smallCaps w:val="false"/>
          <w:sz w:val="20"/>
        </w:rPr>
        <w:t>Annex 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19125"/>
            <wp:effectExtent l="0" t="0" r="0" b="0"/>
            <wp:docPr id="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8" descr=""/>
                    <pic:cNvPicPr>
                      <a:picLocks noChangeAspect="1" noChangeArrowheads="1"/>
                    </pic:cNvPicPr>
                  </pic:nvPicPr>
                  <pic:blipFill>
                    <a:blip r:embed="rId62"/>
                    <a:stretch>
                      <a:fillRect/>
                    </a:stretch>
                  </pic:blipFill>
                  <pic:spPr bwMode="auto">
                    <a:xfrm>
                      <a:off x="0" y="0"/>
                      <a:ext cx="7620000" cy="619125"/>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560" w:type="dxa"/>
        <w:jc w:val="left"/>
        <w:tblInd w:w="0" w:type="dxa"/>
        <w:tblLayout w:type="fixed"/>
        <w:tblCellMar>
          <w:top w:w="0" w:type="dxa"/>
          <w:left w:w="0" w:type="dxa"/>
          <w:bottom w:w="0" w:type="dxa"/>
          <w:right w:w="0" w:type="dxa"/>
        </w:tblCellMar>
      </w:tblPr>
      <w:tblGrid>
        <w:gridCol w:w="1995"/>
        <w:gridCol w:w="65"/>
        <w:gridCol w:w="2270"/>
        <w:gridCol w:w="323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9" descr=""/>
                          <pic:cNvPicPr>
                            <a:picLocks noChangeAspect="1" noChangeArrowheads="1"/>
                          </pic:cNvPicPr>
                        </pic:nvPicPr>
                        <pic:blipFill>
                          <a:blip r:embed="rId63"/>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3230" w:type="dxa"/>
            <w:tcBorders/>
            <w:shd w:fill="000000" w:val="clear"/>
            <w:vAlign w:val="center"/>
          </w:tcPr>
          <w:p>
            <w:pPr>
              <w:pStyle w:val="TableContents"/>
              <w:bidi w:val="0"/>
              <w:spacing w:before="0" w:after="283"/>
              <w:jc w:val="right"/>
              <w:rPr>
                <w:rFonts w:ascii="Times New Roman;Times;Serif" w:hAnsi="Times New Roman;Times;Serif"/>
                <w:color w:val="FF00FF"/>
                <w:sz w:val="20"/>
              </w:rPr>
            </w:pPr>
            <w:r>
              <w:rPr>
                <w:rFonts w:ascii="Times New Roman;Times;Serif" w:hAnsi="Times New Roman;Times;Serif"/>
                <w:color w:val="FF00FF"/>
                <w:sz w:val="20"/>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953" w:type="dxa"/>
        <w:jc w:val="left"/>
        <w:tblInd w:w="0" w:type="dxa"/>
        <w:tblLayout w:type="fixed"/>
        <w:tblCellMar>
          <w:top w:w="0" w:type="dxa"/>
          <w:left w:w="0" w:type="dxa"/>
          <w:bottom w:w="0" w:type="dxa"/>
          <w:right w:w="0" w:type="dxa"/>
        </w:tblCellMar>
      </w:tblPr>
      <w:tblGrid>
        <w:gridCol w:w="38"/>
        <w:gridCol w:w="62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rFonts w:ascii="Times New Roman;Times;Serif" w:hAnsi="Times New Roman;Times;Serif"/>
                <w:b/>
                <w:color w:val="E93AAC"/>
                <w:sz w:val="58"/>
              </w:rPr>
            </w:pPr>
            <w:r>
              <w:rPr>
                <w:rFonts w:ascii="Times New Roman;Times;Serif" w:hAnsi="Times New Roman;Times;Serif"/>
                <w:b/>
                <w:color w:val="E93AAC"/>
                <w:sz w:val="58"/>
              </w:rPr>
              <w:t>02</w:t>
            </w:r>
          </w:p>
        </w:tc>
        <w:tc>
          <w:tcPr>
            <w:tcW w:w="1295" w:type="dxa"/>
            <w:tcBorders/>
            <w:vAlign w:val="center"/>
          </w:tcPr>
          <w:p>
            <w:pPr>
              <w:pStyle w:val="TableContents"/>
              <w:bidi w:val="0"/>
              <w:spacing w:before="0" w:after="283"/>
              <w:jc w:val="left"/>
              <w:rPr>
                <w:rFonts w:ascii="Times New Roman;Times;Serif" w:hAnsi="Times New Roman;Times;Serif"/>
                <w:color w:val="E93AAC"/>
                <w:sz w:val="36"/>
              </w:rPr>
            </w:pPr>
            <w:r>
              <w:rPr>
                <w:rFonts w:ascii="Times New Roman;Times;Serif" w:hAnsi="Times New Roman;Times;Serif"/>
                <w:color w:val="E93AAC"/>
                <w:sz w:val="36"/>
              </w:rPr>
              <w:t>Deposits</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Total deposits increased 1.8% QoQ and 17.7% YoY. Excluding the impact of the appreciation of the neutral exchange rate, total deposits rose 2.9% QoQ and 19.9% YoY.</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QoQ, this growth was driven mainly by and increase in the Demand Deposits balance in FC at BCP stand-alone, mainly associated with the continued improvement in our transactional offering, which allowed us to capture funds amid greater institutional client activity and exchange rate volatility.</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YoY, the increase was driven by the same dynamics seen QoQ and by the higher LC balance of Savings deposits, associated with fund inflows from pension fund withdrawals.</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This growth reflects our continued efforts to strengthen our transactional offering. At the end of 2Q26, 74.4% of total depos its were Low-cost (demand + savings).</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2Q26, Total Deposits increased 1.8% and 17.7%, </w:t>
      </w:r>
      <w:r>
        <w:rPr>
          <w:rFonts w:ascii="Times New Roman;Times;Serif" w:hAnsi="Times New Roman;Times;Serif"/>
          <w:b/>
          <w:i w:val="false"/>
          <w:caps w:val="false"/>
          <w:smallCaps w:val="false"/>
          <w:sz w:val="20"/>
        </w:rPr>
        <w:t>QoQ and YoY,</w:t>
      </w:r>
      <w:r>
        <w:rPr>
          <w:rFonts w:ascii="Times New Roman;Times;Serif" w:hAnsi="Times New Roman;Times;Serif"/>
          <w:b w:val="false"/>
          <w:i w:val="false"/>
          <w:caps w:val="false"/>
          <w:smallCaps w:val="false"/>
          <w:sz w:val="20"/>
        </w:rPr>
        <w:t xml:space="preserve"> respectively. Excluding the sol’s appreciation against the US dollar, the deposits balance rose 2.9% QoQ and 19.9% YoY, reflecting the following dynamics:</w:t>
      </w:r>
    </w:p>
    <w:p>
      <w:pPr>
        <w:pStyle w:val="TextBody"/>
        <w:bidi w:val="0"/>
        <w:spacing w:before="0" w:after="0"/>
        <w:ind w:left="175" w:right="0" w:hanging="0"/>
        <w:jc w:val="both"/>
        <w:rPr>
          <w:caps w:val="false"/>
          <w:smallCaps w:val="false"/>
        </w:rPr>
      </w:pPr>
      <w:r>
        <w:rPr>
          <w:caps w:val="false"/>
          <w:smallCaps w:val="false"/>
        </w:rPr>
        <w:t> </w:t>
      </w:r>
    </w:p>
    <w:tbl>
      <w:tblPr>
        <w:tblW w:w="7645" w:type="dxa"/>
        <w:jc w:val="left"/>
        <w:tblInd w:w="-10" w:type="dxa"/>
        <w:tblLayout w:type="fixed"/>
        <w:tblCellMar>
          <w:top w:w="28" w:type="dxa"/>
          <w:left w:w="108" w:type="dxa"/>
          <w:bottom w:w="0" w:type="dxa"/>
          <w:right w:w="108" w:type="dxa"/>
        </w:tblCellMar>
      </w:tblPr>
      <w:tblGrid>
        <w:gridCol w:w="2090"/>
        <w:gridCol w:w="1190"/>
        <w:gridCol w:w="1190"/>
        <w:gridCol w:w="1190"/>
        <w:gridCol w:w="470"/>
        <w:gridCol w:w="500"/>
        <w:gridCol w:w="500"/>
        <w:gridCol w:w="515"/>
      </w:tblGrid>
      <w:tr>
        <w:trPr/>
        <w:tc>
          <w:tcPr>
            <w:tcW w:w="209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Deposits</w:t>
            </w:r>
          </w:p>
        </w:tc>
        <w:tc>
          <w:tcPr>
            <w:tcW w:w="357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97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c>
          <w:tcPr>
            <w:tcW w:w="1015"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Currency</w:t>
            </w:r>
          </w:p>
        </w:tc>
      </w:tr>
      <w:tr>
        <w:trPr/>
        <w:tc>
          <w:tcPr>
            <w:tcW w:w="2090"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119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119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1190"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47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00"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50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LC</w:t>
            </w:r>
          </w:p>
        </w:tc>
        <w:tc>
          <w:tcPr>
            <w:tcW w:w="51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FC</w:t>
            </w:r>
          </w:p>
        </w:tc>
      </w:tr>
      <w:tr>
        <w:trPr/>
        <w:tc>
          <w:tcPr>
            <w:tcW w:w="2090"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Demand deposits</w:t>
            </w:r>
          </w:p>
        </w:tc>
        <w:tc>
          <w:tcPr>
            <w:tcW w:w="1190" w:type="dxa"/>
            <w:tcBorders>
              <w:top w:val="single" w:sz="8" w:space="0" w:color="000000"/>
            </w:tcBorders>
            <w:tcMar>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49,237,039 </w:t>
            </w:r>
          </w:p>
        </w:tc>
        <w:tc>
          <w:tcPr>
            <w:tcW w:w="1190" w:type="dxa"/>
            <w:tcBorders>
              <w:top w:val="single" w:sz="8" w:space="0" w:color="000000"/>
            </w:tcBorders>
            <w:tcMar>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62,847,705 </w:t>
            </w:r>
          </w:p>
        </w:tc>
        <w:tc>
          <w:tcPr>
            <w:tcW w:w="1190"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    </w:t>
            </w:r>
            <w:r>
              <w:rPr>
                <w:rFonts w:ascii="Times New Roman;Times;Serif" w:hAnsi="Times New Roman;Times;Serif"/>
                <w:sz w:val="16"/>
              </w:rPr>
              <w:t xml:space="preserve">64,854,351 </w:t>
            </w:r>
          </w:p>
        </w:tc>
        <w:tc>
          <w:tcPr>
            <w:tcW w:w="470" w:type="dxa"/>
            <w:tcBorders>
              <w:top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w:t>
            </w:r>
          </w:p>
        </w:tc>
        <w:tc>
          <w:tcPr>
            <w:tcW w:w="500"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31.7%</w:t>
            </w:r>
          </w:p>
        </w:tc>
        <w:tc>
          <w:tcPr>
            <w:tcW w:w="500" w:type="dxa"/>
            <w:tcBorders>
              <w:top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45.8%</w:t>
            </w:r>
          </w:p>
        </w:tc>
        <w:tc>
          <w:tcPr>
            <w:tcW w:w="51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54.2%</w:t>
            </w:r>
          </w:p>
        </w:tc>
      </w:tr>
      <w:tr>
        <w:trPr/>
        <w:tc>
          <w:tcPr>
            <w:tcW w:w="209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Saving deposits</w:t>
            </w:r>
          </w:p>
        </w:tc>
        <w:tc>
          <w:tcPr>
            <w:tcW w:w="1190" w:type="dxa"/>
            <w:tcBorders/>
            <w:tcMar>
              <w:top w:w="0" w:type="dxa"/>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59,086,275 </w:t>
            </w:r>
          </w:p>
        </w:tc>
        <w:tc>
          <w:tcPr>
            <w:tcW w:w="1190" w:type="dxa"/>
            <w:tcBorders/>
            <w:tcMar>
              <w:top w:w="0" w:type="dxa"/>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71,249,909 </w:t>
            </w:r>
          </w:p>
        </w:tc>
        <w:tc>
          <w:tcPr>
            <w:tcW w:w="1190" w:type="dxa"/>
            <w:tcBorders>
              <w:right w:val="single" w:sz="8" w:space="0" w:color="000000"/>
            </w:tcBorders>
            <w:tcMar>
              <w:top w:w="0" w:type="dxa"/>
              <w:left w:w="0" w:type="dxa"/>
            </w:tcMar>
            <w:vAlign w:val="center"/>
          </w:tcPr>
          <w:p>
            <w:pPr>
              <w:pStyle w:val="TableContents"/>
              <w:bidi w:val="0"/>
              <w:spacing w:before="0" w:after="283"/>
              <w:jc w:val="right"/>
              <w:rPr/>
            </w:pPr>
            <w:r>
              <w:rPr/>
              <w:t>    </w:t>
            </w:r>
            <w:r>
              <w:rPr>
                <w:rFonts w:ascii="Times New Roman;Times;Serif" w:hAnsi="Times New Roman;Times;Serif"/>
                <w:sz w:val="16"/>
              </w:rPr>
              <w:t xml:space="preserve">70,661,922 </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-0.8%</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63.0%</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37.0%</w:t>
            </w:r>
          </w:p>
        </w:tc>
      </w:tr>
      <w:tr>
        <w:trPr/>
        <w:tc>
          <w:tcPr>
            <w:tcW w:w="209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Time deposits</w:t>
            </w:r>
          </w:p>
        </w:tc>
        <w:tc>
          <w:tcPr>
            <w:tcW w:w="1190" w:type="dxa"/>
            <w:tcBorders/>
            <w:tcMar>
              <w:top w:w="0" w:type="dxa"/>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42,361,180 </w:t>
            </w:r>
          </w:p>
        </w:tc>
        <w:tc>
          <w:tcPr>
            <w:tcW w:w="1190" w:type="dxa"/>
            <w:tcBorders/>
            <w:tcMar>
              <w:top w:w="0" w:type="dxa"/>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40,877,361 </w:t>
            </w:r>
          </w:p>
        </w:tc>
        <w:tc>
          <w:tcPr>
            <w:tcW w:w="1190" w:type="dxa"/>
            <w:tcBorders>
              <w:right w:val="single" w:sz="8" w:space="0" w:color="000000"/>
            </w:tcBorders>
            <w:tcMar>
              <w:top w:w="0" w:type="dxa"/>
              <w:left w:w="0" w:type="dxa"/>
            </w:tcMar>
            <w:vAlign w:val="center"/>
          </w:tcPr>
          <w:p>
            <w:pPr>
              <w:pStyle w:val="TableContents"/>
              <w:bidi w:val="0"/>
              <w:spacing w:before="0" w:after="283"/>
              <w:jc w:val="right"/>
              <w:rPr/>
            </w:pPr>
            <w:r>
              <w:rPr/>
              <w:t>    </w:t>
            </w:r>
            <w:r>
              <w:rPr>
                <w:rFonts w:ascii="Times New Roman;Times;Serif" w:hAnsi="Times New Roman;Times;Serif"/>
                <w:sz w:val="16"/>
              </w:rPr>
              <w:t xml:space="preserve">42,306,886 </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-0.1%</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57.5%</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42.5%</w:t>
            </w:r>
          </w:p>
        </w:tc>
      </w:tr>
      <w:tr>
        <w:trPr/>
        <w:tc>
          <w:tcPr>
            <w:tcW w:w="209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Severance indemnity deposits</w:t>
            </w:r>
          </w:p>
        </w:tc>
        <w:tc>
          <w:tcPr>
            <w:tcW w:w="1190" w:type="dxa"/>
            <w:tcBorders/>
            <w:tcMar>
              <w:top w:w="0" w:type="dxa"/>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3,268,583 </w:t>
            </w:r>
          </w:p>
        </w:tc>
        <w:tc>
          <w:tcPr>
            <w:tcW w:w="1190" w:type="dxa"/>
            <w:tcBorders/>
            <w:tcMar>
              <w:top w:w="0" w:type="dxa"/>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2,987,508 </w:t>
            </w:r>
          </w:p>
        </w:tc>
        <w:tc>
          <w:tcPr>
            <w:tcW w:w="1190" w:type="dxa"/>
            <w:tcBorders>
              <w:right w:val="single" w:sz="8" w:space="0" w:color="000000"/>
            </w:tcBorders>
            <w:tcMar>
              <w:top w:w="0" w:type="dxa"/>
              <w:left w:w="0" w:type="dxa"/>
            </w:tcMar>
            <w:vAlign w:val="center"/>
          </w:tcPr>
          <w:p>
            <w:pPr>
              <w:pStyle w:val="TableContents"/>
              <w:bidi w:val="0"/>
              <w:spacing w:before="0" w:after="283"/>
              <w:jc w:val="right"/>
              <w:rPr/>
            </w:pPr>
            <w:r>
              <w:rPr/>
              <w:t>      </w:t>
            </w:r>
            <w:r>
              <w:rPr>
                <w:rFonts w:ascii="Times New Roman;Times;Serif" w:hAnsi="Times New Roman;Times;Serif"/>
                <w:sz w:val="16"/>
              </w:rPr>
              <w:t xml:space="preserve">3,415,387 </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14.3%</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78.9%</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21.1%</w:t>
            </w:r>
          </w:p>
        </w:tc>
      </w:tr>
      <w:tr>
        <w:trPr/>
        <w:tc>
          <w:tcPr>
            <w:tcW w:w="209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Interest payable </w:t>
            </w:r>
          </w:p>
        </w:tc>
        <w:tc>
          <w:tcPr>
            <w:tcW w:w="1190" w:type="dxa"/>
            <w:tcBorders/>
            <w:tcMar>
              <w:top w:w="0" w:type="dxa"/>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770,257 </w:t>
            </w:r>
          </w:p>
        </w:tc>
        <w:tc>
          <w:tcPr>
            <w:tcW w:w="1190" w:type="dxa"/>
            <w:tcBorders/>
            <w:tcMar>
              <w:top w:w="0" w:type="dxa"/>
              <w:left w:w="0" w:type="dxa"/>
              <w:right w:w="0" w:type="dxa"/>
            </w:tcMar>
            <w:vAlign w:val="center"/>
          </w:tcPr>
          <w:p>
            <w:pPr>
              <w:pStyle w:val="TableContents"/>
              <w:bidi w:val="0"/>
              <w:spacing w:before="0" w:after="283"/>
              <w:jc w:val="right"/>
              <w:rPr/>
            </w:pPr>
            <w:r>
              <w:rPr/>
              <w:t>         </w:t>
            </w:r>
            <w:r>
              <w:rPr>
                <w:rFonts w:ascii="Times New Roman;Times;Serif" w:hAnsi="Times New Roman;Times;Serif"/>
                <w:sz w:val="16"/>
              </w:rPr>
              <w:t xml:space="preserve">918,183 </w:t>
            </w:r>
          </w:p>
        </w:tc>
        <w:tc>
          <w:tcPr>
            <w:tcW w:w="1190" w:type="dxa"/>
            <w:tcBorders>
              <w:right w:val="single" w:sz="8" w:space="0" w:color="000000"/>
            </w:tcBorders>
            <w:tcMar>
              <w:top w:w="0" w:type="dxa"/>
              <w:left w:w="0" w:type="dxa"/>
            </w:tcMar>
            <w:vAlign w:val="center"/>
          </w:tcPr>
          <w:p>
            <w:pPr>
              <w:pStyle w:val="TableContents"/>
              <w:bidi w:val="0"/>
              <w:spacing w:before="0" w:after="283"/>
              <w:jc w:val="right"/>
              <w:rPr/>
            </w:pPr>
            <w:r>
              <w:rPr/>
              <w:t>         </w:t>
            </w:r>
            <w:r>
              <w:rPr>
                <w:rFonts w:ascii="Times New Roman;Times;Serif" w:hAnsi="Times New Roman;Times;Serif"/>
                <w:sz w:val="16"/>
              </w:rPr>
              <w:t xml:space="preserve">882,220 </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25.3%</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74.7%</w:t>
            </w:r>
          </w:p>
        </w:tc>
      </w:tr>
      <w:tr>
        <w:trPr/>
        <w:tc>
          <w:tcPr>
            <w:tcW w:w="2090" w:type="dxa"/>
            <w:tcBorders>
              <w:top w:val="single" w:sz="8" w:space="0" w:color="000000"/>
              <w:left w:val="single" w:sz="8" w:space="0" w:color="000000"/>
              <w:bottom w:val="single" w:sz="8" w:space="0" w:color="000000"/>
            </w:tcBorders>
            <w:tcMar>
              <w:bottom w:w="28" w:type="dxa"/>
              <w:right w:w="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Low-cost deposits (1)</w:t>
            </w:r>
          </w:p>
        </w:tc>
        <w:tc>
          <w:tcPr>
            <w:tcW w:w="1190" w:type="dxa"/>
            <w:tcBorders>
              <w:top w:val="single" w:sz="8" w:space="0" w:color="000000"/>
              <w:left w:val="single" w:sz="8" w:space="0" w:color="000000"/>
              <w:bottom w:val="single" w:sz="8" w:space="0" w:color="000000"/>
            </w:tcBorders>
            <w:tcMar>
              <w:bottom w:w="28" w:type="dxa"/>
              <w:right w:w="0" w:type="dxa"/>
            </w:tcMar>
            <w:vAlign w:val="center"/>
          </w:tcPr>
          <w:p>
            <w:pPr>
              <w:pStyle w:val="TableContents"/>
              <w:bidi w:val="0"/>
              <w:spacing w:before="0" w:after="283"/>
              <w:jc w:val="right"/>
              <w:rPr/>
            </w:pPr>
            <w:r>
              <w:rPr/>
              <w:t>  </w:t>
            </w:r>
            <w:r>
              <w:rPr>
                <w:rFonts w:ascii="Times New Roman;Times;Serif" w:hAnsi="Times New Roman;Times;Serif"/>
                <w:b/>
                <w:sz w:val="16"/>
              </w:rPr>
              <w:t xml:space="preserve">108,323,314 </w:t>
            </w:r>
          </w:p>
        </w:tc>
        <w:tc>
          <w:tcPr>
            <w:tcW w:w="119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pPr>
            <w:r>
              <w:rPr/>
              <w:t>  </w:t>
            </w:r>
            <w:r>
              <w:rPr>
                <w:rFonts w:ascii="Times New Roman;Times;Serif" w:hAnsi="Times New Roman;Times;Serif"/>
                <w:b/>
                <w:sz w:val="16"/>
              </w:rPr>
              <w:t xml:space="preserve">134,097,614 </w:t>
            </w:r>
          </w:p>
        </w:tc>
        <w:tc>
          <w:tcPr>
            <w:tcW w:w="119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pPr>
            <w:r>
              <w:rPr/>
              <w:t>  </w:t>
            </w:r>
            <w:r>
              <w:rPr>
                <w:rFonts w:ascii="Times New Roman;Times;Serif" w:hAnsi="Times New Roman;Times;Serif"/>
                <w:b/>
                <w:sz w:val="16"/>
              </w:rPr>
              <w:t xml:space="preserve">135,516,273 </w:t>
            </w:r>
          </w:p>
        </w:tc>
        <w:tc>
          <w:tcPr>
            <w:tcW w:w="47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w:t>
            </w:r>
          </w:p>
        </w:tc>
        <w:tc>
          <w:tcPr>
            <w:tcW w:w="5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25.1%</w:t>
            </w:r>
          </w:p>
        </w:tc>
        <w:tc>
          <w:tcPr>
            <w:tcW w:w="50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54.8%</w:t>
            </w:r>
          </w:p>
        </w:tc>
        <w:tc>
          <w:tcPr>
            <w:tcW w:w="5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45.2%</w:t>
            </w:r>
          </w:p>
        </w:tc>
      </w:tr>
      <w:tr>
        <w:trPr/>
        <w:tc>
          <w:tcPr>
            <w:tcW w:w="209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Deposits</w:t>
            </w:r>
          </w:p>
        </w:tc>
        <w:tc>
          <w:tcPr>
            <w:tcW w:w="119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rFonts w:ascii="Times New Roman;Times;Serif" w:hAnsi="Times New Roman;Times;Serif"/>
                <w:b/>
                <w:sz w:val="16"/>
              </w:rPr>
              <w:t xml:space="preserve">154,723,334 </w:t>
            </w:r>
          </w:p>
        </w:tc>
        <w:tc>
          <w:tcPr>
            <w:tcW w:w="119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rFonts w:ascii="Times New Roman;Times;Serif" w:hAnsi="Times New Roman;Times;Serif"/>
                <w:b/>
                <w:sz w:val="16"/>
              </w:rPr>
              <w:t xml:space="preserve">178,880,666 </w:t>
            </w:r>
          </w:p>
        </w:tc>
        <w:tc>
          <w:tcPr>
            <w:tcW w:w="11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Times New Roman;Times;Serif" w:hAnsi="Times New Roman;Times;Serif"/>
                <w:b/>
                <w:sz w:val="16"/>
              </w:rPr>
              <w:t xml:space="preserve">182,120,766 </w:t>
            </w:r>
          </w:p>
        </w:tc>
        <w:tc>
          <w:tcPr>
            <w:tcW w:w="4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w:t>
            </w:r>
          </w:p>
        </w:tc>
        <w:tc>
          <w:tcPr>
            <w:tcW w:w="50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17.7%</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55.7%</w:t>
            </w:r>
          </w:p>
        </w:tc>
        <w:tc>
          <w:tcPr>
            <w:tcW w:w="5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44.3%</w:t>
            </w:r>
          </w:p>
        </w:tc>
      </w:tr>
    </w:tbl>
    <w:p>
      <w:pPr>
        <w:pStyle w:val="TextBody"/>
        <w:bidi w:val="0"/>
        <w:spacing w:before="0" w:after="0"/>
        <w:ind w:left="175"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Includes: Demand and Saving deposits.</w:t>
      </w:r>
    </w:p>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our </w:t>
      </w:r>
      <w:r>
        <w:rPr>
          <w:rFonts w:ascii="Times New Roman;Times;Serif" w:hAnsi="Times New Roman;Times;Serif"/>
          <w:b/>
          <w:i w:val="false"/>
          <w:caps w:val="false"/>
          <w:smallCaps w:val="false"/>
          <w:sz w:val="20"/>
        </w:rPr>
        <w:t>Total Deposits</w:t>
      </w:r>
      <w:r>
        <w:rPr>
          <w:rFonts w:ascii="Times New Roman;Times;Serif" w:hAnsi="Times New Roman;Times;Serif"/>
          <w:b w:val="false"/>
          <w:i w:val="false"/>
          <w:caps w:val="false"/>
          <w:smallCaps w:val="false"/>
          <w:sz w:val="20"/>
        </w:rPr>
        <w:t xml:space="preserve"> balance grew 1.8% (2.9% FX neutral), driven mainly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3.2% uptick (4.5% FX neutral) in the </w:t>
            </w:r>
            <w:r>
              <w:rPr>
                <w:rFonts w:ascii="Times New Roman;Times;Serif" w:hAnsi="Times New Roman;Times;Serif"/>
                <w:b/>
                <w:sz w:val="20"/>
              </w:rPr>
              <w:t xml:space="preserve">Demand Deposits </w:t>
            </w:r>
            <w:r>
              <w:rPr>
                <w:rFonts w:ascii="Times New Roman;Times;Serif" w:hAnsi="Times New Roman;Times;Serif"/>
                <w:sz w:val="20"/>
              </w:rPr>
              <w:t>balance, driven mainly by higher FC volumes at BCP stand-alone. This growth was mainly attributable to the continued improvement in our transactional offering, which allowed us to capture funds amid greater corporate client activity and exchange rate volatility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3.5% increase (4.5% FX neutral) in the </w:t>
            </w:r>
            <w:r>
              <w:rPr>
                <w:rFonts w:ascii="Times New Roman;Times;Serif" w:hAnsi="Times New Roman;Times;Serif"/>
                <w:b/>
                <w:sz w:val="20"/>
              </w:rPr>
              <w:t>Time Deposits</w:t>
            </w:r>
            <w:r>
              <w:rPr>
                <w:rFonts w:ascii="Times New Roman;Times;Serif" w:hAnsi="Times New Roman;Times;Serif"/>
                <w:sz w:val="20"/>
              </w:rPr>
              <w:t xml:space="preserve"> balance, driven by higher LC volumes at BCP stand-alone, mainly on account of wholesale client captures, in line with strategic initiatives to strengthen our funding structure.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our </w:t>
      </w:r>
      <w:r>
        <w:rPr>
          <w:rFonts w:ascii="Times New Roman;Times;Serif" w:hAnsi="Times New Roman;Times;Serif"/>
          <w:b/>
          <w:i w:val="false"/>
          <w:caps w:val="false"/>
          <w:smallCaps w:val="false"/>
          <w:sz w:val="20"/>
        </w:rPr>
        <w:t>Total Deposits</w:t>
      </w:r>
      <w:r>
        <w:rPr>
          <w:rFonts w:ascii="Times New Roman;Times;Serif" w:hAnsi="Times New Roman;Times;Serif"/>
          <w:b w:val="false"/>
          <w:i w:val="false"/>
          <w:caps w:val="false"/>
          <w:smallCaps w:val="false"/>
          <w:sz w:val="20"/>
        </w:rPr>
        <w:t xml:space="preserve"> balance grew 17.7% (19.9% FX neutral) driven mainly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31.7% increase (34.7% FX neutral) in the </w:t>
            </w:r>
            <w:r>
              <w:rPr>
                <w:rFonts w:ascii="Times New Roman;Times;Serif" w:hAnsi="Times New Roman;Times;Serif"/>
                <w:b/>
                <w:sz w:val="20"/>
              </w:rPr>
              <w:t xml:space="preserve">Demand </w:t>
            </w:r>
            <w:r>
              <w:rPr>
                <w:rFonts w:ascii="Times New Roman;Times;Serif" w:hAnsi="Times New Roman;Times;Serif"/>
                <w:sz w:val="20"/>
              </w:rPr>
              <w:t>Deposits balance, driven mainly by the same dynamics seen QoQ and to a lesser extent, by a higher LC balance driven by individuals, associated with pension fund withdrawals.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283"/>
              <w:jc w:val="both"/>
              <w:rPr>
                <w:rFonts w:ascii="Times New Roman;Times;Serif" w:hAnsi="Times New Roman;Times;Serif"/>
                <w:sz w:val="20"/>
              </w:rPr>
            </w:pPr>
            <w:r>
              <w:rPr>
                <w:rFonts w:ascii="Times New Roman;Times;Serif" w:hAnsi="Times New Roman;Times;Serif"/>
                <w:sz w:val="20"/>
              </w:rPr>
              <w:t xml:space="preserve">Growth of 19.6% (21.4% neutral exchange rate) in </w:t>
            </w:r>
            <w:r>
              <w:rPr>
                <w:rFonts w:ascii="Times New Roman;Times;Serif" w:hAnsi="Times New Roman;Times;Serif"/>
                <w:b/>
                <w:sz w:val="20"/>
              </w:rPr>
              <w:t>Savings Deposits</w:t>
            </w:r>
            <w:r>
              <w:rPr>
                <w:rFonts w:ascii="Times New Roman;Times;Serif" w:hAnsi="Times New Roman;Times;Serif"/>
                <w:sz w:val="20"/>
              </w:rPr>
              <w:t>, driven by higher LC volumes at BCP stand-alone, partly attributable to the 8th pension fund withdrawal that began in November 2025 and to surplus liquidity carried over from the previous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Growth in our </w:t>
      </w:r>
      <w:r>
        <w:rPr>
          <w:rFonts w:ascii="Times New Roman;Times;Serif" w:hAnsi="Times New Roman;Times;Serif"/>
          <w:b/>
          <w:i w:val="false"/>
          <w:caps w:val="false"/>
          <w:smallCaps w:val="false"/>
          <w:sz w:val="20"/>
        </w:rPr>
        <w:t>Low-cost Deposit</w:t>
      </w:r>
      <w:r>
        <w:rPr>
          <w:rFonts w:ascii="Times New Roman;Times;Serif" w:hAnsi="Times New Roman;Times;Serif"/>
          <w:b w:val="false"/>
          <w:i w:val="false"/>
          <w:caps w:val="false"/>
          <w:smallCaps w:val="false"/>
          <w:sz w:val="20"/>
        </w:rPr>
        <w:t>s reflects sustained efforts to differentiate our transactional offering, supported by investment in digital infrastructure and closer relationships with our clients. This has favored deposit captures in a high-liquidity environment for the financial system. At the end of Jun-26</w:t>
      </w:r>
      <w:r>
        <w:rPr>
          <w:rFonts w:ascii="Times New Roman;Times;Serif" w:hAnsi="Times New Roman;Times;Serif"/>
          <w:b/>
          <w:i w:val="false"/>
          <w:caps w:val="false"/>
          <w:smallCaps w:val="false"/>
          <w:sz w:val="20"/>
        </w:rPr>
        <w:t xml:space="preserve">, Low-cost Deposits </w:t>
      </w:r>
      <w:r>
        <w:rPr>
          <w:rFonts w:ascii="Times New Roman;Times;Serif" w:hAnsi="Times New Roman;Times;Serif"/>
          <w:b w:val="false"/>
          <w:i w:val="false"/>
          <w:caps w:val="false"/>
          <w:smallCaps w:val="false"/>
          <w:sz w:val="20"/>
        </w:rPr>
        <w:t>represented 74.4% of total deposits, up 440 bps YoY.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0" descr=""/>
                    <pic:cNvPicPr>
                      <a:picLocks noChangeAspect="1" noChangeArrowheads="1"/>
                    </pic:cNvPicPr>
                  </pic:nvPicPr>
                  <pic:blipFill>
                    <a:blip r:embed="rId64"/>
                    <a:stretch>
                      <a:fillRect/>
                    </a:stretch>
                  </pic:blipFill>
                  <pic:spPr bwMode="auto">
                    <a:xfrm>
                      <a:off x="0" y="0"/>
                      <a:ext cx="7620000" cy="64770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7560" w:type="dxa"/>
        <w:jc w:val="left"/>
        <w:tblInd w:w="0" w:type="dxa"/>
        <w:tblLayout w:type="fixed"/>
        <w:tblCellMar>
          <w:top w:w="0" w:type="dxa"/>
          <w:left w:w="0" w:type="dxa"/>
          <w:bottom w:w="0" w:type="dxa"/>
          <w:right w:w="0" w:type="dxa"/>
        </w:tblCellMar>
      </w:tblPr>
      <w:tblGrid>
        <w:gridCol w:w="1995"/>
        <w:gridCol w:w="65"/>
        <w:gridCol w:w="2270"/>
        <w:gridCol w:w="323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1" descr=""/>
                          <pic:cNvPicPr>
                            <a:picLocks noChangeAspect="1" noChangeArrowheads="1"/>
                          </pic:cNvPicPr>
                        </pic:nvPicPr>
                        <pic:blipFill>
                          <a:blip r:embed="rId65"/>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70" w:type="dxa"/>
            <w:tcBorders/>
            <w:shd w:fill="000000" w:val="clear"/>
            <w:vAlign w:val="center"/>
          </w:tcPr>
          <w:p>
            <w:pPr>
              <w:pStyle w:val="TableContents"/>
              <w:bidi w:val="0"/>
              <w:spacing w:before="0" w:after="283"/>
              <w:jc w:val="left"/>
              <w:rPr>
                <w:rFonts w:ascii="Times New Roman;Times;Serif" w:hAnsi="Times New Roman;Times;Serif"/>
                <w:color w:val="FFFFFF"/>
                <w:sz w:val="20"/>
              </w:rPr>
            </w:pPr>
            <w:r>
              <w:rPr>
                <w:rFonts w:ascii="Times New Roman;Times;Serif" w:hAnsi="Times New Roman;Times;Serif"/>
                <w:color w:val="FFFFFF"/>
                <w:sz w:val="20"/>
              </w:rPr>
              <w:t>Earnings Release 2Q / 2026</w:t>
            </w:r>
          </w:p>
        </w:tc>
        <w:tc>
          <w:tcPr>
            <w:tcW w:w="3230" w:type="dxa"/>
            <w:tcBorders/>
            <w:shd w:fill="000000" w:val="clear"/>
            <w:vAlign w:val="center"/>
          </w:tcPr>
          <w:p>
            <w:pPr>
              <w:pStyle w:val="TableContents"/>
              <w:bidi w:val="0"/>
              <w:spacing w:before="0" w:after="283"/>
              <w:jc w:val="right"/>
              <w:rPr>
                <w:rFonts w:ascii="Times New Roman;Times;Serif" w:hAnsi="Times New Roman;Times;Serif"/>
                <w:color w:val="FF00FF"/>
                <w:sz w:val="20"/>
              </w:rPr>
            </w:pPr>
            <w:r>
              <w:rPr>
                <w:rFonts w:ascii="Times New Roman;Times;Serif" w:hAnsi="Times New Roman;Times;Serif"/>
                <w:color w:val="FF00FF"/>
                <w:sz w:val="20"/>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2270" w:type="dxa"/>
            <w:tcBorders/>
            <w:shd w:fill="000000" w:val="clear"/>
            <w:vAlign w:val="center"/>
          </w:tcPr>
          <w:p>
            <w:pPr>
              <w:pStyle w:val="TableContents"/>
              <w:bidi w:val="0"/>
              <w:spacing w:before="0" w:after="283"/>
              <w:jc w:val="left"/>
              <w:rPr/>
            </w:pPr>
            <w:r>
              <w:rPr/>
              <w:t> </w:t>
            </w:r>
          </w:p>
        </w:tc>
        <w:tc>
          <w:tcPr>
            <w:tcW w:w="3230" w:type="dxa"/>
            <w:tcBorders/>
            <w:shd w:fill="000000" w:val="clear"/>
            <w:vAlign w:val="center"/>
          </w:tcPr>
          <w:p>
            <w:pPr>
              <w:pStyle w:val="TableContents"/>
              <w:bidi w:val="0"/>
              <w:spacing w:before="0" w:after="283"/>
              <w:jc w:val="left"/>
              <w:rPr/>
            </w:pPr>
            <w:r>
              <w:rPr/>
              <w:t> </w:t>
            </w:r>
          </w:p>
        </w:tc>
      </w:tr>
      <w:tr>
        <w:trPr/>
        <w:tc>
          <w:tcPr>
            <w:tcW w:w="433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02. Deposits</w:t>
            </w:r>
          </w:p>
        </w:tc>
        <w:tc>
          <w:tcPr>
            <w:tcW w:w="3230" w:type="dxa"/>
            <w:tcBorders/>
            <w:shd w:fill="E93BAB" w:val="clear"/>
            <w:vAlign w:val="center"/>
          </w:tcPr>
          <w:p>
            <w:pPr>
              <w:pStyle w:val="TableContents"/>
              <w:bidi w:val="0"/>
              <w:spacing w:before="0" w:after="283"/>
              <w:jc w:val="left"/>
              <w:rPr/>
            </w:pPr>
            <w:r>
              <w:rPr/>
              <w:t> </w:t>
            </w:r>
          </w:p>
        </w:tc>
      </w:tr>
    </w:tbl>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Deposit Dollarization Level</w:t>
      </w:r>
    </w:p>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3110230" cy="2249805"/>
                <wp:effectExtent l="0" t="0" r="0" b="0"/>
                <wp:wrapSquare wrapText="right"/>
                <wp:docPr id="69" name="Frame5"/>
                <a:graphic xmlns:a="http://schemas.openxmlformats.org/drawingml/2006/main">
                  <a:graphicData uri="http://schemas.microsoft.com/office/word/2010/wordprocessingShape">
                    <wps:wsp>
                      <wps:cNvSpPr txBox="1"/>
                      <wps:spPr>
                        <a:xfrm>
                          <a:off x="0" y="0"/>
                          <a:ext cx="3110230" cy="2249805"/>
                        </a:xfrm>
                        <a:prstGeom prst="rect"/>
                        <a:solidFill>
                          <a:srgbClr val="FFFFFF"/>
                        </a:solidFill>
                      </wps:spPr>
                      <wps:txbx>
                        <w:txbxContent>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Deposits by currency</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(measured in period-end balance)</w:t>
                            </w:r>
                          </w:p>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151" w:right="0" w:hanging="0"/>
                              <w:jc w:val="center"/>
                              <w:rPr>
                                <w:caps w:val="false"/>
                                <w:smallCaps w:val="false"/>
                              </w:rPr>
                            </w:pPr>
                            <w:r>
                              <w:rPr>
                                <w:caps w:val="false"/>
                                <w:smallCaps w:val="false"/>
                              </w:rPr>
                              <w:drawing>
                                <wp:inline distT="0" distB="0" distL="0" distR="0">
                                  <wp:extent cx="3028950" cy="175260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6"/>
                                          <a:stretch>
                                            <a:fillRect/>
                                          </a:stretch>
                                        </pic:blipFill>
                                        <pic:spPr bwMode="auto">
                                          <a:xfrm>
                                            <a:off x="0" y="0"/>
                                            <a:ext cx="3028950" cy="175260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Deposits by currency</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(measured in period-end balance)</w:t>
                      </w:r>
                    </w:p>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151" w:right="0" w:hanging="0"/>
                        <w:jc w:val="center"/>
                        <w:rPr>
                          <w:caps w:val="false"/>
                          <w:smallCaps w:val="false"/>
                        </w:rPr>
                      </w:pPr>
                      <w:r>
                        <w:rPr>
                          <w:caps w:val="false"/>
                          <w:smallCaps w:val="false"/>
                        </w:rPr>
                        <w:drawing>
                          <wp:inline distT="0" distB="0" distL="0" distR="0">
                            <wp:extent cx="3028950" cy="1752600"/>
                            <wp:effectExtent l="0" t="0" r="0" b="0"/>
                            <wp:docPr id="7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2" descr=""/>
                                    <pic:cNvPicPr>
                                      <a:picLocks noChangeAspect="1" noChangeArrowheads="1"/>
                                    </pic:cNvPicPr>
                                  </pic:nvPicPr>
                                  <pic:blipFill>
                                    <a:blip r:embed="rId67"/>
                                    <a:stretch>
                                      <a:fillRect/>
                                    </a:stretch>
                                  </pic:blipFill>
                                  <pic:spPr bwMode="auto">
                                    <a:xfrm>
                                      <a:off x="0" y="0"/>
                                      <a:ext cx="3028950" cy="175260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212">
                <wp:simplePos x="0" y="0"/>
                <wp:positionH relativeFrom="column">
                  <wp:align>right</wp:align>
                </wp:positionH>
                <wp:positionV relativeFrom="line">
                  <wp:posOffset>635</wp:posOffset>
                </wp:positionV>
                <wp:extent cx="3110230" cy="2929890"/>
                <wp:effectExtent l="0" t="0" r="0" b="0"/>
                <wp:wrapSquare wrapText="left"/>
                <wp:docPr id="72" name="Frame6"/>
                <a:graphic xmlns:a="http://schemas.openxmlformats.org/drawingml/2006/main">
                  <a:graphicData uri="http://schemas.microsoft.com/office/word/2010/wordprocessingShape">
                    <wps:wsp>
                      <wps:cNvSpPr txBox="1"/>
                      <wps:spPr>
                        <a:xfrm>
                          <a:off x="0" y="0"/>
                          <a:ext cx="3110230" cy="2929890"/>
                        </a:xfrm>
                        <a:prstGeom prst="rect"/>
                        <a:solidFill>
                          <a:srgbClr val="FFFFFF"/>
                        </a:solidFill>
                      </wps:spPr>
                      <wps:txbx>
                        <w:txbxContent>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end of June 2026, the dollarization level for </w:t>
                            </w:r>
                            <w:r>
                              <w:rPr>
                                <w:rFonts w:ascii="Times New Roman;Times;Serif" w:hAnsi="Times New Roman;Times;Serif"/>
                                <w:b/>
                                <w:i w:val="false"/>
                                <w:caps w:val="false"/>
                                <w:smallCaps w:val="false"/>
                                <w:sz w:val="20"/>
                              </w:rPr>
                              <w:t xml:space="preserve">Total Deposits </w:t>
                            </w:r>
                            <w:r>
                              <w:rPr>
                                <w:rFonts w:ascii="Times New Roman;Times;Serif" w:hAnsi="Times New Roman;Times;Serif"/>
                                <w:b w:val="false"/>
                                <w:i w:val="false"/>
                                <w:caps w:val="false"/>
                                <w:smallCaps w:val="false"/>
                                <w:sz w:val="20"/>
                              </w:rPr>
                              <w:t xml:space="preserve">rose 140 bps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to 44.3%, still below the average for the last 4 years (47.6%). This result was driven mainly by growth in </w:t>
                            </w:r>
                            <w:r>
                              <w:rPr>
                                <w:rFonts w:ascii="Times New Roman;Times;Serif" w:hAnsi="Times New Roman;Times;Serif"/>
                                <w:b/>
                                <w:i w:val="false"/>
                                <w:caps w:val="false"/>
                                <w:smallCaps w:val="false"/>
                                <w:sz w:val="20"/>
                              </w:rPr>
                              <w:t>Demand Deposit</w:t>
                            </w:r>
                            <w:r>
                              <w:rPr>
                                <w:rFonts w:ascii="Times New Roman;Times;Serif" w:hAnsi="Times New Roman;Times;Serif"/>
                                <w:b w:val="false"/>
                                <w:i w:val="false"/>
                                <w:caps w:val="false"/>
                                <w:smallCaps w:val="false"/>
                                <w:sz w:val="20"/>
                              </w:rPr>
                              <w:t xml:space="preserve">s in FC, associated with fund captures from institutional clients. This effect was partially offset by higher </w:t>
                            </w:r>
                            <w:r>
                              <w:rPr>
                                <w:rFonts w:ascii="Times New Roman;Times;Serif" w:hAnsi="Times New Roman;Times;Serif"/>
                                <w:b/>
                                <w:i w:val="false"/>
                                <w:caps w:val="false"/>
                                <w:smallCaps w:val="false"/>
                                <w:sz w:val="20"/>
                              </w:rPr>
                              <w:t xml:space="preserve">Time Deposits </w:t>
                            </w:r>
                            <w:r>
                              <w:rPr>
                                <w:rFonts w:ascii="Times New Roman;Times;Serif" w:hAnsi="Times New Roman;Times;Serif"/>
                                <w:b w:val="false"/>
                                <w:i w:val="false"/>
                                <w:caps w:val="false"/>
                                <w:smallCaps w:val="false"/>
                                <w:sz w:val="20"/>
                              </w:rPr>
                              <w:t>in LC, associated with wholesale client captures in line with strategic decisions to strengthen our funding base.</w:t>
                            </w:r>
                          </w:p>
                          <w:p>
                            <w:pPr>
                              <w:pStyle w:val="TextBody"/>
                              <w:bidi w:val="0"/>
                              <w:spacing w:before="0" w:after="0"/>
                              <w:ind w:left="498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the dollarization level dropped 86 bps, explained mainly by the sol’s appreciation against the US dollar, which impacted our FC balances. Likewise, higher liquidity in Individuals, associated with pension fund withdrawals, and in </w:t>
                            </w:r>
                            <w:r>
                              <w:rPr>
                                <w:rFonts w:ascii="Times New Roman;Times;Serif" w:hAnsi="Times New Roman;Times;Serif"/>
                                <w:b/>
                                <w:i w:val="false"/>
                                <w:caps w:val="false"/>
                                <w:smallCaps w:val="false"/>
                                <w:sz w:val="20"/>
                              </w:rPr>
                              <w:t>Corporate Banking</w:t>
                            </w:r>
                            <w:r>
                              <w:rPr>
                                <w:rFonts w:ascii="Times New Roman;Times;Serif" w:hAnsi="Times New Roman;Times;Serif"/>
                                <w:b w:val="false"/>
                                <w:i w:val="false"/>
                                <w:caps w:val="false"/>
                                <w:smallCaps w:val="false"/>
                                <w:sz w:val="20"/>
                              </w:rPr>
                              <w:t>, linked to greater activity among institutional clients, contributed to this result.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0.7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15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end of June 2026, the dollarization level for </w:t>
                      </w:r>
                      <w:r>
                        <w:rPr>
                          <w:rFonts w:ascii="Times New Roman;Times;Serif" w:hAnsi="Times New Roman;Times;Serif"/>
                          <w:b/>
                          <w:i w:val="false"/>
                          <w:caps w:val="false"/>
                          <w:smallCaps w:val="false"/>
                          <w:sz w:val="20"/>
                        </w:rPr>
                        <w:t xml:space="preserve">Total Deposits </w:t>
                      </w:r>
                      <w:r>
                        <w:rPr>
                          <w:rFonts w:ascii="Times New Roman;Times;Serif" w:hAnsi="Times New Roman;Times;Serif"/>
                          <w:b w:val="false"/>
                          <w:i w:val="false"/>
                          <w:caps w:val="false"/>
                          <w:smallCaps w:val="false"/>
                          <w:sz w:val="20"/>
                        </w:rPr>
                        <w:t xml:space="preserve">rose 140 bps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to 44.3%, still below the average for the last 4 years (47.6%). This result was driven mainly by growth in </w:t>
                      </w:r>
                      <w:r>
                        <w:rPr>
                          <w:rFonts w:ascii="Times New Roman;Times;Serif" w:hAnsi="Times New Roman;Times;Serif"/>
                          <w:b/>
                          <w:i w:val="false"/>
                          <w:caps w:val="false"/>
                          <w:smallCaps w:val="false"/>
                          <w:sz w:val="20"/>
                        </w:rPr>
                        <w:t>Demand Deposit</w:t>
                      </w:r>
                      <w:r>
                        <w:rPr>
                          <w:rFonts w:ascii="Times New Roman;Times;Serif" w:hAnsi="Times New Roman;Times;Serif"/>
                          <w:b w:val="false"/>
                          <w:i w:val="false"/>
                          <w:caps w:val="false"/>
                          <w:smallCaps w:val="false"/>
                          <w:sz w:val="20"/>
                        </w:rPr>
                        <w:t xml:space="preserve">s in FC, associated with fund captures from institutional clients. This effect was partially offset by higher </w:t>
                      </w:r>
                      <w:r>
                        <w:rPr>
                          <w:rFonts w:ascii="Times New Roman;Times;Serif" w:hAnsi="Times New Roman;Times;Serif"/>
                          <w:b/>
                          <w:i w:val="false"/>
                          <w:caps w:val="false"/>
                          <w:smallCaps w:val="false"/>
                          <w:sz w:val="20"/>
                        </w:rPr>
                        <w:t xml:space="preserve">Time Deposits </w:t>
                      </w:r>
                      <w:r>
                        <w:rPr>
                          <w:rFonts w:ascii="Times New Roman;Times;Serif" w:hAnsi="Times New Roman;Times;Serif"/>
                          <w:b w:val="false"/>
                          <w:i w:val="false"/>
                          <w:caps w:val="false"/>
                          <w:smallCaps w:val="false"/>
                          <w:sz w:val="20"/>
                        </w:rPr>
                        <w:t>in LC, associated with wholesale client captures in line with strategic decisions to strengthen our funding base.</w:t>
                      </w:r>
                    </w:p>
                    <w:p>
                      <w:pPr>
                        <w:pStyle w:val="TextBody"/>
                        <w:bidi w:val="0"/>
                        <w:spacing w:before="0" w:after="0"/>
                        <w:ind w:left="498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the dollarization level dropped 86 bps, explained mainly by the sol’s appreciation against the US dollar, which impacted our FC balances. Likewise, higher liquidity in Individuals, associated with pension fund withdrawals, and in </w:t>
                      </w:r>
                      <w:r>
                        <w:rPr>
                          <w:rFonts w:ascii="Times New Roman;Times;Serif" w:hAnsi="Times New Roman;Times;Serif"/>
                          <w:b/>
                          <w:i w:val="false"/>
                          <w:caps w:val="false"/>
                          <w:smallCaps w:val="false"/>
                          <w:sz w:val="20"/>
                        </w:rPr>
                        <w:t>Corporate Banking</w:t>
                      </w:r>
                      <w:r>
                        <w:rPr>
                          <w:rFonts w:ascii="Times New Roman;Times;Serif" w:hAnsi="Times New Roman;Times;Serif"/>
                          <w:b w:val="false"/>
                          <w:i w:val="false"/>
                          <w:caps w:val="false"/>
                          <w:smallCaps w:val="false"/>
                          <w:sz w:val="20"/>
                        </w:rPr>
                        <w:t>, linked to greater activity among institutional clients, contributed to this result.</w:t>
                      </w:r>
                    </w:p>
                  </w:txbxContent>
                </v:textbox>
                <w10:wrap type="square" side="left"/>
              </v:rect>
            </w:pict>
          </mc:Fallback>
        </mc:AlternateConten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Deposits by currency and type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(measured in period-end balances)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267575" cy="1790700"/>
            <wp:effectExtent l="0" t="0" r="0" b="0"/>
            <wp:docPr id="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3" descr=""/>
                    <pic:cNvPicPr>
                      <a:picLocks noChangeAspect="1" noChangeArrowheads="1"/>
                    </pic:cNvPicPr>
                  </pic:nvPicPr>
                  <pic:blipFill>
                    <a:blip r:embed="rId68"/>
                    <a:stretch>
                      <a:fillRect/>
                    </a:stretch>
                  </pic:blipFill>
                  <pic:spPr bwMode="auto">
                    <a:xfrm>
                      <a:off x="0" y="0"/>
                      <a:ext cx="7267575" cy="1790700"/>
                    </a:xfrm>
                    <a:prstGeom prst="rect">
                      <a:avLst/>
                    </a:prstGeom>
                  </pic:spPr>
                </pic:pic>
              </a:graphicData>
            </a:graphic>
          </wp:inline>
        </w:drawing>
      </w:r>
    </w:p>
    <w:p>
      <w:pPr>
        <w:pStyle w:val="TextBody"/>
        <w:bidi w:val="0"/>
        <w:spacing w:before="0" w:after="0"/>
        <w:ind w:left="203"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Loan / Deposit (L/D ratio)</w:t>
      </w:r>
    </w:p>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3110230" cy="1314450"/>
                <wp:effectExtent l="0" t="0" r="0" b="0"/>
                <wp:wrapSquare wrapText="right"/>
                <wp:docPr id="74" name="Frame7"/>
                <a:graphic xmlns:a="http://schemas.openxmlformats.org/drawingml/2006/main">
                  <a:graphicData uri="http://schemas.microsoft.com/office/word/2010/wordprocessingShape">
                    <wps:wsp>
                      <wps:cNvSpPr txBox="1"/>
                      <wps:spPr>
                        <a:xfrm>
                          <a:off x="0" y="0"/>
                          <a:ext cx="3110230" cy="1314450"/>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drawing>
                                <wp:inline distT="0" distB="0" distL="0" distR="0">
                                  <wp:extent cx="3381375" cy="1314450"/>
                                  <wp:effectExtent l="0" t="0" r="0" b="0"/>
                                  <wp:docPr id="7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4" descr=""/>
                                          <pic:cNvPicPr>
                                            <a:picLocks noChangeAspect="1" noChangeArrowheads="1"/>
                                          </pic:cNvPicPr>
                                        </pic:nvPicPr>
                                        <pic:blipFill>
                                          <a:blip r:embed="rId69"/>
                                          <a:stretch>
                                            <a:fillRect/>
                                          </a:stretch>
                                        </pic:blipFill>
                                        <pic:spPr bwMode="auto">
                                          <a:xfrm>
                                            <a:off x="0" y="0"/>
                                            <a:ext cx="3381375" cy="131445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rPr>
                      </w:pPr>
                      <w:r>
                        <w:rPr>
                          <w:caps w:val="false"/>
                          <w:smallCaps w:val="false"/>
                        </w:rPr>
                        <w:drawing>
                          <wp:inline distT="0" distB="0" distL="0" distR="0">
                            <wp:extent cx="3381375" cy="1314450"/>
                            <wp:effectExtent l="0" t="0" r="0" b="0"/>
                            <wp:docPr id="7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4" descr=""/>
                                    <pic:cNvPicPr>
                                      <a:picLocks noChangeAspect="1" noChangeArrowheads="1"/>
                                    </pic:cNvPicPr>
                                  </pic:nvPicPr>
                                  <pic:blipFill>
                                    <a:blip r:embed="rId70"/>
                                    <a:stretch>
                                      <a:fillRect/>
                                    </a:stretch>
                                  </pic:blipFill>
                                  <pic:spPr bwMode="auto">
                                    <a:xfrm>
                                      <a:off x="0" y="0"/>
                                      <a:ext cx="3381375" cy="131445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213">
                <wp:simplePos x="0" y="0"/>
                <wp:positionH relativeFrom="column">
                  <wp:align>right</wp:align>
                </wp:positionH>
                <wp:positionV relativeFrom="line">
                  <wp:posOffset>635</wp:posOffset>
                </wp:positionV>
                <wp:extent cx="3110230" cy="1466850"/>
                <wp:effectExtent l="0" t="0" r="0" b="0"/>
                <wp:wrapSquare wrapText="left"/>
                <wp:docPr id="77" name="Frame8"/>
                <a:graphic xmlns:a="http://schemas.openxmlformats.org/drawingml/2006/main">
                  <a:graphicData uri="http://schemas.microsoft.com/office/word/2010/wordprocessingShape">
                    <wps:wsp>
                      <wps:cNvSpPr txBox="1"/>
                      <wps:spPr>
                        <a:xfrm>
                          <a:off x="0" y="0"/>
                          <a:ext cx="3110230" cy="1466850"/>
                        </a:xfrm>
                        <a:prstGeom prst="rect"/>
                        <a:solidFill>
                          <a:srgbClr val="FFFFFF"/>
                        </a:solidFill>
                      </wps:spPr>
                      <wps:txbx>
                        <w:txbxContent>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QoQ, </w:t>
                            </w:r>
                            <w:r>
                              <w:rPr>
                                <w:rFonts w:ascii="Times New Roman;Times;Serif" w:hAnsi="Times New Roman;Times;Serif"/>
                                <w:b w:val="false"/>
                                <w:i w:val="false"/>
                                <w:caps w:val="false"/>
                                <w:smallCaps w:val="false"/>
                                <w:sz w:val="20"/>
                              </w:rPr>
                              <w:t xml:space="preserve">the L/D ratio rose 164 bps at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 xml:space="preserve">, driven mainly by growth in lending to our retail clients, which reactivated during the year. This growth was partially offset by an increase in Demand Deposits from our corporate clients. At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xml:space="preserve">, the ratio rose 188 bps, driven mainly by loan growth that has been gaining traction throughout the year, in a more favorable environment for the microfinance sector. This increase was partially offset by growth in </w:t>
                            </w:r>
                            <w:r>
                              <w:rPr>
                                <w:rFonts w:ascii="Times New Roman;Times;Serif" w:hAnsi="Times New Roman;Times;Serif"/>
                                <w:b/>
                                <w:i w:val="false"/>
                                <w:caps w:val="false"/>
                                <w:smallCaps w:val="false"/>
                                <w:sz w:val="20"/>
                              </w:rPr>
                              <w:t>Saving Deposits</w:t>
                            </w:r>
                            <w:r>
                              <w:rPr>
                                <w:rFonts w:ascii="Times New Roman;Times;Serif" w:hAnsi="Times New Roman;Times;Serif"/>
                                <w:b w:val="false"/>
                                <w:i w:val="false"/>
                                <w:caps w:val="false"/>
                                <w:smallCaps w:val="false"/>
                                <w:sz w:val="20"/>
                              </w:rPr>
                              <w:t>, driven by our efforts to capture higher balances amid greater system liquidity.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QoQ, </w:t>
                      </w:r>
                      <w:r>
                        <w:rPr>
                          <w:rFonts w:ascii="Times New Roman;Times;Serif" w:hAnsi="Times New Roman;Times;Serif"/>
                          <w:b w:val="false"/>
                          <w:i w:val="false"/>
                          <w:caps w:val="false"/>
                          <w:smallCaps w:val="false"/>
                          <w:sz w:val="20"/>
                        </w:rPr>
                        <w:t xml:space="preserve">the L/D ratio rose 164 bps at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 xml:space="preserve">, driven mainly by growth in lending to our retail clients, which reactivated during the year. This growth was partially offset by an increase in Demand Deposits from our corporate clients. At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xml:space="preserve">, the ratio rose 188 bps, driven mainly by loan growth that has been gaining traction throughout the year, in a more favorable environment for the microfinance sector. This increase was partially offset by growth in </w:t>
                      </w:r>
                      <w:r>
                        <w:rPr>
                          <w:rFonts w:ascii="Times New Roman;Times;Serif" w:hAnsi="Times New Roman;Times;Serif"/>
                          <w:b/>
                          <w:i w:val="false"/>
                          <w:caps w:val="false"/>
                          <w:smallCaps w:val="false"/>
                          <w:sz w:val="20"/>
                        </w:rPr>
                        <w:t>Saving Deposits</w:t>
                      </w:r>
                      <w:r>
                        <w:rPr>
                          <w:rFonts w:ascii="Times New Roman;Times;Serif" w:hAnsi="Times New Roman;Times;Serif"/>
                          <w:b w:val="false"/>
                          <w:i w:val="false"/>
                          <w:caps w:val="false"/>
                          <w:smallCaps w:val="false"/>
                          <w:sz w:val="20"/>
                        </w:rPr>
                        <w:t>, driven by our efforts to capture higher balances amid greater system liquidity.</w:t>
                      </w:r>
                    </w:p>
                  </w:txbxContent>
                </v:textbox>
                <w10:wrap type="square" side="lef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YoY, </w:t>
      </w:r>
      <w:r>
        <w:rPr>
          <w:rFonts w:ascii="Times New Roman;Times;Serif" w:hAnsi="Times New Roman;Times;Serif"/>
          <w:b w:val="false"/>
          <w:i w:val="false"/>
          <w:caps w:val="false"/>
          <w:smallCaps w:val="false"/>
          <w:sz w:val="20"/>
        </w:rPr>
        <w:t xml:space="preserve">the L/D ratio dropped 448 bps at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 xml:space="preserve">, driven mainly by stronger growth in Low-cost Deposits amid a higher-liquidity environment, where we captured deposits from both wholesale and retail clients. At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xml:space="preserve"> the ratio rose 1045 bps, driven by the loan growth described in the QoQ analysis. This increase was offset by growth in Savings Deposits, driven by the same dynamics seen QoQ.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28650"/>
            <wp:effectExtent l="0" t="0" r="0" b="0"/>
            <wp:docPr id="7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5" descr=""/>
                    <pic:cNvPicPr>
                      <a:picLocks noChangeAspect="1" noChangeArrowheads="1"/>
                    </pic:cNvPicPr>
                  </pic:nvPicPr>
                  <pic:blipFill>
                    <a:blip r:embed="rId71"/>
                    <a:stretch>
                      <a:fillRect/>
                    </a:stretch>
                  </pic:blipFill>
                  <pic:spPr bwMode="auto">
                    <a:xfrm>
                      <a:off x="0" y="0"/>
                      <a:ext cx="7620000" cy="62865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7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6" descr=""/>
                          <pic:cNvPicPr>
                            <a:picLocks noChangeAspect="1" noChangeArrowheads="1"/>
                          </pic:cNvPicPr>
                        </pic:nvPicPr>
                        <pic:blipFill>
                          <a:blip r:embed="rId72"/>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02. Deposits</w:t>
            </w:r>
          </w:p>
        </w:tc>
        <w:tc>
          <w:tcPr>
            <w:tcW w:w="2720" w:type="dxa"/>
            <w:tcBorders/>
            <w:shd w:fill="E93BAB"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that context, Credicorp’s L/D ratio stood at 87.5%.</w:t>
      </w:r>
    </w:p>
    <w:p>
      <w:pPr>
        <w:pStyle w:val="TextBody"/>
        <w:bidi w:val="0"/>
        <w:spacing w:before="0" w:after="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5010"/>
        <w:gridCol w:w="5010"/>
      </w:tblGrid>
      <w:tr>
        <w:trPr/>
        <w:tc>
          <w:tcPr>
            <w:tcW w:w="5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L/D Ratio in Local Currency</w:t>
            </w:r>
          </w:p>
        </w:tc>
        <w:tc>
          <w:tcPr>
            <w:tcW w:w="5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L/D Ratio in Foreing Currency</w:t>
            </w:r>
          </w:p>
        </w:tc>
      </w:tr>
      <w:tr>
        <w:trPr/>
        <w:tc>
          <w:tcPr>
            <w:tcW w:w="5010" w:type="dxa"/>
            <w:tcBorders/>
            <w:vAlign w:val="center"/>
          </w:tcPr>
          <w:p>
            <w:pPr>
              <w:pStyle w:val="TableContents"/>
              <w:bidi w:val="0"/>
              <w:spacing w:before="0" w:after="283"/>
              <w:jc w:val="center"/>
              <w:rPr/>
            </w:pPr>
            <w:r>
              <w:rPr/>
              <w:t> </w:t>
            </w:r>
          </w:p>
        </w:tc>
        <w:tc>
          <w:tcPr>
            <w:tcW w:w="5010" w:type="dxa"/>
            <w:tcBorders/>
            <w:vAlign w:val="center"/>
          </w:tcPr>
          <w:p>
            <w:pPr>
              <w:pStyle w:val="TableContents"/>
              <w:bidi w:val="0"/>
              <w:spacing w:before="0" w:after="283"/>
              <w:jc w:val="center"/>
              <w:rPr/>
            </w:pPr>
            <w:r>
              <w:rPr/>
              <w:t> </w:t>
            </w:r>
          </w:p>
        </w:tc>
      </w:tr>
      <w:tr>
        <w:trPr/>
        <w:tc>
          <w:tcPr>
            <w:tcW w:w="5010" w:type="dxa"/>
            <w:tcBorders/>
            <w:vAlign w:val="center"/>
          </w:tcPr>
          <w:p>
            <w:pPr>
              <w:pStyle w:val="TableContents"/>
              <w:bidi w:val="0"/>
              <w:spacing w:before="0" w:after="283"/>
              <w:jc w:val="center"/>
              <w:rPr/>
            </w:pPr>
            <w:r>
              <w:rPr/>
              <w:t> </w:t>
            </w:r>
            <w:r>
              <w:rPr/>
              <w:drawing>
                <wp:inline distT="0" distB="0" distL="0" distR="0">
                  <wp:extent cx="3143250" cy="1581150"/>
                  <wp:effectExtent l="0" t="0" r="0" b="0"/>
                  <wp:docPr id="8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7" descr=""/>
                          <pic:cNvPicPr>
                            <a:picLocks noChangeAspect="1" noChangeArrowheads="1"/>
                          </pic:cNvPicPr>
                        </pic:nvPicPr>
                        <pic:blipFill>
                          <a:blip r:embed="rId73"/>
                          <a:stretch>
                            <a:fillRect/>
                          </a:stretch>
                        </pic:blipFill>
                        <pic:spPr bwMode="auto">
                          <a:xfrm>
                            <a:off x="0" y="0"/>
                            <a:ext cx="3143250" cy="1581150"/>
                          </a:xfrm>
                          <a:prstGeom prst="rect">
                            <a:avLst/>
                          </a:prstGeom>
                        </pic:spPr>
                      </pic:pic>
                    </a:graphicData>
                  </a:graphic>
                </wp:inline>
              </w:drawing>
            </w:r>
          </w:p>
        </w:tc>
        <w:tc>
          <w:tcPr>
            <w:tcW w:w="5010" w:type="dxa"/>
            <w:tcBorders/>
            <w:vAlign w:val="center"/>
          </w:tcPr>
          <w:p>
            <w:pPr>
              <w:pStyle w:val="TableContents"/>
              <w:bidi w:val="0"/>
              <w:spacing w:before="0" w:after="283"/>
              <w:jc w:val="center"/>
              <w:rPr/>
            </w:pPr>
            <w:r>
              <w:rPr/>
              <w:drawing>
                <wp:inline distT="0" distB="0" distL="0" distR="0">
                  <wp:extent cx="3143250" cy="1400175"/>
                  <wp:effectExtent l="0" t="0" r="0" b="0"/>
                  <wp:docPr id="8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8" descr=""/>
                          <pic:cNvPicPr>
                            <a:picLocks noChangeAspect="1" noChangeArrowheads="1"/>
                          </pic:cNvPicPr>
                        </pic:nvPicPr>
                        <pic:blipFill>
                          <a:blip r:embed="rId74"/>
                          <a:stretch>
                            <a:fillRect/>
                          </a:stretch>
                        </pic:blipFill>
                        <pic:spPr bwMode="auto">
                          <a:xfrm>
                            <a:off x="0" y="0"/>
                            <a:ext cx="3143250" cy="1400175"/>
                          </a:xfrm>
                          <a:prstGeom prst="rect">
                            <a:avLst/>
                          </a:prstGeom>
                        </pic:spPr>
                      </pic:pic>
                    </a:graphicData>
                  </a:graphic>
                </wp:inline>
              </w:drawing>
            </w: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8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9" descr=""/>
                    <pic:cNvPicPr>
                      <a:picLocks noChangeAspect="1" noChangeArrowheads="1"/>
                    </pic:cNvPicPr>
                  </pic:nvPicPr>
                  <pic:blipFill>
                    <a:blip r:embed="rId75"/>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8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0" descr=""/>
                          <pic:cNvPicPr>
                            <a:picLocks noChangeAspect="1" noChangeArrowheads="1"/>
                          </pic:cNvPicPr>
                        </pic:nvPicPr>
                        <pic:blipFill>
                          <a:blip r:embed="rId76"/>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FF0000"/>
        </w:rPr>
      </w:pPr>
      <w:r>
        <w:rPr>
          <w:caps w:val="false"/>
          <w:smallCaps w:val="false"/>
          <w:color w:val="FF0000"/>
        </w:rPr>
        <w:t> </w:t>
      </w:r>
    </w:p>
    <w:tbl>
      <w:tblPr>
        <w:tblW w:w="6835" w:type="dxa"/>
        <w:jc w:val="left"/>
        <w:tblInd w:w="0" w:type="dxa"/>
        <w:tblLayout w:type="fixed"/>
        <w:tblCellMar>
          <w:top w:w="0" w:type="dxa"/>
          <w:left w:w="0" w:type="dxa"/>
          <w:bottom w:w="0" w:type="dxa"/>
          <w:right w:w="0" w:type="dxa"/>
        </w:tblCellMar>
      </w:tblPr>
      <w:tblGrid>
        <w:gridCol w:w="635"/>
        <w:gridCol w:w="6200"/>
      </w:tblGrid>
      <w:tr>
        <w:trPr/>
        <w:tc>
          <w:tcPr>
            <w:tcW w:w="635" w:type="dxa"/>
            <w:tcBorders/>
            <w:vAlign w:val="center"/>
          </w:tcPr>
          <w:p>
            <w:pPr>
              <w:pStyle w:val="TableContents"/>
              <w:bidi w:val="0"/>
              <w:spacing w:before="0" w:after="283"/>
              <w:jc w:val="left"/>
              <w:rPr>
                <w:rFonts w:ascii="Times New Roman;Times;Serif" w:hAnsi="Times New Roman;Times;Serif"/>
                <w:b/>
                <w:i w:val="false"/>
                <w:caps w:val="false"/>
                <w:smallCaps w:val="false"/>
                <w:sz w:val="58"/>
              </w:rPr>
            </w:pPr>
            <w:r>
              <w:rPr>
                <w:rFonts w:ascii="Times New Roman;Times;Serif" w:hAnsi="Times New Roman;Times;Serif"/>
                <w:b/>
                <w:i w:val="false"/>
                <w:caps w:val="false"/>
                <w:smallCaps w:val="false"/>
                <w:sz w:val="58"/>
              </w:rPr>
              <w:t>03</w:t>
            </w:r>
          </w:p>
        </w:tc>
        <w:tc>
          <w:tcPr>
            <w:tcW w:w="6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Interest-earning Assets (IEA) and Funding</w:t>
            </w:r>
          </w:p>
        </w:tc>
      </w:tr>
    </w:tbl>
    <w:tbl>
      <w:tblPr>
        <w:tblW w:w="10205" w:type="dxa"/>
        <w:jc w:val="left"/>
        <w:tblInd w:w="0" w:type="dxa"/>
        <w:shd w:fill="E93BAB" w:val="clear"/>
        <w:tblLayout w:type="fixed"/>
        <w:tblCellMar>
          <w:top w:w="0" w:type="dxa"/>
          <w:left w:w="0" w:type="dxa"/>
          <w:bottom w:w="0" w:type="dxa"/>
          <w:right w:w="0" w:type="dxa"/>
        </w:tblCellMar>
      </w:tblPr>
      <w:tblGrid>
        <w:gridCol w:w="75"/>
        <w:gridCol w:w="10055"/>
        <w:gridCol w:w="75"/>
      </w:tblGrid>
      <w:tr>
        <w:trPr/>
        <w:tc>
          <w:tcPr>
            <w:tcW w:w="75" w:type="dxa"/>
            <w:tcBorders/>
            <w:shd w:fill="E93BAB" w:val="clear"/>
            <w:vAlign w:val="center"/>
          </w:tcPr>
          <w:p>
            <w:pPr>
              <w:pStyle w:val="TableContents"/>
              <w:bidi w:val="0"/>
              <w:spacing w:before="0" w:after="283"/>
              <w:jc w:val="left"/>
              <w:rPr>
                <w:color w:val="FFFFFF"/>
              </w:rPr>
            </w:pPr>
            <w:r>
              <w:rPr>
                <w:color w:val="FFFFFF"/>
              </w:rPr>
              <w:t> </w:t>
            </w:r>
          </w:p>
        </w:tc>
        <w:tc>
          <w:tcPr>
            <w:tcW w:w="10055" w:type="dxa"/>
            <w:tcBorders/>
            <w:shd w:fill="E93BAB" w:val="clear"/>
            <w:vAlign w:val="center"/>
          </w:tcPr>
          <w:p>
            <w:pPr>
              <w:pStyle w:val="TableContents"/>
              <w:bidi w:val="0"/>
              <w:spacing w:before="60" w:after="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In 2Q26, IEA grew 1.6% QoQ, rising on the back of growth in the loan balances at BCP (through Wholesale and Retail Banking) and Mibanco. Funding rose 3.5%, driven by an increase in Deposits and Obligations, mainly reflecting higher balances for Low-cost deposits, supported by increased activity among corporate clients and BCP’s strong principality.</w:t>
            </w:r>
          </w:p>
          <w:p>
            <w:pPr>
              <w:pStyle w:val="TableContents"/>
              <w:bidi w:val="0"/>
              <w:spacing w:before="0" w:after="0"/>
              <w:jc w:val="both"/>
              <w:rPr>
                <w:caps w:val="false"/>
                <w:smallCaps w:val="false"/>
                <w:color w:val="FFFFFF"/>
              </w:rPr>
            </w:pPr>
            <w:r>
              <w:rPr>
                <w:caps w:val="false"/>
                <w:smallCaps w:val="false"/>
                <w:color w:val="FFFFFF"/>
              </w:rPr>
              <w:t> </w:t>
            </w:r>
          </w:p>
          <w:p>
            <w:pPr>
              <w:pStyle w:val="TableContents"/>
              <w:bidi w:val="0"/>
              <w:spacing w:before="0" w:after="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YoY, IEA increased 12.2%. This evolution was fueled mainly by loan growth, which was driven by both Wholesale and Retail Banking at BCP. Total Investments, which rose under a strategy to capitalize surplus liquidity, was a secondary driver of the expansion in IEA, followed by an increase in Cash and due from banks. On the funding side (+14.7% YoY), the primary driver of growth was an increase in deposits, which was partially offset by a drop in the balances for repurchase agreements with clients and third parties and BCRP instruments. </w:t>
            </w:r>
          </w:p>
        </w:tc>
        <w:tc>
          <w:tcPr>
            <w:tcW w:w="75"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IEA</w:t>
      </w:r>
    </w:p>
    <w:p>
      <w:pPr>
        <w:pStyle w:val="TextBody"/>
        <w:bidi w:val="0"/>
        <w:spacing w:before="0" w:after="0"/>
        <w:jc w:val="left"/>
        <w:rPr>
          <w:caps w:val="false"/>
          <w:smallCaps w:val="false"/>
        </w:rPr>
      </w:pPr>
      <w:r>
        <w:rPr>
          <w:caps w:val="false"/>
          <w:smallCaps w:val="false"/>
        </w:rPr>
        <w:t> </w:t>
      </w:r>
    </w:p>
    <w:tbl>
      <w:tblPr>
        <w:tblW w:w="8805" w:type="dxa"/>
        <w:jc w:val="left"/>
        <w:tblInd w:w="-10" w:type="dxa"/>
        <w:tblLayout w:type="fixed"/>
        <w:tblCellMar>
          <w:top w:w="28" w:type="dxa"/>
          <w:left w:w="100" w:type="dxa"/>
          <w:bottom w:w="0" w:type="dxa"/>
          <w:right w:w="100" w:type="dxa"/>
        </w:tblCellMar>
      </w:tblPr>
      <w:tblGrid>
        <w:gridCol w:w="4985"/>
        <w:gridCol w:w="920"/>
        <w:gridCol w:w="920"/>
        <w:gridCol w:w="920"/>
        <w:gridCol w:w="530"/>
        <w:gridCol w:w="530"/>
      </w:tblGrid>
      <w:tr>
        <w:trPr/>
        <w:tc>
          <w:tcPr>
            <w:tcW w:w="498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Interest earning assets</w:t>
            </w:r>
          </w:p>
        </w:tc>
        <w:tc>
          <w:tcPr>
            <w:tcW w:w="276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06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498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S/000</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92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3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3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498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due from banks</w:t>
            </w:r>
          </w:p>
        </w:tc>
        <w:tc>
          <w:tcPr>
            <w:tcW w:w="92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34,206,000</w:t>
            </w:r>
          </w:p>
        </w:tc>
        <w:tc>
          <w:tcPr>
            <w:tcW w:w="92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42,979,690</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40,553,153</w:t>
            </w:r>
          </w:p>
        </w:tc>
        <w:tc>
          <w:tcPr>
            <w:tcW w:w="5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w:t>
            </w:r>
          </w:p>
        </w:tc>
        <w:tc>
          <w:tcPr>
            <w:tcW w:w="53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w:t>
            </w:r>
          </w:p>
        </w:tc>
      </w:tr>
      <w:tr>
        <w:trPr/>
        <w:tc>
          <w:tcPr>
            <w:tcW w:w="498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investments</w:t>
            </w:r>
          </w:p>
        </w:tc>
        <w:tc>
          <w:tcPr>
            <w:tcW w:w="92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51,603,447</w:t>
            </w:r>
          </w:p>
        </w:tc>
        <w:tc>
          <w:tcPr>
            <w:tcW w:w="92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57,505,821</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58,430,063</w:t>
            </w:r>
          </w:p>
        </w:tc>
        <w:tc>
          <w:tcPr>
            <w:tcW w:w="5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53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13.2%</w:t>
            </w:r>
          </w:p>
        </w:tc>
      </w:tr>
      <w:tr>
        <w:trPr/>
        <w:tc>
          <w:tcPr>
            <w:tcW w:w="498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collateral, reverse repurchase agreements and securities borrowing</w:t>
            </w:r>
          </w:p>
        </w:tc>
        <w:tc>
          <w:tcPr>
            <w:tcW w:w="92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4,593,501</w:t>
            </w:r>
          </w:p>
        </w:tc>
        <w:tc>
          <w:tcPr>
            <w:tcW w:w="92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2,211,576</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1,185,971</w:t>
            </w:r>
          </w:p>
        </w:tc>
        <w:tc>
          <w:tcPr>
            <w:tcW w:w="5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-46.4%</w:t>
            </w:r>
          </w:p>
        </w:tc>
        <w:tc>
          <w:tcPr>
            <w:tcW w:w="53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-74.2%</w:t>
            </w:r>
          </w:p>
        </w:tc>
      </w:tr>
      <w:tr>
        <w:trPr/>
        <w:tc>
          <w:tcPr>
            <w:tcW w:w="4985"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Loans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140,961,978</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152,824,685</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159,434,397</w:t>
            </w:r>
          </w:p>
        </w:tc>
        <w:tc>
          <w:tcPr>
            <w:tcW w:w="5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w:t>
            </w:r>
          </w:p>
        </w:tc>
        <w:tc>
          <w:tcPr>
            <w:tcW w:w="5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w:t>
            </w:r>
          </w:p>
        </w:tc>
      </w:tr>
      <w:tr>
        <w:trPr/>
        <w:tc>
          <w:tcPr>
            <w:tcW w:w="4985"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interest earning assets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231,364,926</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255,521,772</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259,603,584</w:t>
            </w:r>
          </w:p>
        </w:tc>
        <w:tc>
          <w:tcPr>
            <w:tcW w:w="5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w:t>
            </w:r>
          </w:p>
        </w:tc>
        <w:tc>
          <w:tcPr>
            <w:tcW w:w="5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IEA expanded 1.6%. This evolution was fueled mainly by growth in the loan balance, which was driven by the dynamics explained in chapter </w:t>
      </w:r>
      <w:r>
        <w:rPr>
          <w:rFonts w:ascii="Times New Roman;Times;Serif" w:hAnsi="Times New Roman;Times;Serif"/>
          <w:b/>
          <w:i w:val="false"/>
          <w:caps w:val="false"/>
          <w:smallCaps w:val="false"/>
          <w:sz w:val="20"/>
        </w:rPr>
        <w:t>1. Loan Portfolio</w:t>
      </w:r>
      <w:r>
        <w:rPr>
          <w:rFonts w:ascii="Times New Roman;Times;Serif" w:hAnsi="Times New Roman;Times;Serif"/>
          <w:b w:val="false"/>
          <w:i w:val="false"/>
          <w:caps w:val="false"/>
          <w:smallCaps w:val="false"/>
          <w:sz w:val="20"/>
        </w:rPr>
        <w:t>. The uptick in the balance for investment under a strategy to capitalize on surplus liquidity also drove the increase in IEA, albeit to a lesser extent.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IEA expanded 12.2%. This evolution was attributable to the following factors, in order of impact: i) an increase in the Loa n balance, driven mainly by BCP Stand-alone (both Retail and Wholesale Banking) and to a lesser extent, by Mibanco; ii) growth in the balance of the investment portfolio, which was fueled by the same dynamics explained in the QoQ analysis; and iii) growth in Cash and due to banks, which was spurred by our investment strategy to capitalize surplus liquidity from an uptick in transactional activity among corporate clients at BCP.</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Funding</w:t>
      </w:r>
    </w:p>
    <w:p>
      <w:pPr>
        <w:pStyle w:val="TextBody"/>
        <w:bidi w:val="0"/>
        <w:spacing w:before="0" w:after="0"/>
        <w:jc w:val="left"/>
        <w:rPr>
          <w:caps w:val="false"/>
          <w:smallCaps w:val="false"/>
        </w:rPr>
      </w:pPr>
      <w:r>
        <w:rPr>
          <w:caps w:val="false"/>
          <w:smallCaps w:val="false"/>
        </w:rPr>
        <w:t> </w:t>
      </w:r>
    </w:p>
    <w:tbl>
      <w:tblPr>
        <w:tblW w:w="7395" w:type="dxa"/>
        <w:jc w:val="left"/>
        <w:tblInd w:w="-10" w:type="dxa"/>
        <w:tblLayout w:type="fixed"/>
        <w:tblCellMar>
          <w:top w:w="28" w:type="dxa"/>
          <w:left w:w="100" w:type="dxa"/>
          <w:bottom w:w="0" w:type="dxa"/>
          <w:right w:w="0" w:type="dxa"/>
        </w:tblCellMar>
      </w:tblPr>
      <w:tblGrid>
        <w:gridCol w:w="3635"/>
        <w:gridCol w:w="920"/>
        <w:gridCol w:w="920"/>
        <w:gridCol w:w="920"/>
        <w:gridCol w:w="470"/>
        <w:gridCol w:w="530"/>
      </w:tblGrid>
      <w:tr>
        <w:trPr/>
        <w:tc>
          <w:tcPr>
            <w:tcW w:w="3635" w:type="dxa"/>
            <w:tcBorders>
              <w:top w:val="single" w:sz="8" w:space="0" w:color="000000"/>
              <w:lef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Funding</w:t>
            </w:r>
          </w:p>
        </w:tc>
        <w:tc>
          <w:tcPr>
            <w:tcW w:w="2760" w:type="dxa"/>
            <w:gridSpan w:val="3"/>
            <w:tcBorders>
              <w:top w:val="single" w:sz="8" w:space="0" w:color="000000"/>
              <w:left w:val="single" w:sz="8" w:space="0" w:color="000000"/>
              <w:right w:val="single" w:sz="8" w:space="0" w:color="000000"/>
            </w:tcBorders>
            <w:shd w:fill="2AD2C9" w:val="clear"/>
            <w:tcMar>
              <w:right w:w="10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000" w:type="dxa"/>
            <w:gridSpan w:val="2"/>
            <w:tcBorders>
              <w:top w:val="single" w:sz="8" w:space="0" w:color="000000"/>
              <w:right w:val="single" w:sz="8" w:space="0" w:color="000000"/>
            </w:tcBorders>
            <w:shd w:fill="2AD2C9" w:val="clear"/>
            <w:tcMar>
              <w:left w:w="0" w:type="dxa"/>
              <w:right w:w="10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63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S/000</w:t>
            </w:r>
          </w:p>
        </w:tc>
        <w:tc>
          <w:tcPr>
            <w:tcW w:w="920" w:type="dxa"/>
            <w:tcBorders>
              <w:left w:val="single" w:sz="8" w:space="0" w:color="000000"/>
            </w:tcBorders>
            <w:shd w:fill="2AD2C9" w:val="clear"/>
            <w:tcMar>
              <w:top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920" w:type="dxa"/>
            <w:tcBorders>
              <w:right w:val="single" w:sz="8" w:space="0" w:color="000000"/>
            </w:tcBorders>
            <w:shd w:fill="2AD2C9" w:val="clear"/>
            <w:tcMar>
              <w:top w:w="0" w:type="dxa"/>
              <w:left w:w="0" w:type="dxa"/>
              <w:right w:w="10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470" w:type="dxa"/>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30" w:type="dxa"/>
            <w:tcBorders>
              <w:right w:val="single" w:sz="8" w:space="0" w:color="000000"/>
            </w:tcBorders>
            <w:shd w:fill="2AD2C9" w:val="clear"/>
            <w:tcMar>
              <w:top w:w="0" w:type="dxa"/>
              <w:left w:w="0" w:type="dxa"/>
              <w:right w:w="10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363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Deposits and obligations</w:t>
            </w:r>
          </w:p>
        </w:tc>
        <w:tc>
          <w:tcPr>
            <w:tcW w:w="92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154,723,334</w:t>
            </w:r>
          </w:p>
        </w:tc>
        <w:tc>
          <w:tcPr>
            <w:tcW w:w="92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178,880,666</w:t>
            </w:r>
          </w:p>
        </w:tc>
        <w:tc>
          <w:tcPr>
            <w:tcW w:w="920" w:type="dxa"/>
            <w:tcBorders>
              <w:top w:val="single" w:sz="8" w:space="0" w:color="000000"/>
              <w:right w:val="single" w:sz="8" w:space="0" w:color="000000"/>
            </w:tcBorders>
            <w:tcMar>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182,120,766</w:t>
            </w:r>
          </w:p>
        </w:tc>
        <w:tc>
          <w:tcPr>
            <w:tcW w:w="47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w:t>
            </w:r>
          </w:p>
        </w:tc>
        <w:tc>
          <w:tcPr>
            <w:tcW w:w="530" w:type="dxa"/>
            <w:tcBorders>
              <w:top w:val="single" w:sz="8" w:space="0" w:color="000000"/>
              <w:right w:val="single" w:sz="8" w:space="0" w:color="000000"/>
            </w:tcBorders>
            <w:tcMar>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17.7%</w:t>
            </w:r>
          </w:p>
        </w:tc>
      </w:tr>
      <w:tr>
        <w:trPr/>
        <w:tc>
          <w:tcPr>
            <w:tcW w:w="363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Due to banks and correspondents</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11,152,813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10,213,175</w:t>
            </w:r>
          </w:p>
        </w:tc>
        <w:tc>
          <w:tcPr>
            <w:tcW w:w="920" w:type="dxa"/>
            <w:tcBorders>
              <w:right w:val="single" w:sz="8" w:space="0" w:color="000000"/>
            </w:tcBorders>
            <w:tcMar>
              <w:top w:w="0" w:type="dxa"/>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11,755,256</w:t>
            </w:r>
          </w:p>
        </w:tc>
        <w:tc>
          <w:tcPr>
            <w:tcW w:w="47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w:t>
            </w:r>
          </w:p>
        </w:tc>
        <w:tc>
          <w:tcPr>
            <w:tcW w:w="530" w:type="dxa"/>
            <w:tcBorders>
              <w:right w:val="single" w:sz="8" w:space="0" w:color="000000"/>
            </w:tcBorders>
            <w:tcMar>
              <w:top w:w="0" w:type="dxa"/>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r>
      <w:tr>
        <w:trPr/>
        <w:tc>
          <w:tcPr>
            <w:tcW w:w="363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BCRP instruments</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5,096,459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2,338,426</w:t>
            </w:r>
          </w:p>
        </w:tc>
        <w:tc>
          <w:tcPr>
            <w:tcW w:w="920" w:type="dxa"/>
            <w:tcBorders>
              <w:right w:val="single" w:sz="8" w:space="0" w:color="000000"/>
            </w:tcBorders>
            <w:tcMar>
              <w:top w:w="0" w:type="dxa"/>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4,043,986</w:t>
            </w:r>
          </w:p>
        </w:tc>
        <w:tc>
          <w:tcPr>
            <w:tcW w:w="47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72.9%</w:t>
            </w:r>
          </w:p>
        </w:tc>
        <w:tc>
          <w:tcPr>
            <w:tcW w:w="530" w:type="dxa"/>
            <w:tcBorders>
              <w:right w:val="single" w:sz="8" w:space="0" w:color="000000"/>
            </w:tcBorders>
            <w:tcMar>
              <w:top w:w="0" w:type="dxa"/>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-20.7%</w:t>
            </w:r>
          </w:p>
        </w:tc>
      </w:tr>
      <w:tr>
        <w:trPr/>
        <w:tc>
          <w:tcPr>
            <w:tcW w:w="363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Repurchase agreements with clients and third parties</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6,168,934</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3,534,049</w:t>
            </w:r>
          </w:p>
        </w:tc>
        <w:tc>
          <w:tcPr>
            <w:tcW w:w="920" w:type="dxa"/>
            <w:tcBorders>
              <w:right w:val="single" w:sz="8" w:space="0" w:color="000000"/>
            </w:tcBorders>
            <w:tcMar>
              <w:top w:w="0" w:type="dxa"/>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4,332,500</w:t>
            </w:r>
          </w:p>
        </w:tc>
        <w:tc>
          <w:tcPr>
            <w:tcW w:w="47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22.6%</w:t>
            </w:r>
          </w:p>
        </w:tc>
        <w:tc>
          <w:tcPr>
            <w:tcW w:w="530" w:type="dxa"/>
            <w:tcBorders>
              <w:right w:val="single" w:sz="8" w:space="0" w:color="000000"/>
            </w:tcBorders>
            <w:tcMar>
              <w:top w:w="0" w:type="dxa"/>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-29.8%</w:t>
            </w:r>
          </w:p>
        </w:tc>
      </w:tr>
      <w:tr>
        <w:trPr/>
        <w:tc>
          <w:tcPr>
            <w:tcW w:w="363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Bonds and notes issued</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12,112,403</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14,750,710</w:t>
            </w:r>
          </w:p>
        </w:tc>
        <w:tc>
          <w:tcPr>
            <w:tcW w:w="920" w:type="dxa"/>
            <w:tcBorders>
              <w:right w:val="single" w:sz="8" w:space="0" w:color="000000"/>
            </w:tcBorders>
            <w:tcMar>
              <w:top w:w="0" w:type="dxa"/>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14,789,015</w:t>
            </w:r>
          </w:p>
        </w:tc>
        <w:tc>
          <w:tcPr>
            <w:tcW w:w="47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0.3%</w:t>
            </w:r>
          </w:p>
        </w:tc>
        <w:tc>
          <w:tcPr>
            <w:tcW w:w="530" w:type="dxa"/>
            <w:tcBorders>
              <w:right w:val="single" w:sz="8" w:space="0" w:color="000000"/>
            </w:tcBorders>
            <w:tcMar>
              <w:top w:w="0" w:type="dxa"/>
              <w:left w:w="0" w:type="dxa"/>
              <w:right w:w="10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22.1%</w:t>
            </w:r>
          </w:p>
        </w:tc>
      </w:tr>
      <w:tr>
        <w:trPr/>
        <w:tc>
          <w:tcPr>
            <w:tcW w:w="363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funding</w:t>
            </w:r>
          </w:p>
        </w:tc>
        <w:tc>
          <w:tcPr>
            <w:tcW w:w="92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189,253,943</w:t>
            </w:r>
          </w:p>
        </w:tc>
        <w:tc>
          <w:tcPr>
            <w:tcW w:w="92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209,717,026</w:t>
            </w:r>
          </w:p>
        </w:tc>
        <w:tc>
          <w:tcPr>
            <w:tcW w:w="920" w:type="dxa"/>
            <w:tcBorders>
              <w:top w:val="single" w:sz="8" w:space="0" w:color="000000"/>
              <w:bottom w:val="single" w:sz="8" w:space="0" w:color="000000"/>
              <w:right w:val="single" w:sz="8" w:space="0" w:color="000000"/>
            </w:tcBorders>
            <w:tcMar>
              <w:left w:w="0" w:type="dxa"/>
              <w:bottom w:w="28" w:type="dxa"/>
              <w:right w:w="10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217,041,523</w:t>
            </w:r>
          </w:p>
        </w:tc>
        <w:tc>
          <w:tcPr>
            <w:tcW w:w="47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w:t>
            </w:r>
          </w:p>
        </w:tc>
        <w:tc>
          <w:tcPr>
            <w:tcW w:w="530" w:type="dxa"/>
            <w:tcBorders>
              <w:top w:val="single" w:sz="8" w:space="0" w:color="000000"/>
              <w:bottom w:val="single" w:sz="8" w:space="0" w:color="000000"/>
              <w:right w:val="single" w:sz="8" w:space="0" w:color="000000"/>
            </w:tcBorders>
            <w:tcMar>
              <w:left w:w="0" w:type="dxa"/>
              <w:bottom w:w="28" w:type="dxa"/>
              <w:right w:w="10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funding rose 3.5%, driven mainly by an increase in Deposits and Obligations, which mainly reflects growth in Low-cost Deposits, and, to a lesser extent, by an uptick in Time deposits. Expansion in low-cost deposits was fueled by an increase in transactional activity among corporate clients, reflecting BCP’s solid principality and robust transactional offering. The balance for BCRP instruments rose, fueled by a base effect driven by the monetary entity’s decision in March to reduce repurchase agreement offerings in a high-liquidity environment.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Funding increased 14.7%, fueled mainly by growth in the balance for Deposits and Obligations, which rose on the back of expansion in low-cost deposits following inflows of funds from pension fund withdrawals. Growth in the deposit balance was partially offset by a reduction in the balance for Repurchase agreements with clients and third parties, and in BCRP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57225"/>
            <wp:effectExtent l="0" t="0" r="0" b="0"/>
            <wp:docPr id="8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1" descr=""/>
                    <pic:cNvPicPr>
                      <a:picLocks noChangeAspect="1" noChangeArrowheads="1"/>
                    </pic:cNvPicPr>
                  </pic:nvPicPr>
                  <pic:blipFill>
                    <a:blip r:embed="rId77"/>
                    <a:stretch>
                      <a:fillRect/>
                    </a:stretch>
                  </pic:blipFill>
                  <pic:spPr bwMode="auto">
                    <a:xfrm>
                      <a:off x="0" y="0"/>
                      <a:ext cx="7620000" cy="657225"/>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8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2" descr=""/>
                          <pic:cNvPicPr>
                            <a:picLocks noChangeAspect="1" noChangeArrowheads="1"/>
                          </pic:cNvPicPr>
                        </pic:nvPicPr>
                        <pic:blipFill>
                          <a:blip r:embed="rId78"/>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FF0000"/>
        </w:rPr>
      </w:pPr>
      <w:r>
        <w:rPr>
          <w:caps w:val="false"/>
          <w:smallCaps w:val="false"/>
          <w:color w:val="FF0000"/>
        </w:rPr>
        <w:t> </w:t>
      </w:r>
    </w:p>
    <w:tbl>
      <w:tblPr>
        <w:tblW w:w="4390" w:type="dxa"/>
        <w:jc w:val="left"/>
        <w:tblInd w:w="0" w:type="dxa"/>
        <w:tblLayout w:type="fixed"/>
        <w:tblCellMar>
          <w:top w:w="0" w:type="dxa"/>
          <w:left w:w="0" w:type="dxa"/>
          <w:bottom w:w="0" w:type="dxa"/>
          <w:right w:w="0" w:type="dxa"/>
        </w:tblCellMar>
      </w:tblPr>
      <w:tblGrid>
        <w:gridCol w:w="635"/>
        <w:gridCol w:w="3755"/>
      </w:tblGrid>
      <w:tr>
        <w:trPr/>
        <w:tc>
          <w:tcPr>
            <w:tcW w:w="635" w:type="dxa"/>
            <w:tcBorders/>
            <w:vAlign w:val="center"/>
          </w:tcPr>
          <w:p>
            <w:pPr>
              <w:pStyle w:val="TableContents"/>
              <w:bidi w:val="0"/>
              <w:spacing w:before="0" w:after="283"/>
              <w:jc w:val="left"/>
              <w:rPr>
                <w:rFonts w:ascii="Times New Roman;Times;Serif" w:hAnsi="Times New Roman;Times;Serif"/>
                <w:b/>
                <w:i w:val="false"/>
                <w:caps w:val="false"/>
                <w:smallCaps w:val="false"/>
                <w:sz w:val="58"/>
              </w:rPr>
            </w:pPr>
            <w:r>
              <w:rPr>
                <w:rFonts w:ascii="Times New Roman;Times;Serif" w:hAnsi="Times New Roman;Times;Serif"/>
                <w:b/>
                <w:i w:val="false"/>
                <w:caps w:val="false"/>
                <w:smallCaps w:val="false"/>
                <w:sz w:val="58"/>
              </w:rPr>
              <w:t>04</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Net Interest Income (NII)</w:t>
            </w:r>
          </w:p>
        </w:tc>
      </w:tr>
    </w:tbl>
    <w:tbl>
      <w:tblPr>
        <w:tblW w:w="10205" w:type="dxa"/>
        <w:jc w:val="left"/>
        <w:tblInd w:w="0" w:type="dxa"/>
        <w:shd w:fill="E93BAB" w:val="clear"/>
        <w:tblLayout w:type="fixed"/>
        <w:tblCellMar>
          <w:top w:w="0" w:type="dxa"/>
          <w:left w:w="0" w:type="dxa"/>
          <w:bottom w:w="0" w:type="dxa"/>
          <w:right w:w="0" w:type="dxa"/>
        </w:tblCellMar>
      </w:tblPr>
      <w:tblGrid>
        <w:gridCol w:w="75"/>
        <w:gridCol w:w="10055"/>
        <w:gridCol w:w="75"/>
      </w:tblGrid>
      <w:tr>
        <w:trPr/>
        <w:tc>
          <w:tcPr>
            <w:tcW w:w="75" w:type="dxa"/>
            <w:tcBorders/>
            <w:shd w:fill="E93BAB" w:val="clear"/>
            <w:vAlign w:val="center"/>
          </w:tcPr>
          <w:p>
            <w:pPr>
              <w:pStyle w:val="TableContents"/>
              <w:bidi w:val="0"/>
              <w:spacing w:before="0" w:after="283"/>
              <w:jc w:val="left"/>
              <w:rPr/>
            </w:pPr>
            <w:r>
              <w:rPr/>
              <w:t> </w:t>
            </w:r>
          </w:p>
        </w:tc>
        <w:tc>
          <w:tcPr>
            <w:tcW w:w="10055" w:type="dxa"/>
            <w:tcBorders/>
            <w:shd w:fill="E93BAB" w:val="clear"/>
            <w:vAlign w:val="center"/>
          </w:tcPr>
          <w:p>
            <w:pPr>
              <w:pStyle w:val="TableContents"/>
              <w:bidi w:val="0"/>
              <w:spacing w:before="60" w:after="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NII ticked up 3.4% QoQ, driven mainly by growth in interest income from loans, in line with growth in the Retail Banking portfolio at BCP and at Mibanco. This dynamic was partially offset by growth in Interest expenses on deposits and for Due to Banks and correspondents.</w:t>
            </w:r>
          </w:p>
          <w:p>
            <w:pPr>
              <w:pStyle w:val="TableContents"/>
              <w:bidi w:val="0"/>
              <w:spacing w:before="0" w:after="0"/>
              <w:jc w:val="both"/>
              <w:rPr>
                <w:caps w:val="false"/>
                <w:smallCaps w:val="false"/>
                <w:color w:val="FFFFFF"/>
              </w:rPr>
            </w:pPr>
            <w:r>
              <w:rPr>
                <w:caps w:val="false"/>
                <w:smallCaps w:val="false"/>
                <w:color w:val="FFFFFF"/>
              </w:rPr>
              <w:t> </w:t>
            </w:r>
          </w:p>
          <w:p>
            <w:pPr>
              <w:pStyle w:val="TableContents"/>
              <w:bidi w:val="0"/>
              <w:spacing w:before="0" w:after="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YoY, NII rose 13.3%. This evolution was fueled primarily by growth in Interest and similar income, which was spurred by loan growth. The decline in Similar interest and expenses, in a context marked by lower interest rates and an increase in market liquidity, also contributed to the increase in NII.</w:t>
            </w:r>
          </w:p>
          <w:p>
            <w:pPr>
              <w:pStyle w:val="TableContents"/>
              <w:bidi w:val="0"/>
              <w:spacing w:before="0" w:after="0"/>
              <w:jc w:val="both"/>
              <w:rPr>
                <w:caps w:val="false"/>
                <w:smallCaps w:val="false"/>
                <w:color w:val="FFFFFF"/>
              </w:rPr>
            </w:pPr>
            <w:r>
              <w:rPr>
                <w:caps w:val="false"/>
                <w:smallCaps w:val="false"/>
                <w:color w:val="FFFFFF"/>
              </w:rPr>
              <w:t> </w:t>
            </w:r>
          </w:p>
          <w:p>
            <w:pPr>
              <w:pStyle w:val="TableContents"/>
              <w:bidi w:val="0"/>
              <w:spacing w:before="0" w:after="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NIM expanded 21 bps YoY to stand at 6.63%. This growth was driven mainly by a reduction in the cost of funding and a resilient IEA yield. Risk-adjusted NIM stood at 5.49% (+5 bps YoY), rising on the back of an improvement in client payment performance, which also drove a drop in the cost of risk. </w:t>
            </w:r>
          </w:p>
        </w:tc>
        <w:tc>
          <w:tcPr>
            <w:tcW w:w="75" w:type="dxa"/>
            <w:tcBorders/>
            <w:shd w:fill="E93BAB" w:val="clear"/>
            <w:vAlign w:val="center"/>
          </w:tcPr>
          <w:p>
            <w:pPr>
              <w:pStyle w:val="TableContents"/>
              <w:bidi w:val="0"/>
              <w:spacing w:before="0" w:after="0"/>
              <w:jc w:val="left"/>
              <w:rPr/>
            </w:pPr>
            <w:r>
              <w:rPr/>
              <w:t> </w:t>
            </w:r>
          </w:p>
          <w:p>
            <w:pPr>
              <w:pStyle w:val="TableContents"/>
              <w:bidi w:val="0"/>
              <w:spacing w:before="0" w:after="0"/>
              <w:jc w:val="left"/>
              <w:rPr/>
            </w:pPr>
            <w:r>
              <w:rPr/>
              <w:t> </w:t>
            </w:r>
          </w:p>
        </w:tc>
      </w:tr>
    </w:tbl>
    <w:p>
      <w:pPr>
        <w:pStyle w:val="TextBody"/>
        <w:bidi w:val="0"/>
        <w:spacing w:before="0" w:after="0"/>
        <w:jc w:val="left"/>
        <w:rPr>
          <w:caps w:val="false"/>
          <w:smallCaps w:val="false"/>
          <w:color w:val="FF0000"/>
        </w:rPr>
      </w:pPr>
      <w:r>
        <w:rPr>
          <w:caps w:val="false"/>
          <w:smallCaps w:val="false"/>
          <w:color w:val="FF0000"/>
        </w:rPr>
        <w:t> </w:t>
      </w:r>
    </w:p>
    <w:tbl>
      <w:tblPr>
        <w:tblW w:w="10205" w:type="dxa"/>
        <w:jc w:val="left"/>
        <w:tblInd w:w="-10" w:type="dxa"/>
        <w:tblLayout w:type="fixed"/>
        <w:tblCellMar>
          <w:top w:w="28" w:type="dxa"/>
          <w:left w:w="100" w:type="dxa"/>
          <w:bottom w:w="0" w:type="dxa"/>
          <w:right w:w="100" w:type="dxa"/>
        </w:tblCellMar>
      </w:tblPr>
      <w:tblGrid>
        <w:gridCol w:w="3556"/>
        <w:gridCol w:w="920"/>
        <w:gridCol w:w="920"/>
        <w:gridCol w:w="920"/>
        <w:gridCol w:w="506"/>
        <w:gridCol w:w="496"/>
        <w:gridCol w:w="920"/>
        <w:gridCol w:w="920"/>
        <w:gridCol w:w="1047"/>
      </w:tblGrid>
      <w:tr>
        <w:trPr/>
        <w:tc>
          <w:tcPr>
            <w:tcW w:w="3556"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Net Interest Income / Margin</w:t>
            </w:r>
          </w:p>
        </w:tc>
        <w:tc>
          <w:tcPr>
            <w:tcW w:w="2760" w:type="dxa"/>
            <w:gridSpan w:val="3"/>
            <w:tcBorders>
              <w:top w:val="single" w:sz="8" w:space="0" w:color="000000"/>
            </w:tcBorders>
            <w:shd w:fill="2AD2C9"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1002" w:type="dxa"/>
            <w:gridSpan w:val="2"/>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84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047"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556"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92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92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92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506" w:type="dxa"/>
            <w:tcBorders>
              <w:left w:val="single" w:sz="8" w:space="0" w:color="000000"/>
            </w:tcBorders>
            <w:shd w:fill="2AD2C9" w:val="clear"/>
            <w:tcMar>
              <w:top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496"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92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047"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556"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and Similar Income</w:t>
            </w:r>
          </w:p>
        </w:tc>
        <w:tc>
          <w:tcPr>
            <w:tcW w:w="920" w:type="dxa"/>
            <w:tcBorders>
              <w:top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4,922,292</w:t>
            </w:r>
          </w:p>
        </w:tc>
        <w:tc>
          <w:tcPr>
            <w:tcW w:w="920" w:type="dxa"/>
            <w:tcBorders>
              <w:top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5,212,412</w:t>
            </w:r>
          </w:p>
        </w:tc>
        <w:tc>
          <w:tcPr>
            <w:tcW w:w="920" w:type="dxa"/>
            <w:tcBorders>
              <w:top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5,413,885</w:t>
            </w:r>
          </w:p>
        </w:tc>
        <w:tc>
          <w:tcPr>
            <w:tcW w:w="506" w:type="dxa"/>
            <w:tcBorders>
              <w:top w:val="single" w:sz="8" w:space="0" w:color="000000"/>
              <w:left w:val="single" w:sz="8" w:space="0" w:color="000000"/>
            </w:tcBorders>
            <w:shd w:fill="FFFFFF" w:val="clear"/>
            <w:tcMar>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w:t>
            </w:r>
          </w:p>
        </w:tc>
        <w:tc>
          <w:tcPr>
            <w:tcW w:w="496" w:type="dxa"/>
            <w:tcBorders>
              <w:top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w:t>
            </w:r>
          </w:p>
        </w:tc>
        <w:tc>
          <w:tcPr>
            <w:tcW w:w="920" w:type="dxa"/>
            <w:tcBorders>
              <w:top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9,817,082</w:t>
            </w:r>
          </w:p>
        </w:tc>
        <w:tc>
          <w:tcPr>
            <w:tcW w:w="920"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10,626,297</w:t>
            </w:r>
          </w:p>
        </w:tc>
        <w:tc>
          <w:tcPr>
            <w:tcW w:w="1047" w:type="dxa"/>
            <w:tcBorders>
              <w:top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8.2%</w:t>
            </w:r>
          </w:p>
        </w:tc>
      </w:tr>
      <w:tr>
        <w:trPr/>
        <w:tc>
          <w:tcPr>
            <w:tcW w:w="3556"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and Similar Expenses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(1,306,921)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(1,249,685)</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(1,316,934)</w:t>
            </w:r>
          </w:p>
        </w:tc>
        <w:tc>
          <w:tcPr>
            <w:tcW w:w="506" w:type="dxa"/>
            <w:tcBorders>
              <w:left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496"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0.8%</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(2,629,699)</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(2,566,619)</w:t>
            </w:r>
          </w:p>
        </w:tc>
        <w:tc>
          <w:tcPr>
            <w:tcW w:w="1047"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r>
      <w:tr>
        <w:trPr/>
        <w:tc>
          <w:tcPr>
            <w:tcW w:w="3556"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 (excluding Net Insurance Financial Expenses)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(1,167,866)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(1,086,767)</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(1,147,859)</w:t>
            </w:r>
          </w:p>
        </w:tc>
        <w:tc>
          <w:tcPr>
            <w:tcW w:w="506" w:type="dxa"/>
            <w:tcBorders>
              <w:left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w:t>
            </w:r>
          </w:p>
        </w:tc>
        <w:tc>
          <w:tcPr>
            <w:tcW w:w="496"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(2,355,023)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(2,234,627)</w:t>
            </w:r>
          </w:p>
        </w:tc>
        <w:tc>
          <w:tcPr>
            <w:tcW w:w="1047"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w:t>
            </w:r>
          </w:p>
        </w:tc>
      </w:tr>
      <w:tr>
        <w:trPr/>
        <w:tc>
          <w:tcPr>
            <w:tcW w:w="3556"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Insurance Financial Expenses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(139,055)</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(162,918)</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(169,075)</w:t>
            </w:r>
          </w:p>
        </w:tc>
        <w:tc>
          <w:tcPr>
            <w:tcW w:w="506" w:type="dxa"/>
            <w:tcBorders>
              <w:left w:val="single" w:sz="8" w:space="0" w:color="000000"/>
            </w:tcBorders>
            <w:shd w:fill="FFFFFF" w:val="clear"/>
            <w:tcMar>
              <w:top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w:t>
            </w:r>
          </w:p>
        </w:tc>
        <w:tc>
          <w:tcPr>
            <w:tcW w:w="496"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(274,676)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(331,992)</w:t>
            </w:r>
          </w:p>
        </w:tc>
        <w:tc>
          <w:tcPr>
            <w:tcW w:w="1047"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w:t>
            </w:r>
          </w:p>
        </w:tc>
      </w:tr>
      <w:tr>
        <w:trPr/>
        <w:tc>
          <w:tcPr>
            <w:tcW w:w="3556" w:type="dxa"/>
            <w:tcBorders>
              <w:top w:val="single" w:sz="8" w:space="0" w:color="000000"/>
              <w:left w:val="single" w:sz="8" w:space="0" w:color="000000"/>
              <w:bottom w:val="single" w:sz="8" w:space="0" w:color="000000"/>
              <w:right w:val="single" w:sz="8" w:space="0" w:color="000000"/>
            </w:tcBorders>
            <w:tcMar>
              <w:left w:w="18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interest, similar income and expenses</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3,615,371</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3,962,727</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4,096,951</w:t>
            </w:r>
          </w:p>
        </w:tc>
        <w:tc>
          <w:tcPr>
            <w:tcW w:w="506" w:type="dxa"/>
            <w:tcBorders>
              <w:top w:val="single" w:sz="8" w:space="0" w:color="000000"/>
              <w:left w:val="single" w:sz="8" w:space="0" w:color="000000"/>
              <w:bottom w:val="single" w:sz="8" w:space="0" w:color="000000"/>
            </w:tcBorders>
            <w:shd w:fill="FFFFFF" w:val="clear"/>
            <w:tcMar>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3.4%</w:t>
            </w:r>
          </w:p>
        </w:tc>
        <w:tc>
          <w:tcPr>
            <w:tcW w:w="496" w:type="dxa"/>
            <w:tcBorders>
              <w:top w:val="single" w:sz="8" w:space="0" w:color="000000"/>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7,187,383</w:t>
            </w:r>
          </w:p>
        </w:tc>
        <w:tc>
          <w:tcPr>
            <w:tcW w:w="92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8,059,678</w:t>
            </w:r>
          </w:p>
        </w:tc>
        <w:tc>
          <w:tcPr>
            <w:tcW w:w="1047" w:type="dxa"/>
            <w:tcBorders>
              <w:top w:val="single" w:sz="8" w:space="0" w:color="000000"/>
              <w:bottom w:val="single" w:sz="8" w:space="0" w:color="000000"/>
              <w:right w:val="single" w:sz="8" w:space="0" w:color="000000"/>
            </w:tcBorders>
            <w:shd w:fill="FFFFFF" w:val="clear"/>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12.1%</w:t>
            </w:r>
          </w:p>
        </w:tc>
      </w:tr>
      <w:tr>
        <w:trPr/>
        <w:tc>
          <w:tcPr>
            <w:tcW w:w="3556"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Balances</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506" w:type="dxa"/>
            <w:tcBorders>
              <w:left w:val="single" w:sz="8" w:space="0" w:color="000000"/>
            </w:tcBorders>
            <w:tcMar>
              <w:top w:w="0" w:type="dxa"/>
              <w:right w:w="0" w:type="dxa"/>
            </w:tcMar>
            <w:vAlign w:val="center"/>
          </w:tcPr>
          <w:p>
            <w:pPr>
              <w:pStyle w:val="TableContents"/>
              <w:bidi w:val="0"/>
              <w:spacing w:before="0" w:after="283"/>
              <w:jc w:val="center"/>
              <w:rPr/>
            </w:pPr>
            <w:r>
              <w:rPr/>
              <w:t> </w:t>
            </w:r>
          </w:p>
        </w:tc>
        <w:tc>
          <w:tcPr>
            <w:tcW w:w="496"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556"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Average Interest Earning Assets (IEA)</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233,761,957</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250,941,843</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257,562,678</w:t>
            </w:r>
          </w:p>
        </w:tc>
        <w:tc>
          <w:tcPr>
            <w:tcW w:w="506" w:type="dxa"/>
            <w:tcBorders>
              <w:left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c>
          <w:tcPr>
            <w:tcW w:w="496"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10.2%</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236,038,086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252,982,749</w:t>
            </w:r>
          </w:p>
        </w:tc>
        <w:tc>
          <w:tcPr>
            <w:tcW w:w="1047"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w:t>
            </w:r>
          </w:p>
        </w:tc>
      </w:tr>
      <w:tr>
        <w:trPr/>
        <w:tc>
          <w:tcPr>
            <w:tcW w:w="3556"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Average Funding </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191,161,476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206,531,610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213,379,275</w:t>
            </w:r>
          </w:p>
        </w:tc>
        <w:tc>
          <w:tcPr>
            <w:tcW w:w="506" w:type="dxa"/>
            <w:tcBorders>
              <w:left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w:t>
            </w:r>
          </w:p>
        </w:tc>
        <w:tc>
          <w:tcPr>
            <w:tcW w:w="496"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194,089,775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210,193,858</w:t>
            </w:r>
          </w:p>
        </w:tc>
        <w:tc>
          <w:tcPr>
            <w:tcW w:w="1047"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w:t>
            </w:r>
          </w:p>
        </w:tc>
      </w:tr>
      <w:tr>
        <w:trPr/>
        <w:tc>
          <w:tcPr>
            <w:tcW w:w="3556"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Yields</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506" w:type="dxa"/>
            <w:tcBorders>
              <w:left w:val="single" w:sz="8" w:space="0" w:color="000000"/>
            </w:tcBorders>
            <w:tcMar>
              <w:top w:w="0" w:type="dxa"/>
              <w:right w:w="0" w:type="dxa"/>
            </w:tcMar>
            <w:vAlign w:val="center"/>
          </w:tcPr>
          <w:p>
            <w:pPr>
              <w:pStyle w:val="TableContents"/>
              <w:bidi w:val="0"/>
              <w:spacing w:before="0" w:after="283"/>
              <w:jc w:val="center"/>
              <w:rPr/>
            </w:pPr>
            <w:r>
              <w:rPr/>
              <w:t> </w:t>
            </w:r>
          </w:p>
        </w:tc>
        <w:tc>
          <w:tcPr>
            <w:tcW w:w="496"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556"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Yield on IEAs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8.42%</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8.41%</w:t>
            </w:r>
          </w:p>
        </w:tc>
        <w:tc>
          <w:tcPr>
            <w:tcW w:w="506" w:type="dxa"/>
            <w:tcBorders>
              <w:left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 bps</w:t>
            </w:r>
          </w:p>
        </w:tc>
        <w:tc>
          <w:tcPr>
            <w:tcW w:w="496"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 bps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8.40%</w:t>
            </w:r>
          </w:p>
        </w:tc>
        <w:tc>
          <w:tcPr>
            <w:tcW w:w="1047"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 bps</w:t>
            </w:r>
          </w:p>
        </w:tc>
      </w:tr>
      <w:tr>
        <w:trPr/>
        <w:tc>
          <w:tcPr>
            <w:tcW w:w="3556" w:type="dxa"/>
            <w:tcBorders>
              <w:left w:val="single" w:sz="8" w:space="0" w:color="000000"/>
              <w:right w:val="single" w:sz="8" w:space="0" w:color="000000"/>
            </w:tcBorders>
            <w:tcMar>
              <w:top w:w="0" w:type="dxa"/>
              <w:left w:w="18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Cost of Funds</w:t>
            </w:r>
            <w:r>
              <w:rPr>
                <w:rFonts w:ascii="Times New Roman;Times;Serif" w:hAnsi="Times New Roman;Times;Serif"/>
                <w:b w:val="false"/>
                <w:i w:val="false"/>
                <w:caps w:val="false"/>
                <w:smallCaps w:val="false"/>
                <w:sz w:val="16"/>
              </w:rPr>
              <w:t>(1)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2.44%</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w:t>
            </w:r>
          </w:p>
        </w:tc>
        <w:tc>
          <w:tcPr>
            <w:tcW w:w="506" w:type="dxa"/>
            <w:tcBorders>
              <w:left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 bps</w:t>
            </w:r>
          </w:p>
        </w:tc>
        <w:tc>
          <w:tcPr>
            <w:tcW w:w="496"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 bps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2.13%</w:t>
            </w:r>
          </w:p>
        </w:tc>
        <w:tc>
          <w:tcPr>
            <w:tcW w:w="1047"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 bps</w:t>
            </w:r>
          </w:p>
        </w:tc>
      </w:tr>
      <w:tr>
        <w:trPr/>
        <w:tc>
          <w:tcPr>
            <w:tcW w:w="3556" w:type="dxa"/>
            <w:tcBorders>
              <w:left w:val="single" w:sz="8" w:space="0" w:color="000000"/>
              <w:right w:val="single" w:sz="8" w:space="0" w:color="000000"/>
            </w:tcBorders>
            <w:tcMar>
              <w:top w:w="0" w:type="dxa"/>
              <w:left w:w="18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Net Interest Margin (NIM)</w:t>
            </w:r>
            <w:r>
              <w:rPr>
                <w:rFonts w:ascii="Times New Roman;Times;Serif" w:hAnsi="Times New Roman;Times;Serif"/>
                <w:b/>
                <w:i w:val="false"/>
                <w:caps w:val="false"/>
                <w:smallCaps w:val="false"/>
                <w:sz w:val="16"/>
              </w:rPr>
              <w:t>(1)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6.42%</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6.58%</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6.63%</w:t>
            </w:r>
          </w:p>
        </w:tc>
        <w:tc>
          <w:tcPr>
            <w:tcW w:w="506" w:type="dxa"/>
            <w:tcBorders>
              <w:left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 bps</w:t>
            </w:r>
          </w:p>
        </w:tc>
        <w:tc>
          <w:tcPr>
            <w:tcW w:w="496"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 bps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6.32%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6.63%</w:t>
            </w:r>
          </w:p>
        </w:tc>
        <w:tc>
          <w:tcPr>
            <w:tcW w:w="1047"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 bps</w:t>
            </w:r>
          </w:p>
        </w:tc>
      </w:tr>
      <w:tr>
        <w:trPr/>
        <w:tc>
          <w:tcPr>
            <w:tcW w:w="3556" w:type="dxa"/>
            <w:tcBorders>
              <w:left w:val="single" w:sz="8" w:space="0" w:color="000000"/>
              <w:right w:val="single" w:sz="8" w:space="0" w:color="000000"/>
            </w:tcBorders>
            <w:tcMar>
              <w:top w:w="0" w:type="dxa"/>
              <w:left w:w="18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Risk-Adjusted Net Interest Margin</w:t>
            </w:r>
            <w:r>
              <w:rPr>
                <w:rFonts w:ascii="Times New Roman;Times;Serif" w:hAnsi="Times New Roman;Times;Serif"/>
                <w:b/>
                <w:i w:val="false"/>
                <w:caps w:val="false"/>
                <w:smallCaps w:val="false"/>
                <w:sz w:val="16"/>
              </w:rPr>
              <w:t>(1)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5.44%</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5.49%</w:t>
            </w:r>
          </w:p>
        </w:tc>
        <w:tc>
          <w:tcPr>
            <w:tcW w:w="506" w:type="dxa"/>
            <w:tcBorders>
              <w:left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-32 bps</w:t>
            </w:r>
          </w:p>
        </w:tc>
        <w:tc>
          <w:tcPr>
            <w:tcW w:w="496"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 bps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5.34%</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5.67%</w:t>
            </w:r>
          </w:p>
        </w:tc>
        <w:tc>
          <w:tcPr>
            <w:tcW w:w="1047"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 bps</w:t>
            </w:r>
          </w:p>
        </w:tc>
      </w:tr>
      <w:tr>
        <w:trPr/>
        <w:tc>
          <w:tcPr>
            <w:tcW w:w="3556" w:type="dxa"/>
            <w:tcBorders>
              <w:top w:val="single" w:sz="8" w:space="0" w:color="000000"/>
              <w:left w:val="single" w:sz="8" w:space="0" w:color="000000"/>
              <w:right w:val="single" w:sz="8" w:space="0" w:color="000000"/>
            </w:tcBorders>
            <w:tcMar>
              <w:left w:w="18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Peru’s reference rate</w:t>
            </w:r>
          </w:p>
        </w:tc>
        <w:tc>
          <w:tcPr>
            <w:tcW w:w="920" w:type="dxa"/>
            <w:tcBorders>
              <w:top w:val="single" w:sz="4"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4.50%</w:t>
            </w:r>
          </w:p>
        </w:tc>
        <w:tc>
          <w:tcPr>
            <w:tcW w:w="920" w:type="dxa"/>
            <w:tcBorders>
              <w:top w:val="single" w:sz="4"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4.25%</w:t>
            </w:r>
          </w:p>
        </w:tc>
        <w:tc>
          <w:tcPr>
            <w:tcW w:w="920" w:type="dxa"/>
            <w:tcBorders>
              <w:top w:val="single" w:sz="4"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4.25%</w:t>
            </w:r>
          </w:p>
        </w:tc>
        <w:tc>
          <w:tcPr>
            <w:tcW w:w="506" w:type="dxa"/>
            <w:tcBorders>
              <w:top w:val="single" w:sz="4" w:space="0" w:color="000000"/>
              <w:left w:val="single" w:sz="8" w:space="0" w:color="000000"/>
            </w:tcBorders>
            <w:tcMar>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 bps</w:t>
            </w:r>
          </w:p>
        </w:tc>
        <w:tc>
          <w:tcPr>
            <w:tcW w:w="496" w:type="dxa"/>
            <w:tcBorders>
              <w:top w:val="single" w:sz="4"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 bps</w:t>
            </w:r>
          </w:p>
        </w:tc>
        <w:tc>
          <w:tcPr>
            <w:tcW w:w="920" w:type="dxa"/>
            <w:tcBorders>
              <w:top w:val="single" w:sz="4"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4.50%</w:t>
            </w:r>
          </w:p>
        </w:tc>
        <w:tc>
          <w:tcPr>
            <w:tcW w:w="920" w:type="dxa"/>
            <w:tcBorders>
              <w:top w:val="single" w:sz="4"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4.25%</w:t>
            </w:r>
          </w:p>
        </w:tc>
        <w:tc>
          <w:tcPr>
            <w:tcW w:w="1047" w:type="dxa"/>
            <w:tcBorders>
              <w:top w:val="single" w:sz="4"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 bps</w:t>
            </w:r>
          </w:p>
        </w:tc>
      </w:tr>
      <w:tr>
        <w:trPr/>
        <w:tc>
          <w:tcPr>
            <w:tcW w:w="3556" w:type="dxa"/>
            <w:tcBorders>
              <w:left w:val="single" w:sz="8" w:space="0" w:color="000000"/>
              <w:bottom w:val="single" w:sz="8" w:space="0" w:color="000000"/>
              <w:right w:val="single" w:sz="8" w:space="0" w:color="000000"/>
            </w:tcBorders>
            <w:tcMar>
              <w:top w:w="0" w:type="dxa"/>
              <w:left w:w="18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Fed funds rate</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4.50%</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3.75%</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3.75%</w:t>
            </w:r>
          </w:p>
        </w:tc>
        <w:tc>
          <w:tcPr>
            <w:tcW w:w="506"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 bps</w:t>
            </w:r>
          </w:p>
        </w:tc>
        <w:tc>
          <w:tcPr>
            <w:tcW w:w="496"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-75 bps</w:t>
            </w:r>
          </w:p>
        </w:tc>
        <w:tc>
          <w:tcPr>
            <w:tcW w:w="920"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4.50%</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3.75%</w:t>
            </w:r>
          </w:p>
        </w:tc>
        <w:tc>
          <w:tcPr>
            <w:tcW w:w="104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-75 bps</w:t>
            </w:r>
          </w:p>
        </w:tc>
      </w:tr>
    </w:tbl>
    <w:p>
      <w:pPr>
        <w:pStyle w:val="TextBody"/>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For further details on the NIM and Cost of Funds calculation, please refer to Annex 12.8.</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Net Interest Income (NII) increased 3.4%. This result was driven mainly by growth in Interest and Similar Income as Interest on loans ticked up alongside growth in volumes in Retail banking at BCP and at Mibanco. Interest and Similar Expenses partially offset the increase in Interest and Similar Income, primarily reflecting higher funding costs associated with growth in time deposits and funding opportunities through Due to banks and correspondents.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NII rose 13.3%. This evolution was driven mainly by growth in Interest and Similar Income and secondarily, by a drop in Interest and Similar Expenses. The uptick in Interest and Similar Income was driven mainly by an uptick in interest on loans, which rose on the back of growth in volumes at BCP and Mibanco, and secondarily by an increase in interest on securities. The decline in Interest and Similar Expenses over the period was fueled by a decrease in Interest on Due to banks and correspondents, due to the maturity of certain transactions that were not renewed.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YTD</w:t>
      </w:r>
      <w:r>
        <w:rPr>
          <w:rFonts w:ascii="Times New Roman;Times;Serif" w:hAnsi="Times New Roman;Times;Serif"/>
          <w:b w:val="false"/>
          <w:i w:val="false"/>
          <w:caps w:val="false"/>
          <w:smallCaps w:val="false"/>
          <w:sz w:val="20"/>
        </w:rPr>
        <w:t>, NII rose 12.1%, driven primarily by growth in Interest and Similar Income and secondarily, by a decrease in Interest and Similar Expenses. The increase in Interest and Similar Income was fueled mainly by the same dynamics seen YoY. The evolution of Interest and Similar Expenses over the period was spurred primarily by a drop in Interest expenses for Due to banks and correspondents and to a lesser extent, for deposits.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81000"/>
            <wp:effectExtent l="0" t="0" r="0" b="0"/>
            <wp:docPr id="8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3" descr=""/>
                    <pic:cNvPicPr>
                      <a:picLocks noChangeAspect="1" noChangeArrowheads="1"/>
                    </pic:cNvPicPr>
                  </pic:nvPicPr>
                  <pic:blipFill>
                    <a:blip r:embed="rId79"/>
                    <a:stretch>
                      <a:fillRect/>
                    </a:stretch>
                  </pic:blipFill>
                  <pic:spPr bwMode="auto">
                    <a:xfrm>
                      <a:off x="0" y="0"/>
                      <a:ext cx="7620000" cy="381000"/>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8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4" descr=""/>
                          <pic:cNvPicPr>
                            <a:picLocks noChangeAspect="1" noChangeArrowheads="1"/>
                          </pic:cNvPicPr>
                        </pic:nvPicPr>
                        <pic:blipFill>
                          <a:blip r:embed="rId80"/>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04. Net Interest Income (NII)</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7"/>
        <w:gridCol w:w="23"/>
        <w:gridCol w:w="5265"/>
      </w:tblGrid>
      <w:tr>
        <w:trPr/>
        <w:tc>
          <w:tcPr>
            <w:tcW w:w="4917"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Interest Margin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NIM </w:t>
            </w:r>
            <w:r>
              <w:rPr>
                <w:rFonts w:ascii="Times New Roman;Times;Serif" w:hAnsi="Times New Roman;Times;Serif"/>
                <w:b w:val="false"/>
                <w:i w:val="false"/>
                <w:caps w:val="false"/>
                <w:smallCaps w:val="false"/>
                <w:sz w:val="20"/>
              </w:rPr>
              <w:t xml:space="preserve">increased 21 bps YoY to stand at 6.63% at the end of 2Q26. This expansion was driven mainly by a 29-bps reduction in the cost of funding, which dropped alongside declining interest rates and a shift in the funding mix toward low-cost deposits. The IEA yield remained relatively stable given that the rise in loans’ share of the mix was offset by growth in Cash and due from banks. </w:t>
            </w:r>
            <w:r>
              <w:rPr>
                <w:rFonts w:ascii="Times New Roman;Times;Serif" w:hAnsi="Times New Roman;Times;Serif"/>
                <w:b/>
                <w:i w:val="false"/>
                <w:caps w:val="false"/>
                <w:smallCaps w:val="false"/>
                <w:sz w:val="20"/>
              </w:rPr>
              <w:t>Risk-adjusted NIM</w:t>
            </w:r>
            <w:r>
              <w:rPr>
                <w:rFonts w:ascii="Times New Roman;Times;Serif" w:hAnsi="Times New Roman;Times;Serif"/>
                <w:b w:val="false"/>
                <w:i w:val="false"/>
                <w:caps w:val="false"/>
                <w:smallCaps w:val="false"/>
                <w:sz w:val="20"/>
              </w:rPr>
              <w:t xml:space="preserve"> stood at 5.49% at the end of 2Q26 (+5 bps YoY).</w:t>
            </w:r>
          </w:p>
        </w:tc>
        <w:tc>
          <w:tcPr>
            <w:tcW w:w="23" w:type="dxa"/>
            <w:tcBorders/>
            <w:vAlign w:val="center"/>
          </w:tcPr>
          <w:p>
            <w:pPr>
              <w:pStyle w:val="TableContents"/>
              <w:bidi w:val="0"/>
              <w:spacing w:before="0" w:after="283"/>
              <w:jc w:val="left"/>
              <w:rPr>
                <w:sz w:val="4"/>
                <w:szCs w:val="4"/>
              </w:rPr>
            </w:pPr>
            <w:r>
              <w:rPr>
                <w:sz w:val="4"/>
                <w:szCs w:val="4"/>
              </w:rPr>
            </w:r>
          </w:p>
        </w:tc>
        <w:tc>
          <w:tcPr>
            <w:tcW w:w="5265" w:type="dxa"/>
            <w:tcBorders/>
            <w:vAlign w:val="center"/>
          </w:tcPr>
          <w:p>
            <w:pPr>
              <w:pStyle w:val="TableContents"/>
              <w:bidi w:val="0"/>
              <w:spacing w:before="0" w:after="283"/>
              <w:jc w:val="center"/>
              <w:rPr/>
            </w:pPr>
            <w:r>
              <w:rPr/>
              <w:drawing>
                <wp:inline distT="0" distB="0" distL="0" distR="0">
                  <wp:extent cx="3333750" cy="1828800"/>
                  <wp:effectExtent l="0" t="0" r="0" b="0"/>
                  <wp:docPr id="8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5" descr=""/>
                          <pic:cNvPicPr>
                            <a:picLocks noChangeAspect="1" noChangeArrowheads="1"/>
                          </pic:cNvPicPr>
                        </pic:nvPicPr>
                        <pic:blipFill>
                          <a:blip r:embed="rId81"/>
                          <a:stretch>
                            <a:fillRect/>
                          </a:stretch>
                        </pic:blipFill>
                        <pic:spPr bwMode="auto">
                          <a:xfrm>
                            <a:off x="0" y="0"/>
                            <a:ext cx="3333750" cy="1828800"/>
                          </a:xfrm>
                          <a:prstGeom prst="rect">
                            <a:avLst/>
                          </a:prstGeom>
                        </pic:spPr>
                      </pic:pic>
                    </a:graphicData>
                  </a:graphic>
                </wp:inline>
              </w:drawing>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Dynamics of the Net Interest Margin by Currency</w:t>
      </w:r>
    </w:p>
    <w:p>
      <w:pPr>
        <w:pStyle w:val="TextBody"/>
        <w:bidi w:val="0"/>
        <w:spacing w:before="0" w:after="0"/>
        <w:jc w:val="both"/>
        <w:rPr>
          <w:caps w:val="false"/>
          <w:smallCaps w:val="false"/>
        </w:rPr>
      </w:pPr>
      <w:r>
        <w:rPr>
          <w:caps w:val="false"/>
          <w:smallCaps w:val="false"/>
        </w:rPr>
        <w:t> </w:t>
      </w:r>
    </w:p>
    <w:tbl>
      <w:tblPr>
        <w:tblW w:w="6515" w:type="dxa"/>
        <w:jc w:val="left"/>
        <w:tblInd w:w="-10" w:type="dxa"/>
        <w:tblLayout w:type="fixed"/>
        <w:tblCellMar>
          <w:top w:w="28" w:type="dxa"/>
          <w:left w:w="60" w:type="dxa"/>
          <w:bottom w:w="0" w:type="dxa"/>
          <w:right w:w="60" w:type="dxa"/>
        </w:tblCellMar>
      </w:tblPr>
      <w:tblGrid>
        <w:gridCol w:w="1565"/>
        <w:gridCol w:w="635"/>
        <w:gridCol w:w="545"/>
        <w:gridCol w:w="470"/>
        <w:gridCol w:w="635"/>
        <w:gridCol w:w="545"/>
        <w:gridCol w:w="470"/>
        <w:gridCol w:w="635"/>
        <w:gridCol w:w="545"/>
        <w:gridCol w:w="470"/>
      </w:tblGrid>
      <w:tr>
        <w:trPr/>
        <w:tc>
          <w:tcPr>
            <w:tcW w:w="1565" w:type="dxa"/>
            <w:vMerge w:val="restart"/>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Interest Income / IEA</w:t>
            </w:r>
          </w:p>
        </w:tc>
        <w:tc>
          <w:tcPr>
            <w:tcW w:w="165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165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165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r>
      <w:tr>
        <w:trPr/>
        <w:tc>
          <w:tcPr>
            <w:tcW w:w="1565" w:type="dxa"/>
            <w:vMerge w:val="continue"/>
            <w:tcBorders>
              <w:top w:val="single" w:sz="8" w:space="0" w:color="000000"/>
              <w:left w:val="single" w:sz="8" w:space="0" w:color="000000"/>
              <w:right w:val="single" w:sz="8" w:space="0" w:color="000000"/>
            </w:tcBorders>
            <w:shd w:fill="2AD2C9" w:val="clear"/>
            <w:vAlign w:val="center"/>
          </w:tcPr>
          <w:p>
            <w:pPr>
              <w:pStyle w:val="Normal"/>
              <w:bidi w:val="0"/>
              <w:jc w:val="left"/>
              <w:rPr/>
            </w:pPr>
            <w:r>
              <w:rPr/>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Average</w:t>
            </w:r>
          </w:p>
        </w:tc>
        <w:tc>
          <w:tcPr>
            <w:tcW w:w="545" w:type="dxa"/>
            <w:vMerge w:val="restart"/>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Income</w:t>
            </w:r>
          </w:p>
        </w:tc>
        <w:tc>
          <w:tcPr>
            <w:tcW w:w="470" w:type="dxa"/>
            <w:vMerge w:val="restart"/>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Yields</w:t>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Average</w:t>
            </w:r>
          </w:p>
        </w:tc>
        <w:tc>
          <w:tcPr>
            <w:tcW w:w="545" w:type="dxa"/>
            <w:vMerge w:val="restart"/>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Income</w:t>
            </w:r>
          </w:p>
        </w:tc>
        <w:tc>
          <w:tcPr>
            <w:tcW w:w="470" w:type="dxa"/>
            <w:vMerge w:val="restart"/>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Yields</w:t>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Average</w:t>
            </w:r>
          </w:p>
        </w:tc>
        <w:tc>
          <w:tcPr>
            <w:tcW w:w="545" w:type="dxa"/>
            <w:vMerge w:val="restart"/>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Income</w:t>
            </w:r>
          </w:p>
        </w:tc>
        <w:tc>
          <w:tcPr>
            <w:tcW w:w="470" w:type="dxa"/>
            <w:vMerge w:val="restart"/>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Yields</w:t>
            </w:r>
          </w:p>
        </w:tc>
      </w:tr>
      <w:tr>
        <w:trPr/>
        <w:tc>
          <w:tcPr>
            <w:tcW w:w="156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millions</w:t>
            </w:r>
          </w:p>
        </w:tc>
        <w:tc>
          <w:tcPr>
            <w:tcW w:w="63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Balance</w:t>
            </w:r>
          </w:p>
        </w:tc>
        <w:tc>
          <w:tcPr>
            <w:tcW w:w="545" w:type="dxa"/>
            <w:vMerge w:val="continue"/>
            <w:tcBorders>
              <w:bottom w:val="single" w:sz="8" w:space="0" w:color="000000"/>
            </w:tcBorders>
            <w:shd w:fill="2AD2C9" w:val="clear"/>
            <w:tcMar>
              <w:top w:w="0" w:type="dxa"/>
              <w:left w:w="0" w:type="dxa"/>
              <w:bottom w:w="28" w:type="dxa"/>
              <w:right w:w="0" w:type="dxa"/>
            </w:tcMar>
            <w:vAlign w:val="center"/>
          </w:tcPr>
          <w:p>
            <w:pPr>
              <w:pStyle w:val="Normal"/>
              <w:bidi w:val="0"/>
              <w:jc w:val="left"/>
              <w:rPr/>
            </w:pPr>
            <w:r>
              <w:rPr/>
            </w:r>
          </w:p>
        </w:tc>
        <w:tc>
          <w:tcPr>
            <w:tcW w:w="470" w:type="dxa"/>
            <w:vMerge w:val="continue"/>
            <w:tcBorders>
              <w:bottom w:val="single" w:sz="8" w:space="0" w:color="000000"/>
              <w:right w:val="single" w:sz="8" w:space="0" w:color="000000"/>
            </w:tcBorders>
            <w:shd w:fill="2AD2C9" w:val="clear"/>
            <w:tcMar>
              <w:top w:w="0" w:type="dxa"/>
              <w:left w:w="0" w:type="dxa"/>
              <w:bottom w:w="28" w:type="dxa"/>
            </w:tcMar>
            <w:vAlign w:val="center"/>
          </w:tcPr>
          <w:p>
            <w:pPr>
              <w:pStyle w:val="Normal"/>
              <w:bidi w:val="0"/>
              <w:jc w:val="left"/>
              <w:rPr/>
            </w:pPr>
            <w:r>
              <w:rPr/>
            </w:r>
          </w:p>
        </w:tc>
        <w:tc>
          <w:tcPr>
            <w:tcW w:w="63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Balance</w:t>
            </w:r>
          </w:p>
        </w:tc>
        <w:tc>
          <w:tcPr>
            <w:tcW w:w="545" w:type="dxa"/>
            <w:vMerge w:val="continue"/>
            <w:tcBorders>
              <w:bottom w:val="single" w:sz="8" w:space="0" w:color="000000"/>
            </w:tcBorders>
            <w:shd w:fill="2AD2C9" w:val="clear"/>
            <w:tcMar>
              <w:top w:w="0" w:type="dxa"/>
              <w:left w:w="0" w:type="dxa"/>
              <w:bottom w:w="28" w:type="dxa"/>
              <w:right w:w="0" w:type="dxa"/>
            </w:tcMar>
            <w:vAlign w:val="center"/>
          </w:tcPr>
          <w:p>
            <w:pPr>
              <w:pStyle w:val="Normal"/>
              <w:bidi w:val="0"/>
              <w:jc w:val="left"/>
              <w:rPr/>
            </w:pPr>
            <w:r>
              <w:rPr/>
            </w:r>
          </w:p>
        </w:tc>
        <w:tc>
          <w:tcPr>
            <w:tcW w:w="470" w:type="dxa"/>
            <w:vMerge w:val="continue"/>
            <w:tcBorders>
              <w:bottom w:val="single" w:sz="8" w:space="0" w:color="000000"/>
              <w:right w:val="single" w:sz="8" w:space="0" w:color="000000"/>
            </w:tcBorders>
            <w:shd w:fill="2AD2C9" w:val="clear"/>
            <w:tcMar>
              <w:top w:w="0" w:type="dxa"/>
              <w:left w:w="0" w:type="dxa"/>
              <w:bottom w:w="28" w:type="dxa"/>
            </w:tcMar>
            <w:vAlign w:val="center"/>
          </w:tcPr>
          <w:p>
            <w:pPr>
              <w:pStyle w:val="Normal"/>
              <w:bidi w:val="0"/>
              <w:jc w:val="left"/>
              <w:rPr/>
            </w:pPr>
            <w:r>
              <w:rPr/>
            </w:r>
          </w:p>
        </w:tc>
        <w:tc>
          <w:tcPr>
            <w:tcW w:w="63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Balance</w:t>
            </w:r>
          </w:p>
        </w:tc>
        <w:tc>
          <w:tcPr>
            <w:tcW w:w="545" w:type="dxa"/>
            <w:vMerge w:val="continue"/>
            <w:tcBorders>
              <w:bottom w:val="single" w:sz="8" w:space="0" w:color="000000"/>
            </w:tcBorders>
            <w:shd w:fill="2AD2C9" w:val="clear"/>
            <w:tcMar>
              <w:top w:w="0" w:type="dxa"/>
              <w:left w:w="0" w:type="dxa"/>
              <w:bottom w:w="28" w:type="dxa"/>
              <w:right w:w="0" w:type="dxa"/>
            </w:tcMar>
            <w:vAlign w:val="center"/>
          </w:tcPr>
          <w:p>
            <w:pPr>
              <w:pStyle w:val="Normal"/>
              <w:bidi w:val="0"/>
              <w:jc w:val="left"/>
              <w:rPr/>
            </w:pPr>
            <w:r>
              <w:rPr/>
            </w:r>
          </w:p>
        </w:tc>
        <w:tc>
          <w:tcPr>
            <w:tcW w:w="470" w:type="dxa"/>
            <w:vMerge w:val="continue"/>
            <w:tcBorders>
              <w:bottom w:val="single" w:sz="8" w:space="0" w:color="000000"/>
              <w:right w:val="single" w:sz="8" w:space="0" w:color="000000"/>
            </w:tcBorders>
            <w:shd w:fill="2AD2C9" w:val="clear"/>
            <w:tcMar>
              <w:top w:w="0" w:type="dxa"/>
              <w:left w:w="0" w:type="dxa"/>
              <w:bottom w:w="28" w:type="dxa"/>
            </w:tcMar>
            <w:vAlign w:val="center"/>
          </w:tcPr>
          <w:p>
            <w:pPr>
              <w:pStyle w:val="Normal"/>
              <w:bidi w:val="0"/>
              <w:jc w:val="left"/>
              <w:rPr/>
            </w:pPr>
            <w:r>
              <w:rPr/>
            </w:r>
          </w:p>
        </w:tc>
      </w:tr>
      <w:tr>
        <w:trPr/>
        <w:tc>
          <w:tcPr>
            <w:tcW w:w="156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(LC + FC)</w:t>
            </w:r>
          </w:p>
        </w:tc>
        <w:tc>
          <w:tcPr>
            <w:tcW w:w="635" w:type="dxa"/>
            <w:tcBorders/>
            <w:shd w:fill="FFFFFF" w:val="clear"/>
            <w:tcMar>
              <w:top w:w="0" w:type="dxa"/>
              <w:left w:w="0" w:type="dxa"/>
              <w:right w:w="0" w:type="dxa"/>
            </w:tcMar>
            <w:vAlign w:val="center"/>
          </w:tcPr>
          <w:p>
            <w:pPr>
              <w:pStyle w:val="TableContents"/>
              <w:bidi w:val="0"/>
              <w:spacing w:before="0" w:after="283"/>
              <w:jc w:val="center"/>
              <w:rPr>
                <w:color w:val="FFFFFF"/>
              </w:rPr>
            </w:pPr>
            <w:r>
              <w:rPr>
                <w:color w:val="FFFFFF"/>
              </w:rPr>
              <w:t> </w:t>
            </w:r>
          </w:p>
        </w:tc>
        <w:tc>
          <w:tcPr>
            <w:tcW w:w="545" w:type="dxa"/>
            <w:tcBorders/>
            <w:shd w:fill="FFFFFF" w:val="clear"/>
            <w:tcMar>
              <w:top w:w="0" w:type="dxa"/>
              <w:left w:w="0" w:type="dxa"/>
              <w:right w:w="0" w:type="dxa"/>
            </w:tcMar>
            <w:vAlign w:val="center"/>
          </w:tcPr>
          <w:p>
            <w:pPr>
              <w:pStyle w:val="TableContents"/>
              <w:bidi w:val="0"/>
              <w:spacing w:before="0" w:after="283"/>
              <w:jc w:val="center"/>
              <w:rPr>
                <w:color w:val="FFFFFF"/>
              </w:rPr>
            </w:pPr>
            <w:r>
              <w:rPr>
                <w:color w:val="FFFFFF"/>
              </w:rPr>
              <w:t> </w:t>
            </w:r>
          </w:p>
        </w:tc>
        <w:tc>
          <w:tcPr>
            <w:tcW w:w="470" w:type="dxa"/>
            <w:tcBorders>
              <w:right w:val="single" w:sz="8" w:space="0" w:color="000000"/>
            </w:tcBorders>
            <w:shd w:fill="FFFFFF" w:val="clear"/>
            <w:tcMar>
              <w:top w:w="0" w:type="dxa"/>
              <w:left w:w="0" w:type="dxa"/>
            </w:tcMar>
            <w:vAlign w:val="center"/>
          </w:tcPr>
          <w:p>
            <w:pPr>
              <w:pStyle w:val="TableContents"/>
              <w:bidi w:val="0"/>
              <w:spacing w:before="0" w:after="283"/>
              <w:jc w:val="center"/>
              <w:rPr>
                <w:color w:val="FFFFFF"/>
              </w:rPr>
            </w:pPr>
            <w:r>
              <w:rPr>
                <w:color w:val="FFFFFF"/>
              </w:rPr>
              <w:t> </w:t>
            </w:r>
          </w:p>
        </w:tc>
        <w:tc>
          <w:tcPr>
            <w:tcW w:w="635" w:type="dxa"/>
            <w:tcBorders/>
            <w:shd w:fill="FFFFFF" w:val="clear"/>
            <w:tcMar>
              <w:top w:w="0" w:type="dxa"/>
              <w:left w:w="0" w:type="dxa"/>
              <w:right w:w="0" w:type="dxa"/>
            </w:tcMar>
            <w:vAlign w:val="center"/>
          </w:tcPr>
          <w:p>
            <w:pPr>
              <w:pStyle w:val="TableContents"/>
              <w:bidi w:val="0"/>
              <w:spacing w:before="0" w:after="283"/>
              <w:jc w:val="center"/>
              <w:rPr>
                <w:color w:val="FFFFFF"/>
              </w:rPr>
            </w:pPr>
            <w:r>
              <w:rPr>
                <w:color w:val="FFFFFF"/>
              </w:rPr>
              <w:t> </w:t>
            </w:r>
          </w:p>
        </w:tc>
        <w:tc>
          <w:tcPr>
            <w:tcW w:w="545" w:type="dxa"/>
            <w:tcBorders/>
            <w:shd w:fill="FFFFFF" w:val="clear"/>
            <w:tcMar>
              <w:top w:w="0" w:type="dxa"/>
              <w:left w:w="0" w:type="dxa"/>
              <w:right w:w="0" w:type="dxa"/>
            </w:tcMar>
            <w:vAlign w:val="center"/>
          </w:tcPr>
          <w:p>
            <w:pPr>
              <w:pStyle w:val="TableContents"/>
              <w:bidi w:val="0"/>
              <w:spacing w:before="0" w:after="283"/>
              <w:jc w:val="center"/>
              <w:rPr>
                <w:color w:val="FFFFFF"/>
              </w:rPr>
            </w:pPr>
            <w:r>
              <w:rPr>
                <w:color w:val="FFFFFF"/>
              </w:rPr>
              <w:t> </w:t>
            </w:r>
          </w:p>
        </w:tc>
        <w:tc>
          <w:tcPr>
            <w:tcW w:w="470" w:type="dxa"/>
            <w:tcBorders>
              <w:right w:val="single" w:sz="8" w:space="0" w:color="000000"/>
            </w:tcBorders>
            <w:shd w:fill="FFFFFF" w:val="clear"/>
            <w:tcMar>
              <w:top w:w="0" w:type="dxa"/>
              <w:left w:w="0" w:type="dxa"/>
            </w:tcMar>
            <w:vAlign w:val="center"/>
          </w:tcPr>
          <w:p>
            <w:pPr>
              <w:pStyle w:val="TableContents"/>
              <w:bidi w:val="0"/>
              <w:spacing w:before="0" w:after="283"/>
              <w:jc w:val="center"/>
              <w:rPr>
                <w:color w:val="FFFFFF"/>
              </w:rPr>
            </w:pPr>
            <w:r>
              <w:rPr>
                <w:color w:val="FFFFFF"/>
              </w:rPr>
              <w:t> </w:t>
            </w:r>
          </w:p>
        </w:tc>
        <w:tc>
          <w:tcPr>
            <w:tcW w:w="635" w:type="dxa"/>
            <w:tcBorders/>
            <w:shd w:fill="FFFFFF" w:val="clear"/>
            <w:tcMar>
              <w:top w:w="0" w:type="dxa"/>
              <w:left w:w="0" w:type="dxa"/>
              <w:right w:w="0" w:type="dxa"/>
            </w:tcMar>
            <w:vAlign w:val="center"/>
          </w:tcPr>
          <w:p>
            <w:pPr>
              <w:pStyle w:val="TableContents"/>
              <w:bidi w:val="0"/>
              <w:spacing w:before="0" w:after="283"/>
              <w:jc w:val="center"/>
              <w:rPr>
                <w:color w:val="FFFFFF"/>
              </w:rPr>
            </w:pPr>
            <w:r>
              <w:rPr>
                <w:color w:val="FFFFFF"/>
              </w:rPr>
              <w:t> </w:t>
            </w:r>
          </w:p>
        </w:tc>
        <w:tc>
          <w:tcPr>
            <w:tcW w:w="545" w:type="dxa"/>
            <w:tcBorders/>
            <w:shd w:fill="FFFFFF" w:val="clear"/>
            <w:tcMar>
              <w:top w:w="0" w:type="dxa"/>
              <w:left w:w="0" w:type="dxa"/>
              <w:right w:w="0" w:type="dxa"/>
            </w:tcMar>
            <w:vAlign w:val="center"/>
          </w:tcPr>
          <w:p>
            <w:pPr>
              <w:pStyle w:val="TableContents"/>
              <w:bidi w:val="0"/>
              <w:spacing w:before="0" w:after="283"/>
              <w:jc w:val="center"/>
              <w:rPr>
                <w:color w:val="FFFFFF"/>
              </w:rPr>
            </w:pPr>
            <w:r>
              <w:rPr>
                <w:color w:val="FFFFFF"/>
              </w:rPr>
              <w:t> </w:t>
            </w:r>
          </w:p>
        </w:tc>
        <w:tc>
          <w:tcPr>
            <w:tcW w:w="470" w:type="dxa"/>
            <w:tcBorders>
              <w:right w:val="single" w:sz="8" w:space="0" w:color="000000"/>
            </w:tcBorders>
            <w:shd w:fill="FFFFFF" w:val="clear"/>
            <w:tcMar>
              <w:top w:w="0" w:type="dxa"/>
              <w:left w:w="0" w:type="dxa"/>
            </w:tcMar>
            <w:vAlign w:val="center"/>
          </w:tcPr>
          <w:p>
            <w:pPr>
              <w:pStyle w:val="TableContents"/>
              <w:bidi w:val="0"/>
              <w:spacing w:before="0" w:after="283"/>
              <w:jc w:val="center"/>
              <w:rPr>
                <w:color w:val="FFFFFF"/>
              </w:rPr>
            </w:pPr>
            <w:r>
              <w:rPr>
                <w:color w:val="FFFFFF"/>
              </w:rPr>
              <w:t> </w:t>
            </w:r>
          </w:p>
        </w:tc>
      </w:tr>
      <w:tr>
        <w:trPr/>
        <w:tc>
          <w:tcPr>
            <w:tcW w:w="15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equivalents</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35,864</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342</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42,187</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322</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41,767</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321</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w:t>
            </w:r>
          </w:p>
        </w:tc>
      </w:tr>
      <w:tr>
        <w:trPr/>
        <w:tc>
          <w:tcPr>
            <w:tcW w:w="15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IEA</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3,215</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2,194</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1,698</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r>
      <w:tr>
        <w:trPr/>
        <w:tc>
          <w:tcPr>
            <w:tcW w:w="15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Investments</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53,604</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670</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55,156</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727</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57,968</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699</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r>
      <w:tr>
        <w:trPr/>
        <w:tc>
          <w:tcPr>
            <w:tcW w:w="15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Loans</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141,079</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3,841</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151,405</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4,143</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156,129</w:t>
            </w:r>
          </w:p>
        </w:tc>
        <w:tc>
          <w:tcPr>
            <w:tcW w:w="5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4,371</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w:t>
            </w:r>
          </w:p>
        </w:tc>
      </w:tr>
      <w:tr>
        <w:trPr/>
        <w:tc>
          <w:tcPr>
            <w:tcW w:w="156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IEA</w:t>
            </w:r>
          </w:p>
        </w:tc>
        <w:tc>
          <w:tcPr>
            <w:tcW w:w="63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233,762</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4,922</w:t>
            </w:r>
          </w:p>
        </w:tc>
        <w:tc>
          <w:tcPr>
            <w:tcW w:w="4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8.4%</w:t>
            </w:r>
          </w:p>
        </w:tc>
        <w:tc>
          <w:tcPr>
            <w:tcW w:w="63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250,942</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5,214</w:t>
            </w:r>
          </w:p>
        </w:tc>
        <w:tc>
          <w:tcPr>
            <w:tcW w:w="4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8.3%</w:t>
            </w:r>
          </w:p>
        </w:tc>
        <w:tc>
          <w:tcPr>
            <w:tcW w:w="63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257,562</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5,414</w:t>
            </w:r>
          </w:p>
        </w:tc>
        <w:tc>
          <w:tcPr>
            <w:tcW w:w="4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8.4%</w:t>
            </w:r>
          </w:p>
        </w:tc>
      </w:tr>
      <w:tr>
        <w:trPr/>
        <w:tc>
          <w:tcPr>
            <w:tcW w:w="15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IEA (LC)</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56.5%</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71.1%</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56.4%</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72.5%</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56.5%</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72.3%</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w:t>
            </w:r>
          </w:p>
        </w:tc>
      </w:tr>
      <w:tr>
        <w:trPr/>
        <w:tc>
          <w:tcPr>
            <w:tcW w:w="15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IEA (FC)</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43.5%</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28.9%</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43.6%</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27.5%</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43.5%</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27.7%</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w:t>
            </w:r>
          </w:p>
        </w:tc>
      </w:tr>
    </w:tbl>
    <w:p>
      <w:pPr>
        <w:pStyle w:val="TextBody"/>
        <w:bidi w:val="0"/>
        <w:spacing w:before="0" w:after="0"/>
        <w:jc w:val="both"/>
        <w:rPr>
          <w:caps w:val="false"/>
          <w:smallCaps w:val="false"/>
        </w:rPr>
      </w:pPr>
      <w:r>
        <w:rPr>
          <w:caps w:val="false"/>
          <w:smallCaps w:val="false"/>
        </w:rPr>
        <w:t> </w:t>
      </w:r>
    </w:p>
    <w:tbl>
      <w:tblPr>
        <w:tblW w:w="7070" w:type="dxa"/>
        <w:jc w:val="left"/>
        <w:tblInd w:w="-10" w:type="dxa"/>
        <w:tblLayout w:type="fixed"/>
        <w:tblCellMar>
          <w:top w:w="28" w:type="dxa"/>
          <w:left w:w="60" w:type="dxa"/>
          <w:bottom w:w="0" w:type="dxa"/>
          <w:right w:w="60" w:type="dxa"/>
        </w:tblCellMar>
      </w:tblPr>
      <w:tblGrid>
        <w:gridCol w:w="1940"/>
        <w:gridCol w:w="635"/>
        <w:gridCol w:w="605"/>
        <w:gridCol w:w="470"/>
        <w:gridCol w:w="635"/>
        <w:gridCol w:w="605"/>
        <w:gridCol w:w="470"/>
        <w:gridCol w:w="635"/>
        <w:gridCol w:w="605"/>
        <w:gridCol w:w="470"/>
      </w:tblGrid>
      <w:tr>
        <w:trPr/>
        <w:tc>
          <w:tcPr>
            <w:tcW w:w="1940" w:type="dxa"/>
            <w:vMerge w:val="restart"/>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Interest Expense / Funding</w:t>
            </w:r>
          </w:p>
        </w:tc>
        <w:tc>
          <w:tcPr>
            <w:tcW w:w="171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171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171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r>
      <w:tr>
        <w:trPr/>
        <w:tc>
          <w:tcPr>
            <w:tcW w:w="1940" w:type="dxa"/>
            <w:vMerge w:val="continue"/>
            <w:tcBorders>
              <w:top w:val="single" w:sz="8" w:space="0" w:color="000000"/>
              <w:left w:val="single" w:sz="8" w:space="0" w:color="000000"/>
              <w:right w:val="single" w:sz="8" w:space="0" w:color="000000"/>
            </w:tcBorders>
            <w:shd w:fill="2AD2C9" w:val="clear"/>
            <w:vAlign w:val="center"/>
          </w:tcPr>
          <w:p>
            <w:pPr>
              <w:pStyle w:val="Normal"/>
              <w:bidi w:val="0"/>
              <w:jc w:val="left"/>
              <w:rPr/>
            </w:pPr>
            <w:r>
              <w:rPr/>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Average</w:t>
            </w:r>
          </w:p>
        </w:tc>
        <w:tc>
          <w:tcPr>
            <w:tcW w:w="605" w:type="dxa"/>
            <w:vMerge w:val="restart"/>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Expense</w:t>
            </w:r>
          </w:p>
        </w:tc>
        <w:tc>
          <w:tcPr>
            <w:tcW w:w="470" w:type="dxa"/>
            <w:vMerge w:val="restart"/>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Yields</w:t>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Average</w:t>
            </w:r>
          </w:p>
        </w:tc>
        <w:tc>
          <w:tcPr>
            <w:tcW w:w="605" w:type="dxa"/>
            <w:vMerge w:val="restart"/>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Expense</w:t>
            </w:r>
          </w:p>
        </w:tc>
        <w:tc>
          <w:tcPr>
            <w:tcW w:w="470" w:type="dxa"/>
            <w:vMerge w:val="restart"/>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Yields</w:t>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Average</w:t>
            </w:r>
          </w:p>
        </w:tc>
        <w:tc>
          <w:tcPr>
            <w:tcW w:w="605" w:type="dxa"/>
            <w:vMerge w:val="restart"/>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Expense</w:t>
            </w:r>
          </w:p>
        </w:tc>
        <w:tc>
          <w:tcPr>
            <w:tcW w:w="470" w:type="dxa"/>
            <w:vMerge w:val="restart"/>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Yields</w:t>
            </w:r>
          </w:p>
        </w:tc>
      </w:tr>
      <w:tr>
        <w:trPr/>
        <w:tc>
          <w:tcPr>
            <w:tcW w:w="194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millions</w:t>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Balance</w:t>
            </w:r>
          </w:p>
        </w:tc>
        <w:tc>
          <w:tcPr>
            <w:tcW w:w="605" w:type="dxa"/>
            <w:vMerge w:val="continue"/>
            <w:tcBorders/>
            <w:shd w:fill="2AD2C9" w:val="clear"/>
            <w:tcMar>
              <w:top w:w="0" w:type="dxa"/>
              <w:left w:w="0" w:type="dxa"/>
              <w:right w:w="0" w:type="dxa"/>
            </w:tcMar>
            <w:vAlign w:val="center"/>
          </w:tcPr>
          <w:p>
            <w:pPr>
              <w:pStyle w:val="Normal"/>
              <w:bidi w:val="0"/>
              <w:jc w:val="left"/>
              <w:rPr/>
            </w:pPr>
            <w:r>
              <w:rPr/>
            </w:r>
          </w:p>
        </w:tc>
        <w:tc>
          <w:tcPr>
            <w:tcW w:w="470" w:type="dxa"/>
            <w:vMerge w:val="continue"/>
            <w:tcBorders>
              <w:right w:val="single" w:sz="8" w:space="0" w:color="000000"/>
            </w:tcBorders>
            <w:shd w:fill="2AD2C9" w:val="clear"/>
            <w:tcMar>
              <w:top w:w="0" w:type="dxa"/>
              <w:left w:w="0" w:type="dxa"/>
            </w:tcMar>
            <w:vAlign w:val="center"/>
          </w:tcPr>
          <w:p>
            <w:pPr>
              <w:pStyle w:val="Normal"/>
              <w:bidi w:val="0"/>
              <w:jc w:val="left"/>
              <w:rPr/>
            </w:pPr>
            <w:r>
              <w:rPr/>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Balance</w:t>
            </w:r>
          </w:p>
        </w:tc>
        <w:tc>
          <w:tcPr>
            <w:tcW w:w="605" w:type="dxa"/>
            <w:vMerge w:val="continue"/>
            <w:tcBorders/>
            <w:shd w:fill="2AD2C9" w:val="clear"/>
            <w:tcMar>
              <w:top w:w="0" w:type="dxa"/>
              <w:left w:w="0" w:type="dxa"/>
              <w:right w:w="0" w:type="dxa"/>
            </w:tcMar>
            <w:vAlign w:val="center"/>
          </w:tcPr>
          <w:p>
            <w:pPr>
              <w:pStyle w:val="Normal"/>
              <w:bidi w:val="0"/>
              <w:jc w:val="left"/>
              <w:rPr/>
            </w:pPr>
            <w:r>
              <w:rPr/>
            </w:r>
          </w:p>
        </w:tc>
        <w:tc>
          <w:tcPr>
            <w:tcW w:w="470" w:type="dxa"/>
            <w:vMerge w:val="continue"/>
            <w:tcBorders>
              <w:right w:val="single" w:sz="8" w:space="0" w:color="000000"/>
            </w:tcBorders>
            <w:shd w:fill="2AD2C9" w:val="clear"/>
            <w:tcMar>
              <w:top w:w="0" w:type="dxa"/>
              <w:left w:w="0" w:type="dxa"/>
            </w:tcMar>
            <w:vAlign w:val="center"/>
          </w:tcPr>
          <w:p>
            <w:pPr>
              <w:pStyle w:val="Normal"/>
              <w:bidi w:val="0"/>
              <w:jc w:val="left"/>
              <w:rPr/>
            </w:pPr>
            <w:r>
              <w:rPr/>
            </w:r>
          </w:p>
        </w:tc>
        <w:tc>
          <w:tcPr>
            <w:tcW w:w="63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Balance</w:t>
            </w:r>
          </w:p>
        </w:tc>
        <w:tc>
          <w:tcPr>
            <w:tcW w:w="605" w:type="dxa"/>
            <w:vMerge w:val="continue"/>
            <w:tcBorders/>
            <w:shd w:fill="2AD2C9" w:val="clear"/>
            <w:tcMar>
              <w:top w:w="0" w:type="dxa"/>
              <w:left w:w="0" w:type="dxa"/>
              <w:right w:w="0" w:type="dxa"/>
            </w:tcMar>
            <w:vAlign w:val="center"/>
          </w:tcPr>
          <w:p>
            <w:pPr>
              <w:pStyle w:val="Normal"/>
              <w:bidi w:val="0"/>
              <w:jc w:val="left"/>
              <w:rPr/>
            </w:pPr>
            <w:r>
              <w:rPr/>
            </w:r>
          </w:p>
        </w:tc>
        <w:tc>
          <w:tcPr>
            <w:tcW w:w="470" w:type="dxa"/>
            <w:vMerge w:val="continue"/>
            <w:tcBorders>
              <w:right w:val="single" w:sz="8" w:space="0" w:color="000000"/>
            </w:tcBorders>
            <w:shd w:fill="2AD2C9" w:val="clear"/>
            <w:tcMar>
              <w:top w:w="0" w:type="dxa"/>
              <w:left w:w="0" w:type="dxa"/>
            </w:tcMar>
            <w:vAlign w:val="center"/>
          </w:tcPr>
          <w:p>
            <w:pPr>
              <w:pStyle w:val="Normal"/>
              <w:bidi w:val="0"/>
              <w:jc w:val="left"/>
              <w:rPr/>
            </w:pPr>
            <w:r>
              <w:rPr/>
            </w:r>
          </w:p>
        </w:tc>
      </w:tr>
      <w:tr>
        <w:trPr/>
        <w:tc>
          <w:tcPr>
            <w:tcW w:w="194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(LC + FC)</w:t>
            </w:r>
          </w:p>
        </w:tc>
        <w:tc>
          <w:tcPr>
            <w:tcW w:w="635" w:type="dxa"/>
            <w:tcBorders>
              <w:top w:val="single" w:sz="8" w:space="0" w:color="000000"/>
            </w:tcBorders>
            <w:shd w:fill="FFFFFF" w:val="clear"/>
            <w:tcMar>
              <w:left w:w="0" w:type="dxa"/>
              <w:right w:w="0" w:type="dxa"/>
            </w:tcMar>
            <w:vAlign w:val="center"/>
          </w:tcPr>
          <w:p>
            <w:pPr>
              <w:pStyle w:val="TableContents"/>
              <w:bidi w:val="0"/>
              <w:spacing w:before="0" w:after="283"/>
              <w:jc w:val="center"/>
              <w:rPr>
                <w:color w:val="FFFFFF"/>
              </w:rPr>
            </w:pPr>
            <w:r>
              <w:rPr>
                <w:color w:val="FFFFFF"/>
              </w:rPr>
              <w:t> </w:t>
            </w:r>
          </w:p>
        </w:tc>
        <w:tc>
          <w:tcPr>
            <w:tcW w:w="605" w:type="dxa"/>
            <w:tcBorders>
              <w:top w:val="single" w:sz="8" w:space="0" w:color="000000"/>
            </w:tcBorders>
            <w:shd w:fill="FFFFFF" w:val="clear"/>
            <w:tcMar>
              <w:left w:w="0" w:type="dxa"/>
              <w:right w:w="0" w:type="dxa"/>
            </w:tcMar>
            <w:vAlign w:val="center"/>
          </w:tcPr>
          <w:p>
            <w:pPr>
              <w:pStyle w:val="TableContents"/>
              <w:bidi w:val="0"/>
              <w:spacing w:before="0" w:after="283"/>
              <w:jc w:val="center"/>
              <w:rPr>
                <w:color w:val="FFFFFF"/>
              </w:rPr>
            </w:pPr>
            <w:r>
              <w:rPr>
                <w:color w:val="FFFFFF"/>
              </w:rPr>
              <w:t> </w:t>
            </w:r>
          </w:p>
        </w:tc>
        <w:tc>
          <w:tcPr>
            <w:tcW w:w="470" w:type="dxa"/>
            <w:tcBorders>
              <w:top w:val="single" w:sz="8" w:space="0" w:color="000000"/>
              <w:right w:val="single" w:sz="8" w:space="0" w:color="000000"/>
            </w:tcBorders>
            <w:shd w:fill="FFFFFF" w:val="clear"/>
            <w:tcMar>
              <w:left w:w="0" w:type="dxa"/>
            </w:tcMar>
            <w:vAlign w:val="center"/>
          </w:tcPr>
          <w:p>
            <w:pPr>
              <w:pStyle w:val="TableContents"/>
              <w:bidi w:val="0"/>
              <w:spacing w:before="0" w:after="283"/>
              <w:jc w:val="center"/>
              <w:rPr>
                <w:color w:val="FFFFFF"/>
              </w:rPr>
            </w:pPr>
            <w:r>
              <w:rPr>
                <w:color w:val="FFFFFF"/>
              </w:rPr>
              <w:t> </w:t>
            </w:r>
          </w:p>
        </w:tc>
        <w:tc>
          <w:tcPr>
            <w:tcW w:w="635" w:type="dxa"/>
            <w:tcBorders>
              <w:top w:val="single" w:sz="8" w:space="0" w:color="000000"/>
            </w:tcBorders>
            <w:shd w:fill="FFFFFF" w:val="clear"/>
            <w:tcMar>
              <w:left w:w="0" w:type="dxa"/>
              <w:right w:w="0" w:type="dxa"/>
            </w:tcMar>
            <w:vAlign w:val="center"/>
          </w:tcPr>
          <w:p>
            <w:pPr>
              <w:pStyle w:val="TableContents"/>
              <w:bidi w:val="0"/>
              <w:spacing w:before="0" w:after="283"/>
              <w:jc w:val="center"/>
              <w:rPr>
                <w:color w:val="FFFFFF"/>
              </w:rPr>
            </w:pPr>
            <w:r>
              <w:rPr>
                <w:color w:val="FFFFFF"/>
              </w:rPr>
              <w:t> </w:t>
            </w:r>
          </w:p>
        </w:tc>
        <w:tc>
          <w:tcPr>
            <w:tcW w:w="605" w:type="dxa"/>
            <w:tcBorders>
              <w:top w:val="single" w:sz="8" w:space="0" w:color="000000"/>
            </w:tcBorders>
            <w:shd w:fill="FFFFFF" w:val="clear"/>
            <w:tcMar>
              <w:left w:w="0" w:type="dxa"/>
              <w:right w:w="0" w:type="dxa"/>
            </w:tcMar>
            <w:vAlign w:val="center"/>
          </w:tcPr>
          <w:p>
            <w:pPr>
              <w:pStyle w:val="TableContents"/>
              <w:bidi w:val="0"/>
              <w:spacing w:before="0" w:after="283"/>
              <w:jc w:val="center"/>
              <w:rPr>
                <w:color w:val="FFFFFF"/>
              </w:rPr>
            </w:pPr>
            <w:r>
              <w:rPr>
                <w:color w:val="FFFFFF"/>
              </w:rPr>
              <w:t> </w:t>
            </w:r>
          </w:p>
        </w:tc>
        <w:tc>
          <w:tcPr>
            <w:tcW w:w="470" w:type="dxa"/>
            <w:tcBorders>
              <w:top w:val="single" w:sz="8" w:space="0" w:color="000000"/>
              <w:right w:val="single" w:sz="8" w:space="0" w:color="000000"/>
            </w:tcBorders>
            <w:shd w:fill="FFFFFF" w:val="clear"/>
            <w:tcMar>
              <w:left w:w="0" w:type="dxa"/>
            </w:tcMar>
            <w:vAlign w:val="center"/>
          </w:tcPr>
          <w:p>
            <w:pPr>
              <w:pStyle w:val="TableContents"/>
              <w:bidi w:val="0"/>
              <w:spacing w:before="0" w:after="283"/>
              <w:jc w:val="center"/>
              <w:rPr>
                <w:color w:val="FFFFFF"/>
              </w:rPr>
            </w:pPr>
            <w:r>
              <w:rPr>
                <w:color w:val="FFFFFF"/>
              </w:rPr>
              <w:t> </w:t>
            </w:r>
          </w:p>
        </w:tc>
        <w:tc>
          <w:tcPr>
            <w:tcW w:w="635" w:type="dxa"/>
            <w:tcBorders>
              <w:top w:val="single" w:sz="8" w:space="0" w:color="000000"/>
            </w:tcBorders>
            <w:shd w:fill="FFFFFF" w:val="clear"/>
            <w:tcMar>
              <w:left w:w="0" w:type="dxa"/>
              <w:right w:w="0" w:type="dxa"/>
            </w:tcMar>
            <w:vAlign w:val="center"/>
          </w:tcPr>
          <w:p>
            <w:pPr>
              <w:pStyle w:val="TableContents"/>
              <w:bidi w:val="0"/>
              <w:spacing w:before="0" w:after="283"/>
              <w:jc w:val="center"/>
              <w:rPr>
                <w:color w:val="FFFFFF"/>
              </w:rPr>
            </w:pPr>
            <w:r>
              <w:rPr>
                <w:color w:val="FFFFFF"/>
              </w:rPr>
              <w:t> </w:t>
            </w:r>
          </w:p>
        </w:tc>
        <w:tc>
          <w:tcPr>
            <w:tcW w:w="605" w:type="dxa"/>
            <w:tcBorders>
              <w:top w:val="single" w:sz="8" w:space="0" w:color="000000"/>
            </w:tcBorders>
            <w:shd w:fill="FFFFFF" w:val="clear"/>
            <w:tcMar>
              <w:left w:w="0" w:type="dxa"/>
              <w:right w:w="0" w:type="dxa"/>
            </w:tcMar>
            <w:vAlign w:val="center"/>
          </w:tcPr>
          <w:p>
            <w:pPr>
              <w:pStyle w:val="TableContents"/>
              <w:bidi w:val="0"/>
              <w:spacing w:before="0" w:after="283"/>
              <w:jc w:val="center"/>
              <w:rPr>
                <w:color w:val="FFFFFF"/>
              </w:rPr>
            </w:pPr>
            <w:r>
              <w:rPr>
                <w:color w:val="FFFFFF"/>
              </w:rPr>
              <w:t> </w:t>
            </w:r>
          </w:p>
        </w:tc>
        <w:tc>
          <w:tcPr>
            <w:tcW w:w="470" w:type="dxa"/>
            <w:tcBorders>
              <w:top w:val="single" w:sz="8" w:space="0" w:color="000000"/>
              <w:right w:val="single" w:sz="8" w:space="0" w:color="000000"/>
            </w:tcBorders>
            <w:shd w:fill="FFFFFF" w:val="clear"/>
            <w:tcMar>
              <w:left w:w="0" w:type="dxa"/>
            </w:tcMar>
            <w:vAlign w:val="center"/>
          </w:tcPr>
          <w:p>
            <w:pPr>
              <w:pStyle w:val="TableContents"/>
              <w:bidi w:val="0"/>
              <w:spacing w:before="0" w:after="283"/>
              <w:jc w:val="center"/>
              <w:rPr>
                <w:color w:val="FFFFFF"/>
              </w:rPr>
            </w:pPr>
            <w:r>
              <w:rPr>
                <w:color w:val="FFFFFF"/>
              </w:rPr>
              <w:t> </w:t>
            </w:r>
          </w:p>
        </w:tc>
      </w:tr>
      <w:tr>
        <w:trPr/>
        <w:tc>
          <w:tcPr>
            <w:tcW w:w="194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Deposits</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156,171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541</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174,642</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539</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180,500</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566</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w:t>
            </w:r>
          </w:p>
        </w:tc>
      </w:tr>
      <w:tr>
        <w:trPr/>
        <w:tc>
          <w:tcPr>
            <w:tcW w:w="194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BCRP + Due to Banks</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17,107</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265</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14,001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211</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14,175</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224</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w:t>
            </w:r>
          </w:p>
        </w:tc>
      </w:tr>
      <w:tr>
        <w:trPr/>
        <w:tc>
          <w:tcPr>
            <w:tcW w:w="194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Bonds and Notes</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13,252</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193</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14,389</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188</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14,770</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195</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w:t>
            </w:r>
          </w:p>
        </w:tc>
      </w:tr>
      <w:tr>
        <w:trPr/>
        <w:tc>
          <w:tcPr>
            <w:tcW w:w="194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Others</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4,632</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307</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26.5%</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3,501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311</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35.5%</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3,933</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332</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33.8%</w:t>
            </w:r>
          </w:p>
        </w:tc>
      </w:tr>
      <w:tr>
        <w:trPr/>
        <w:tc>
          <w:tcPr>
            <w:tcW w:w="1940"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Funding</w:t>
            </w:r>
          </w:p>
        </w:tc>
        <w:tc>
          <w:tcPr>
            <w:tcW w:w="63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191,162</w:t>
            </w:r>
          </w:p>
        </w:tc>
        <w:tc>
          <w:tcPr>
            <w:tcW w:w="60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1,306</w:t>
            </w:r>
          </w:p>
        </w:tc>
        <w:tc>
          <w:tcPr>
            <w:tcW w:w="4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w:t>
            </w:r>
          </w:p>
        </w:tc>
        <w:tc>
          <w:tcPr>
            <w:tcW w:w="63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206,533</w:t>
            </w:r>
          </w:p>
        </w:tc>
        <w:tc>
          <w:tcPr>
            <w:tcW w:w="60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1,249</w:t>
            </w:r>
          </w:p>
        </w:tc>
        <w:tc>
          <w:tcPr>
            <w:tcW w:w="4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w:t>
            </w:r>
          </w:p>
        </w:tc>
        <w:tc>
          <w:tcPr>
            <w:tcW w:w="63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213,378</w:t>
            </w:r>
          </w:p>
        </w:tc>
        <w:tc>
          <w:tcPr>
            <w:tcW w:w="60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1,317</w:t>
            </w:r>
          </w:p>
        </w:tc>
        <w:tc>
          <w:tcPr>
            <w:tcW w:w="4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w:t>
            </w:r>
          </w:p>
        </w:tc>
      </w:tr>
      <w:tr>
        <w:trPr/>
        <w:tc>
          <w:tcPr>
            <w:tcW w:w="194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Funding (LC)</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52.4%</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51.9%</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54.3%</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53.2%</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53.4%</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52.5%</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r>
      <w:tr>
        <w:trPr/>
        <w:tc>
          <w:tcPr>
            <w:tcW w:w="194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Funding (FC)</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47.6%</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48.1%</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45.7%</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46.8%</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46.6%</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47.5%</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w:t>
            </w:r>
          </w:p>
        </w:tc>
      </w:tr>
    </w:tbl>
    <w:p>
      <w:pPr>
        <w:pStyle w:val="TextBody"/>
        <w:bidi w:val="0"/>
        <w:spacing w:before="0" w:after="0"/>
        <w:jc w:val="both"/>
        <w:rPr>
          <w:caps w:val="false"/>
          <w:smallCaps w:val="false"/>
        </w:rPr>
      </w:pPr>
      <w:r>
        <w:rPr>
          <w:caps w:val="false"/>
          <w:smallCaps w:val="false"/>
        </w:rPr>
        <w:t> </w:t>
      </w:r>
    </w:p>
    <w:tbl>
      <w:tblPr>
        <w:tblW w:w="5180" w:type="dxa"/>
        <w:jc w:val="left"/>
        <w:tblInd w:w="-10" w:type="dxa"/>
        <w:tblLayout w:type="fixed"/>
        <w:tblCellMar>
          <w:top w:w="28" w:type="dxa"/>
          <w:left w:w="60" w:type="dxa"/>
          <w:bottom w:w="28" w:type="dxa"/>
          <w:right w:w="60" w:type="dxa"/>
        </w:tblCellMar>
      </w:tblPr>
      <w:tblGrid>
        <w:gridCol w:w="725"/>
        <w:gridCol w:w="605"/>
        <w:gridCol w:w="470"/>
        <w:gridCol w:w="410"/>
        <w:gridCol w:w="605"/>
        <w:gridCol w:w="470"/>
        <w:gridCol w:w="410"/>
        <w:gridCol w:w="605"/>
        <w:gridCol w:w="470"/>
        <w:gridCol w:w="410"/>
      </w:tblGrid>
      <w:tr>
        <w:trPr/>
        <w:tc>
          <w:tcPr>
            <w:tcW w:w="7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NIM</w:t>
            </w:r>
            <w:r>
              <w:rPr>
                <w:rFonts w:ascii="Times New Roman;Times;Serif" w:hAnsi="Times New Roman;Times;Serif"/>
                <w:b/>
                <w:i w:val="false"/>
                <w:caps w:val="false"/>
                <w:smallCaps w:val="false"/>
                <w:sz w:val="16"/>
              </w:rPr>
              <w:t>(1)</w:t>
            </w:r>
          </w:p>
        </w:tc>
        <w:tc>
          <w:tcPr>
            <w:tcW w:w="60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233,762</w:t>
            </w:r>
          </w:p>
        </w:tc>
        <w:tc>
          <w:tcPr>
            <w:tcW w:w="4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3,616</w:t>
            </w:r>
          </w:p>
        </w:tc>
        <w:tc>
          <w:tcPr>
            <w:tcW w:w="4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6.2%</w:t>
            </w:r>
          </w:p>
        </w:tc>
        <w:tc>
          <w:tcPr>
            <w:tcW w:w="60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250,942</w:t>
            </w:r>
          </w:p>
        </w:tc>
        <w:tc>
          <w:tcPr>
            <w:tcW w:w="4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3,965</w:t>
            </w:r>
          </w:p>
        </w:tc>
        <w:tc>
          <w:tcPr>
            <w:tcW w:w="4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6.3%</w:t>
            </w:r>
          </w:p>
        </w:tc>
        <w:tc>
          <w:tcPr>
            <w:tcW w:w="60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257,562</w:t>
            </w:r>
          </w:p>
        </w:tc>
        <w:tc>
          <w:tcPr>
            <w:tcW w:w="4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4,097</w:t>
            </w:r>
          </w:p>
        </w:tc>
        <w:tc>
          <w:tcPr>
            <w:tcW w:w="4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6.4%</w:t>
            </w:r>
          </w:p>
        </w:tc>
      </w:tr>
      <w:tr>
        <w:trPr/>
        <w:tc>
          <w:tcPr>
            <w:tcW w:w="7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NIM (LC)</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56.5%</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78.0%</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56.4%</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78.6%</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8.8%</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56.5%</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78.7%</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8.9%</w:t>
            </w:r>
          </w:p>
        </w:tc>
      </w:tr>
      <w:tr>
        <w:trPr/>
        <w:tc>
          <w:tcPr>
            <w:tcW w:w="7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NIM (FC)</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43.5%</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22.0%</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43.6%</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21.4%</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43.5%</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21.3%</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w:t>
            </w:r>
          </w:p>
        </w:tc>
      </w:tr>
    </w:tbl>
    <w:p>
      <w:pPr>
        <w:pStyle w:val="TextBody"/>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Unlike the NIM figure calculated according to the formula in Appendix 12.8, the NIM presented in this table includes “Financial Expense associated with the insurance and reinsurance activity,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QoQ analysis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QoQ, </w:t>
      </w:r>
      <w:r>
        <w:rPr>
          <w:rFonts w:ascii="Times New Roman;Times;Serif" w:hAnsi="Times New Roman;Times;Serif"/>
          <w:b/>
          <w:i w:val="false"/>
          <w:caps w:val="false"/>
          <w:smallCaps w:val="false"/>
          <w:sz w:val="20"/>
        </w:rPr>
        <w:t xml:space="preserve">Net Interest Income (NII) </w:t>
      </w:r>
      <w:r>
        <w:rPr>
          <w:rFonts w:ascii="Times New Roman;Times;Serif" w:hAnsi="Times New Roman;Times;Serif"/>
          <w:b w:val="false"/>
          <w:i w:val="false"/>
          <w:caps w:val="false"/>
          <w:smallCaps w:val="false"/>
          <w:sz w:val="20"/>
        </w:rPr>
        <w:t>rose 3.4%, driven mainly by growth in NII in LC and secondarily, in FC. IEA in LC represented 56.5% of total IEA at the end of 2Q26 and accounted for 72.3% of interest income generated this quarter.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Currency Dynamics (LC)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NII </w:t>
      </w: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LC</w:t>
      </w:r>
      <w:r>
        <w:rPr>
          <w:rFonts w:ascii="Times New Roman;Times;Serif" w:hAnsi="Times New Roman;Times;Serif"/>
          <w:b w:val="false"/>
          <w:i w:val="false"/>
          <w:caps w:val="false"/>
          <w:smallCaps w:val="false"/>
          <w:sz w:val="20"/>
        </w:rPr>
        <w:t xml:space="preserve"> increased 3.5%. This evolution was driven by growth in interest income, which rose after growth in loan volumes at BCP and Mibanco drove an increase in interest on loans. Interest expenses ticked up on the back of a rise in expenses for deposits, which</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19125"/>
            <wp:effectExtent l="0" t="0" r="0" b="0"/>
            <wp:docPr id="8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6" descr=""/>
                    <pic:cNvPicPr>
                      <a:picLocks noChangeAspect="1" noChangeArrowheads="1"/>
                    </pic:cNvPicPr>
                  </pic:nvPicPr>
                  <pic:blipFill>
                    <a:blip r:embed="rId82"/>
                    <a:stretch>
                      <a:fillRect/>
                    </a:stretch>
                  </pic:blipFill>
                  <pic:spPr bwMode="auto">
                    <a:xfrm>
                      <a:off x="0" y="0"/>
                      <a:ext cx="7620000" cy="619125"/>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9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7" descr=""/>
                          <pic:cNvPicPr>
                            <a:picLocks noChangeAspect="1" noChangeArrowheads="1"/>
                          </pic:cNvPicPr>
                        </pic:nvPicPr>
                        <pic:blipFill>
                          <a:blip r:embed="rId83"/>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04. Net Interest Income (NII)</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primarily through an uptick in time deposits’ share of the funding and secondarily, through growth in expenses for BCRP and Banks, which was impacted by an increase in BCRP repos.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Dynamics (FC)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NII </w:t>
      </w: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 xml:space="preserve">FC </w:t>
      </w:r>
      <w:r>
        <w:rPr>
          <w:rFonts w:ascii="Times New Roman;Times;Serif" w:hAnsi="Times New Roman;Times;Serif"/>
          <w:b w:val="false"/>
          <w:i w:val="false"/>
          <w:caps w:val="false"/>
          <w:smallCaps w:val="false"/>
          <w:sz w:val="20"/>
        </w:rPr>
        <w:t>increased 2.9% QoQ. This growth was fueled mainly by (i) growth in income on Loans, which was driven primarily by an increase in loan volumes, mainly in Wholesale Banking at BCP and (ii) an uptick in income from Investments. Growth in expenses in FC was driven mainly by higher expenses for deposits, mainly through Wholesale Banking at BCP.</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YoY Analysis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YoY, </w:t>
      </w:r>
      <w:r>
        <w:rPr>
          <w:rFonts w:ascii="Times New Roman;Times;Serif" w:hAnsi="Times New Roman;Times;Serif"/>
          <w:b/>
          <w:i w:val="false"/>
          <w:caps w:val="false"/>
          <w:smallCaps w:val="false"/>
          <w:sz w:val="20"/>
        </w:rPr>
        <w:t>NII</w:t>
      </w:r>
      <w:r>
        <w:rPr>
          <w:rFonts w:ascii="Times New Roman;Times;Serif" w:hAnsi="Times New Roman;Times;Serif"/>
          <w:b w:val="false"/>
          <w:i w:val="false"/>
          <w:caps w:val="false"/>
          <w:smallCaps w:val="false"/>
          <w:sz w:val="20"/>
        </w:rPr>
        <w:t xml:space="preserve"> rose 13.3%, driven primarily by an increase in NII in LC and to a lesser extent, in FC.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Dynamics in Local Currency (LC)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NII </w:t>
      </w: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LC</w:t>
      </w:r>
      <w:r>
        <w:rPr>
          <w:rFonts w:ascii="Times New Roman;Times;Serif" w:hAnsi="Times New Roman;Times;Serif"/>
          <w:b w:val="false"/>
          <w:i w:val="false"/>
          <w:caps w:val="false"/>
          <w:smallCaps w:val="false"/>
          <w:sz w:val="20"/>
        </w:rPr>
        <w:t xml:space="preserve"> increased 14.4% YoY, fueled mainly by growth in interest income and a drop in interest expenses. These results were driven by the following dynamics: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rose primarily through growth in interest on Loans, which increased alongside growth in loan volumes at BCP and Mibanco. Growth in Investment income, which was boosted by our strategy to take advantage of market opportunities, was a secondary driver in the uptick in interest income. In this context, the IEA yield in LC reported an increase of 18 bps at quarter-end.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fell in 2Q26, driven downward by an increase in low-cost deposits’ share of the funding mix, which was fueled by inflows from pension fund withdrawals. It is important to note that in a high-liquidity environment, our balance for BCRP and Banks fell, spurred by both a drop in the number of repurchase agreements offered by BCRP and a decrease in funding needs. The funding cost in LC dropped 28 bps to stand at 2.4% at quarter-end.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Dynamics (FC)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NII </w:t>
      </w: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FC</w:t>
      </w:r>
      <w:r>
        <w:rPr>
          <w:rFonts w:ascii="Times New Roman;Times;Serif" w:hAnsi="Times New Roman;Times;Serif"/>
          <w:b w:val="false"/>
          <w:i w:val="false"/>
          <w:caps w:val="false"/>
          <w:smallCaps w:val="false"/>
          <w:sz w:val="20"/>
        </w:rPr>
        <w:t xml:space="preserve"> rose 9.6% YoY on the back of the following dynamics: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rose year-over-year. This evolution was driven mainly by growth in interest on loans, which rose alongside an uptick in Wholesale Banking volumes at BCP. IEA in FC dropped YoY, fueled primarily by a shift in the mix where Cash and due from banks, which offer lower yields than loans, increased their share of the mix. This mix effect diluted the IEA yield in FC, which fell 26 bps over the period to stand at 5.3%.</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in FC fell, impacted by a decrease in rates. As a result, the cost of funding in FC dropped 24 bps to stand at 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 Analysis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 NII rose 12.1%, driven by growth in both LC and FC.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Dynamics in local currency (LC)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NII in LC grew 13.9%. This evolution was driven mainly by growth in interest income and secondarily by a drop in interest expenses. On the income side, the increase was fueled by higher income from loans, which rose through the same dynamics that drove the YoY improvement. In the case of expenses, the drop was driven by a decrease in expenses for Deposits, which was spurred by the same factors that drove the YoY evolution.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Dynamics in foreign currency (FC)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NII in FC rose 6.1%, driven mainly by an increase in interest income, which was fueled by growth in income from Loans (through the same dynamics seen YoY). The drop in interest expenses, which was led by a decrease in interest from due to banks, was a secondary driver of NII growth in FC.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495300"/>
            <wp:effectExtent l="0" t="0" r="0" b="0"/>
            <wp:docPr id="9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8" descr=""/>
                    <pic:cNvPicPr>
                      <a:picLocks noChangeAspect="1" noChangeArrowheads="1"/>
                    </pic:cNvPicPr>
                  </pic:nvPicPr>
                  <pic:blipFill>
                    <a:blip r:embed="rId84"/>
                    <a:stretch>
                      <a:fillRect/>
                    </a:stretch>
                  </pic:blipFill>
                  <pic:spPr bwMode="auto">
                    <a:xfrm>
                      <a:off x="0" y="0"/>
                      <a:ext cx="7620000" cy="495300"/>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9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9" descr=""/>
                          <pic:cNvPicPr>
                            <a:picLocks noChangeAspect="1" noChangeArrowheads="1"/>
                          </pic:cNvPicPr>
                        </pic:nvPicPr>
                        <pic:blipFill>
                          <a:blip r:embed="rId85"/>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FF0000"/>
        </w:rPr>
      </w:pPr>
      <w:r>
        <w:rPr>
          <w:caps w:val="false"/>
          <w:smallCaps w:val="false"/>
          <w:color w:val="FF0000"/>
        </w:rPr>
        <w:t> </w:t>
      </w:r>
    </w:p>
    <w:tbl>
      <w:tblPr>
        <w:tblW w:w="5365" w:type="dxa"/>
        <w:jc w:val="left"/>
        <w:tblInd w:w="0" w:type="dxa"/>
        <w:tblLayout w:type="fixed"/>
        <w:tblCellMar>
          <w:top w:w="0" w:type="dxa"/>
          <w:left w:w="0" w:type="dxa"/>
          <w:bottom w:w="0" w:type="dxa"/>
          <w:right w:w="0" w:type="dxa"/>
        </w:tblCellMar>
      </w:tblPr>
      <w:tblGrid>
        <w:gridCol w:w="635"/>
        <w:gridCol w:w="4730"/>
      </w:tblGrid>
      <w:tr>
        <w:trPr/>
        <w:tc>
          <w:tcPr>
            <w:tcW w:w="635" w:type="dxa"/>
            <w:tcBorders/>
            <w:vAlign w:val="center"/>
          </w:tcPr>
          <w:p>
            <w:pPr>
              <w:pStyle w:val="TableContents"/>
              <w:bidi w:val="0"/>
              <w:spacing w:before="0" w:after="283"/>
              <w:jc w:val="left"/>
              <w:rPr>
                <w:rFonts w:ascii="Times New Roman;Times;Serif" w:hAnsi="Times New Roman;Times;Serif"/>
                <w:b/>
                <w:sz w:val="58"/>
              </w:rPr>
            </w:pPr>
            <w:r>
              <w:rPr>
                <w:rFonts w:ascii="Times New Roman;Times;Serif" w:hAnsi="Times New Roman;Times;Serif"/>
                <w:b/>
                <w:sz w:val="58"/>
              </w:rPr>
              <w:t>05</w:t>
            </w:r>
          </w:p>
        </w:tc>
        <w:tc>
          <w:tcPr>
            <w:tcW w:w="4730" w:type="dxa"/>
            <w:tcBorders/>
            <w:vAlign w:val="center"/>
          </w:tcPr>
          <w:p>
            <w:pPr>
              <w:pStyle w:val="TableContents"/>
              <w:bidi w:val="0"/>
              <w:spacing w:before="0" w:after="283"/>
              <w:jc w:val="left"/>
              <w:rPr>
                <w:rFonts w:ascii="Times New Roman;Times;Serif" w:hAnsi="Times New Roman;Times;Serif"/>
                <w:sz w:val="36"/>
              </w:rPr>
            </w:pPr>
            <w:r>
              <w:rPr>
                <w:rFonts w:ascii="Times New Roman;Times;Serif" w:hAnsi="Times New Roman;Times;Serif"/>
                <w:sz w:val="36"/>
              </w:rPr>
              <w:t>Portfolio Quality and Provisions</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BAB" w:val="clear"/>
            <w:vAlign w:val="center"/>
          </w:tcPr>
          <w:p>
            <w:pPr>
              <w:pStyle w:val="TableContents"/>
              <w:bidi w:val="0"/>
              <w:spacing w:before="0" w:after="0"/>
              <w:jc w:val="both"/>
              <w:rPr>
                <w:rFonts w:ascii="Times New Roman;Times;Serif" w:hAnsi="Times New Roman;Times;Serif"/>
                <w:color w:val="FFFFFF"/>
                <w:sz w:val="20"/>
              </w:rPr>
            </w:pPr>
            <w:r>
              <w:rPr>
                <w:rFonts w:ascii="Times New Roman;Times;Serif" w:hAnsi="Times New Roman;Times;Serif"/>
                <w:color w:val="FFFFFF"/>
                <w:sz w:val="20"/>
              </w:rPr>
              <w:t>Portfolio quality continued to evolve favorably, backed by a positive economic backdrop, an uptick in the quality of origination, and improvements in monitoring, collections and recovery. This has enabled sustained growth in higher-yield segments within a controlled risk framework and in line with our defined risk appetite. QoQ, the NPL portfolio declined mainly due to BCP Stand-alone, reflecting a continued reduction in risk levels, partially offset by Mibanco. YoY, the improvement was driven by BCP Stand-alone and Mibanco, supported by stronger risk management capabilities.</w:t>
            </w:r>
          </w:p>
          <w:p>
            <w:pPr>
              <w:pStyle w:val="TableContents"/>
              <w:bidi w:val="0"/>
              <w:spacing w:before="0" w:after="0"/>
              <w:jc w:val="both"/>
              <w:rPr>
                <w:color w:val="FFFFFF"/>
              </w:rPr>
            </w:pPr>
            <w:r>
              <w:rPr>
                <w:color w:val="FFFFFF"/>
              </w:rPr>
              <w:t> </w:t>
            </w:r>
          </w:p>
          <w:p>
            <w:pPr>
              <w:pStyle w:val="TableContents"/>
              <w:bidi w:val="0"/>
              <w:spacing w:before="0" w:after="0"/>
              <w:jc w:val="both"/>
              <w:rPr>
                <w:rFonts w:ascii="Times New Roman;Times;Serif" w:hAnsi="Times New Roman;Times;Serif"/>
                <w:color w:val="FFFFFF"/>
                <w:sz w:val="20"/>
              </w:rPr>
            </w:pPr>
            <w:r>
              <w:rPr>
                <w:rFonts w:ascii="Times New Roman;Times;Serif" w:hAnsi="Times New Roman;Times;Serif"/>
                <w:color w:val="FFFFFF"/>
                <w:sz w:val="20"/>
              </w:rPr>
              <w:t>In 2Q26, based on currently available information, approximately S/106 million in additional provisions associated with the El Niño Phenomenon (FEN) were recorded, bringing the Cost of Risk (CoR) to 1.9%. Excluding this impact, the underlying CoR stood at 1.6%, reflecting continued favorable portfolio quality trends, while gradually normalizing in line with loan portfolio growth. QoQ, the increase in provisions was mainly driven by BCP Stand-alone, due to stronger activity in higher-yield products from Consumer and SME-Pyme. YoY, the uptick was driven by BCP Stand-alone and, to a lesser extent, by Mibanco, where provisions rose on the back of portfolio growth.</w:t>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quality indicators continued to show broad-based improvement across segments, reflecting sustained progress in the main portfolios. These advances are supported by stronger risk management capabilities, as we leverage data, analytics and more sophisticated tools to bolster origination, monitoring and collections.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Portfolio Quality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of Total Loans (in quarter-end balances)</w:t>
      </w:r>
    </w:p>
    <w:p>
      <w:pPr>
        <w:pStyle w:val="TextBody"/>
        <w:bidi w:val="0"/>
        <w:spacing w:before="0" w:after="0"/>
        <w:jc w:val="left"/>
        <w:rPr>
          <w:caps w:val="false"/>
          <w:smallCaps w:val="false"/>
        </w:rPr>
      </w:pPr>
      <w:r>
        <w:rPr>
          <w:caps w:val="false"/>
          <w:smallCaps w:val="false"/>
        </w:rPr>
        <w:t> </w:t>
      </w:r>
    </w:p>
    <w:tbl>
      <w:tblPr>
        <w:tblW w:w="7305" w:type="dxa"/>
        <w:jc w:val="left"/>
        <w:tblInd w:w="-10" w:type="dxa"/>
        <w:tblLayout w:type="fixed"/>
        <w:tblCellMar>
          <w:top w:w="28" w:type="dxa"/>
          <w:left w:w="60" w:type="dxa"/>
          <w:bottom w:w="0" w:type="dxa"/>
          <w:right w:w="0" w:type="dxa"/>
        </w:tblCellMar>
      </w:tblPr>
      <w:tblGrid>
        <w:gridCol w:w="3455"/>
        <w:gridCol w:w="920"/>
        <w:gridCol w:w="920"/>
        <w:gridCol w:w="920"/>
        <w:gridCol w:w="545"/>
        <w:gridCol w:w="545"/>
      </w:tblGrid>
      <w:tr>
        <w:trPr/>
        <w:tc>
          <w:tcPr>
            <w:tcW w:w="3455" w:type="dxa"/>
            <w:tcBorders>
              <w:top w:val="single" w:sz="8" w:space="0" w:color="000000"/>
              <w:lef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Loan Portfolio Quality and Delinquency Ratios</w:t>
            </w:r>
          </w:p>
        </w:tc>
        <w:tc>
          <w:tcPr>
            <w:tcW w:w="2760" w:type="dxa"/>
            <w:gridSpan w:val="3"/>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090" w:type="dxa"/>
            <w:gridSpan w:val="2"/>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455" w:type="dxa"/>
            <w:tcBorders>
              <w:left w:val="single" w:sz="8" w:space="0" w:color="000000"/>
            </w:tcBorders>
            <w:shd w:fill="2AD2C9" w:val="clear"/>
            <w:tcMar>
              <w:top w:w="0"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920" w:type="dxa"/>
            <w:tcBorders>
              <w:left w:val="single" w:sz="8" w:space="0" w:color="000000"/>
            </w:tcBorders>
            <w:shd w:fill="2AD2C9" w:val="clear"/>
            <w:tcMar>
              <w:top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920" w:type="dxa"/>
            <w:tcBorders>
              <w:right w:val="single" w:sz="8" w:space="0" w:color="000000"/>
            </w:tcBorders>
            <w:shd w:fill="2AD2C9" w:val="clear"/>
            <w:tcMar>
              <w:top w:w="0" w:type="dxa"/>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45" w:type="dxa"/>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45" w:type="dxa"/>
            <w:tcBorders>
              <w:right w:val="single" w:sz="8" w:space="0" w:color="000000"/>
            </w:tcBorders>
            <w:shd w:fill="2AD2C9" w:val="clear"/>
            <w:tcMar>
              <w:top w:w="0" w:type="dxa"/>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3455" w:type="dxa"/>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loans (Quarter-end balance)</w:t>
            </w:r>
          </w:p>
        </w:tc>
        <w:tc>
          <w:tcPr>
            <w:tcW w:w="92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140,961,978</w:t>
            </w:r>
          </w:p>
        </w:tc>
        <w:tc>
          <w:tcPr>
            <w:tcW w:w="92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152,824,685</w:t>
            </w:r>
          </w:p>
        </w:tc>
        <w:tc>
          <w:tcPr>
            <w:tcW w:w="920"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159,434,397</w:t>
            </w:r>
          </w:p>
        </w:tc>
        <w:tc>
          <w:tcPr>
            <w:tcW w:w="545"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4.3%</w:t>
            </w:r>
          </w:p>
        </w:tc>
        <w:tc>
          <w:tcPr>
            <w:tcW w:w="545"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w:t>
            </w:r>
          </w:p>
        </w:tc>
      </w:tr>
      <w:tr>
        <w:trPr/>
        <w:tc>
          <w:tcPr>
            <w:tcW w:w="345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Write-offs </w:t>
            </w:r>
          </w:p>
        </w:tc>
        <w:tc>
          <w:tcPr>
            <w:tcW w:w="92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581,373</w:t>
            </w:r>
          </w:p>
        </w:tc>
        <w:tc>
          <w:tcPr>
            <w:tcW w:w="92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852,041</w:t>
            </w:r>
          </w:p>
        </w:tc>
        <w:tc>
          <w:tcPr>
            <w:tcW w:w="920"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535,949</w:t>
            </w:r>
          </w:p>
        </w:tc>
        <w:tc>
          <w:tcPr>
            <w:tcW w:w="54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-37.1%</w:t>
            </w:r>
          </w:p>
        </w:tc>
        <w:tc>
          <w:tcPr>
            <w:tcW w:w="545"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w:t>
            </w:r>
          </w:p>
        </w:tc>
      </w:tr>
      <w:tr>
        <w:trPr/>
        <w:tc>
          <w:tcPr>
            <w:tcW w:w="345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Internal overdue loans (IOLs)</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5,044,212</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4,475,120</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4,504,185</w:t>
            </w:r>
          </w:p>
        </w:tc>
        <w:tc>
          <w:tcPr>
            <w:tcW w:w="54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0.6%</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w:t>
            </w:r>
          </w:p>
        </w:tc>
      </w:tr>
      <w:tr>
        <w:trPr/>
        <w:tc>
          <w:tcPr>
            <w:tcW w:w="345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Internal overdue loans over 90-days</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4,171,379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3,690,265</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3,657,815</w:t>
            </w:r>
          </w:p>
        </w:tc>
        <w:tc>
          <w:tcPr>
            <w:tcW w:w="54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-0.9%</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w:t>
            </w:r>
          </w:p>
        </w:tc>
      </w:tr>
      <w:tr>
        <w:trPr/>
        <w:tc>
          <w:tcPr>
            <w:tcW w:w="345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Refinanced loans</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1,947,709</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2,048,877</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1,953,602</w:t>
            </w:r>
          </w:p>
        </w:tc>
        <w:tc>
          <w:tcPr>
            <w:tcW w:w="54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0.3%</w:t>
            </w:r>
          </w:p>
        </w:tc>
      </w:tr>
      <w:tr>
        <w:trPr/>
        <w:tc>
          <w:tcPr>
            <w:tcW w:w="345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Non-performing loans (NPLs)</w:t>
            </w:r>
          </w:p>
        </w:tc>
        <w:tc>
          <w:tcPr>
            <w:tcW w:w="92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6,991,921</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6,523,997</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6,457,787</w:t>
            </w:r>
          </w:p>
        </w:tc>
        <w:tc>
          <w:tcPr>
            <w:tcW w:w="54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w:t>
            </w:r>
          </w:p>
        </w:tc>
      </w:tr>
      <w:tr>
        <w:trPr/>
        <w:tc>
          <w:tcPr>
            <w:tcW w:w="3455" w:type="dxa"/>
            <w:tcBorders>
              <w:lef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IOL ratio</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w:t>
            </w:r>
          </w:p>
        </w:tc>
        <w:tc>
          <w:tcPr>
            <w:tcW w:w="545"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 bps</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-75 bps</w:t>
            </w:r>
          </w:p>
        </w:tc>
      </w:tr>
      <w:tr>
        <w:trPr/>
        <w:tc>
          <w:tcPr>
            <w:tcW w:w="3455" w:type="dxa"/>
            <w:tcBorders>
              <w:left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IOL over 90-days ratio</w:t>
            </w:r>
          </w:p>
        </w:tc>
        <w:tc>
          <w:tcPr>
            <w:tcW w:w="9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w:t>
            </w:r>
          </w:p>
        </w:tc>
        <w:tc>
          <w:tcPr>
            <w:tcW w:w="920"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w:t>
            </w:r>
          </w:p>
        </w:tc>
        <w:tc>
          <w:tcPr>
            <w:tcW w:w="545" w:type="dxa"/>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 bps</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-67 bps</w:t>
            </w:r>
          </w:p>
        </w:tc>
      </w:tr>
      <w:tr>
        <w:trPr/>
        <w:tc>
          <w:tcPr>
            <w:tcW w:w="345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NPL ratio </w:t>
            </w:r>
          </w:p>
        </w:tc>
        <w:tc>
          <w:tcPr>
            <w:tcW w:w="92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5.0%</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4.3%</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w:t>
            </w:r>
          </w:p>
        </w:tc>
        <w:tc>
          <w:tcPr>
            <w:tcW w:w="54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 bps</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-91 bps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NPLs dropped 1.0%, led primarily by </w:t>
      </w:r>
      <w:r>
        <w:rPr>
          <w:rFonts w:ascii="Times New Roman;Times;Serif" w:hAnsi="Times New Roman;Times;Serif"/>
          <w:b/>
          <w:i w:val="false"/>
          <w:caps w:val="false"/>
          <w:smallCaps w:val="false"/>
          <w:sz w:val="20"/>
        </w:rPr>
        <w:t xml:space="preserve">BCP Stand-alone. </w:t>
      </w:r>
      <w:r>
        <w:rPr>
          <w:rFonts w:ascii="Times New Roman;Times;Serif" w:hAnsi="Times New Roman;Times;Serif"/>
          <w:b w:val="false"/>
          <w:i w:val="false"/>
          <w:caps w:val="false"/>
          <w:smallCaps w:val="false"/>
          <w:sz w:val="20"/>
        </w:rPr>
        <w:t xml:space="preserve">Writes-offs fell 37.1% due to a base effect, given that extraordinary write-offs were reported in 1Q26 for loans in the judicial recovery stage at </w:t>
      </w:r>
      <w:r>
        <w:rPr>
          <w:rFonts w:ascii="Times New Roman;Times;Serif" w:hAnsi="Times New Roman;Times;Serif"/>
          <w:b/>
          <w:i w:val="false"/>
          <w:caps w:val="false"/>
          <w:smallCaps w:val="false"/>
          <w:sz w:val="20"/>
        </w:rPr>
        <w:t>BCP Stand-alone.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the decline in NPLs at </w:t>
      </w:r>
      <w:r>
        <w:rPr>
          <w:rFonts w:ascii="Times New Roman;Times;Serif" w:hAnsi="Times New Roman;Times;Serif"/>
          <w:b/>
          <w:i w:val="false"/>
          <w:caps w:val="false"/>
          <w:smallCaps w:val="false"/>
          <w:sz w:val="20"/>
        </w:rPr>
        <w:t xml:space="preserve">BCP Stand-alone </w:t>
      </w:r>
      <w:r>
        <w:rPr>
          <w:rFonts w:ascii="Times New Roman;Times;Serif" w:hAnsi="Times New Roman;Times;Serif"/>
          <w:b w:val="false"/>
          <w:i w:val="false"/>
          <w:caps w:val="false"/>
          <w:smallCaps w:val="false"/>
          <w:sz w:val="20"/>
        </w:rPr>
        <w:t xml:space="preserve">was broad-based across most segments, as detailed below. This was supported by better origination, enhanced analytics, and more effective collection capabilities. Higher-yield segments continued to grow under a controlled risk approach, while normalization in fast-growing products remained within expected levels. At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the NPL portfolio increased slightly, mainly due to a higher volume of refinanced loans.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NPLs dropped 7.6%, led primarily by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 xml:space="preserve"> and secondarily by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xml:space="preserve">. Write-offs declined 7.8%, reflecting an uptick in recovery levels at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portfolio quality trends remained favorable, supported by a sustained reduction in NPL volumes, with improved payment dynamics and stronger performance of new vintages. The improvement was led by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 xml:space="preserve">, particularly in Retail Banking, and to a lesser extent by Wholesale Banking. At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xml:space="preserve">, the improvement was driven by a lower overdue portfolio, supported by origination and collection enhancements implemented since 2024. As of 2Q26, 85% of new originations corresponded to lower-risk loans. This positive performance was partially offset by </w:t>
      </w:r>
      <w:r>
        <w:rPr>
          <w:rFonts w:ascii="Times New Roman;Times;Serif" w:hAnsi="Times New Roman;Times;Serif"/>
          <w:b/>
          <w:i w:val="false"/>
          <w:caps w:val="false"/>
          <w:smallCaps w:val="false"/>
          <w:sz w:val="20"/>
        </w:rPr>
        <w:t>BCP Bolivia</w:t>
      </w:r>
      <w:r>
        <w:rPr>
          <w:rFonts w:ascii="Times New Roman;Times;Serif" w:hAnsi="Times New Roman;Times;Serif"/>
          <w:b w:val="false"/>
          <w:i w:val="false"/>
          <w:caps w:val="false"/>
          <w:smallCaps w:val="false"/>
          <w:sz w:val="20"/>
        </w:rPr>
        <w:t>, whose indicators remained affected by the macroeconomic environment and regulatory measures.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09600"/>
            <wp:effectExtent l="0" t="0" r="0" b="0"/>
            <wp:docPr id="9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0" descr=""/>
                    <pic:cNvPicPr>
                      <a:picLocks noChangeAspect="1" noChangeArrowheads="1"/>
                    </pic:cNvPicPr>
                  </pic:nvPicPr>
                  <pic:blipFill>
                    <a:blip r:embed="rId86"/>
                    <a:stretch>
                      <a:fillRect/>
                    </a:stretch>
                  </pic:blipFill>
                  <pic:spPr bwMode="auto">
                    <a:xfrm>
                      <a:off x="0" y="0"/>
                      <a:ext cx="7620000" cy="609600"/>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9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1" descr=""/>
                          <pic:cNvPicPr>
                            <a:picLocks noChangeAspect="1" noChangeArrowheads="1"/>
                          </pic:cNvPicPr>
                        </pic:nvPicPr>
                        <pic:blipFill>
                          <a:blip r:embed="rId87"/>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05. Portfolio Quality and Provisions</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89">
                <wp:simplePos x="0" y="0"/>
                <wp:positionH relativeFrom="column">
                  <wp:align>right</wp:align>
                </wp:positionH>
                <wp:positionV relativeFrom="line">
                  <wp:posOffset>635</wp:posOffset>
                </wp:positionV>
                <wp:extent cx="3110230" cy="1950720"/>
                <wp:effectExtent l="0" t="0" r="0" b="0"/>
                <wp:wrapSquare wrapText="left"/>
                <wp:docPr id="95" name="Frame10"/>
                <a:graphic xmlns:a="http://schemas.openxmlformats.org/drawingml/2006/main">
                  <a:graphicData uri="http://schemas.microsoft.com/office/word/2010/wordprocessingShape">
                    <wps:wsp>
                      <wps:cNvSpPr txBox="1"/>
                      <wps:spPr>
                        <a:xfrm>
                          <a:off x="0" y="0"/>
                          <a:ext cx="3110230" cy="1950720"/>
                        </a:xfrm>
                        <a:prstGeom prst="rect"/>
                        <a:solidFill>
                          <a:srgbClr val="FFFFFF"/>
                        </a:solidFill>
                      </wps:spPr>
                      <wps:txbx>
                        <w:txbxContent>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NPL Ratio for Total Loans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1628775"/>
                                  <wp:effectExtent l="0" t="0" r="0" b="0"/>
                                  <wp:docPr id="9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2" descr=""/>
                                          <pic:cNvPicPr>
                                            <a:picLocks noChangeAspect="1" noChangeArrowheads="1"/>
                                          </pic:cNvPicPr>
                                        </pic:nvPicPr>
                                        <pic:blipFill>
                                          <a:blip r:embed="rId88"/>
                                          <a:stretch>
                                            <a:fillRect/>
                                          </a:stretch>
                                        </pic:blipFill>
                                        <pic:spPr bwMode="auto">
                                          <a:xfrm>
                                            <a:off x="0" y="0"/>
                                            <a:ext cx="3810000" cy="16287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3.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NPL Ratio for Total Loans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1628775"/>
                            <wp:effectExtent l="0" t="0" r="0" b="0"/>
                            <wp:docPr id="9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2" descr=""/>
                                    <pic:cNvPicPr>
                                      <a:picLocks noChangeAspect="1" noChangeArrowheads="1"/>
                                    </pic:cNvPicPr>
                                  </pic:nvPicPr>
                                  <pic:blipFill>
                                    <a:blip r:embed="rId89"/>
                                    <a:stretch>
                                      <a:fillRect/>
                                    </a:stretch>
                                  </pic:blipFill>
                                  <pic:spPr bwMode="auto">
                                    <a:xfrm>
                                      <a:off x="0" y="0"/>
                                      <a:ext cx="3810000" cy="162877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3110230" cy="3549650"/>
                <wp:effectExtent l="0" t="0" r="0" b="0"/>
                <wp:wrapSquare wrapText="right"/>
                <wp:docPr id="98" name="Frame9"/>
                <a:graphic xmlns:a="http://schemas.openxmlformats.org/drawingml/2006/main">
                  <a:graphicData uri="http://schemas.microsoft.com/office/word/2010/wordprocessingShape">
                    <wps:wsp>
                      <wps:cNvSpPr txBox="1"/>
                      <wps:spPr>
                        <a:xfrm>
                          <a:off x="0" y="0"/>
                          <a:ext cx="3110230" cy="3549650"/>
                        </a:xfrm>
                        <a:prstGeom prst="rect"/>
                        <a:solidFill>
                          <a:srgbClr val="FFFFFF"/>
                        </a:solidFill>
                      </wps:spPr>
                      <wps:txbx>
                        <w:txbxContent>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NPL Ratio at </w:t>
                            </w:r>
                            <w:r>
                              <w:rPr>
                                <w:rFonts w:ascii="Times New Roman;Times;Serif" w:hAnsi="Times New Roman;Times;Serif"/>
                                <w:b/>
                                <w:i w:val="false"/>
                                <w:caps w:val="false"/>
                                <w:smallCaps w:val="false"/>
                                <w:sz w:val="20"/>
                              </w:rPr>
                              <w:t>Credicorp</w:t>
                            </w:r>
                            <w:r>
                              <w:rPr>
                                <w:rFonts w:ascii="Times New Roman;Times;Serif" w:hAnsi="Times New Roman;Times;Serif"/>
                                <w:b w:val="false"/>
                                <w:i w:val="false"/>
                                <w:caps w:val="false"/>
                                <w:smallCaps w:val="false"/>
                                <w:sz w:val="20"/>
                              </w:rPr>
                              <w:t xml:space="preserve"> dropped 22 bps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to stand at 4.1%; this level mirrors those reported pre-pandemic. The ratio’s decline was driven mainly by a decrease in overdue loan volumes and secondarily, by loan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analyze the QoQ evolution of the NPL Ratio by Subsidiary, we see:</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BCP Stand-alone</w:t>
                                  </w:r>
                                  <w:r>
                                    <w:rPr>
                                      <w:rFonts w:ascii="Times New Roman;Times;Serif" w:hAnsi="Times New Roman;Times;Serif"/>
                                      <w:sz w:val="20"/>
                                    </w:rPr>
                                    <w:t>: The NPL Ratio declined 25 bps, reflecting improvements across all segments, driven by lower NPL volumes and loan growth. In Individuals, the improvement was broad-based, supported by a healthier portfolio and stronger payment behavior, alongside more effective early-stage collection strategies. In SME-Pyme, the reduction was concentrated in SME-Business, reflecting better vintages and tighter risk admission standards, highlighting the positive impact of origination adjustments implemented since 2024. In Wholesale Banking, the improvement was mainly driven by client debt repayments.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NPL Ratio at </w:t>
                      </w:r>
                      <w:r>
                        <w:rPr>
                          <w:rFonts w:ascii="Times New Roman;Times;Serif" w:hAnsi="Times New Roman;Times;Serif"/>
                          <w:b/>
                          <w:i w:val="false"/>
                          <w:caps w:val="false"/>
                          <w:smallCaps w:val="false"/>
                          <w:sz w:val="20"/>
                        </w:rPr>
                        <w:t>Credicorp</w:t>
                      </w:r>
                      <w:r>
                        <w:rPr>
                          <w:rFonts w:ascii="Times New Roman;Times;Serif" w:hAnsi="Times New Roman;Times;Serif"/>
                          <w:b w:val="false"/>
                          <w:i w:val="false"/>
                          <w:caps w:val="false"/>
                          <w:smallCaps w:val="false"/>
                          <w:sz w:val="20"/>
                        </w:rPr>
                        <w:t xml:space="preserve"> dropped 22 bps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to stand at 4.1%; this level mirrors those reported pre-pandemic. The ratio’s decline was driven mainly by a decrease in overdue loan volumes and secondarily, by loan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analyze the QoQ evolution of the NPL Ratio by Subsidiary, we see:</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BCP Stand-alone</w:t>
                            </w:r>
                            <w:r>
                              <w:rPr>
                                <w:rFonts w:ascii="Times New Roman;Times;Serif" w:hAnsi="Times New Roman;Times;Serif"/>
                                <w:sz w:val="20"/>
                              </w:rPr>
                              <w:t>: The NPL Ratio declined 25 bps, reflecting improvements across all segments, driven by lower NPL volumes and loan growth. In Individuals, the improvement was broad-based, supported by a healthier portfolio and stronger payment behavior, alongside more effective early-stage collection strategies. In SME-Pyme, the reduction was concentrated in SME-Business, reflecting better vintages and tighter risk admission standards, highlighting the positive impact of origination adjustments implemented since 2024. In Wholesale Banking, the improvement was mainly driven by client debt repayments.</w:t>
                            </w:r>
                          </w:p>
                        </w:tc>
                      </w:tr>
                    </w:tbl>
                    <w:p>
                      <w:pPr>
                        <w:pStyle w:val="TextBody"/>
                        <w:bidi w:val="0"/>
                        <w:spacing w:before="0" w:after="283"/>
                        <w:jc w:val="left"/>
                        <w:rPr/>
                      </w:pPr>
                      <w:r>
                        <w:rPr/>
                      </w:r>
                    </w:p>
                  </w:txbxContent>
                </v:textbox>
                <w10:wrap type="square" side="right"/>
              </v:rect>
            </w:pict>
          </mc:Fallback>
        </mc:AlternateConten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Mibanco: </w:t>
            </w:r>
            <w:r>
              <w:rPr>
                <w:rFonts w:ascii="Times New Roman;Times;Serif" w:hAnsi="Times New Roman;Times;Serif"/>
                <w:sz w:val="20"/>
              </w:rPr>
              <w:t>The ratio declined 10 bps, as loan growth outpaced the increase in NPL volumes. Despite the NPL volume increase, risk indicators continue to evolve consistently with a profitable and controlled growth strategy, in line with the defined risk appetite.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91">
                <wp:simplePos x="0" y="0"/>
                <wp:positionH relativeFrom="column">
                  <wp:align>right</wp:align>
                </wp:positionH>
                <wp:positionV relativeFrom="line">
                  <wp:posOffset>635</wp:posOffset>
                </wp:positionV>
                <wp:extent cx="3110230" cy="3383280"/>
                <wp:effectExtent l="0" t="0" r="0" b="0"/>
                <wp:wrapSquare wrapText="left"/>
                <wp:docPr id="99" name="Frame12"/>
                <a:graphic xmlns:a="http://schemas.openxmlformats.org/drawingml/2006/main">
                  <a:graphicData uri="http://schemas.microsoft.com/office/word/2010/wordprocessingShape">
                    <wps:wsp>
                      <wps:cNvSpPr txBox="1"/>
                      <wps:spPr>
                        <a:xfrm>
                          <a:off x="0" y="0"/>
                          <a:ext cx="3110230" cy="3383280"/>
                        </a:xfrm>
                        <a:prstGeom prst="rect"/>
                        <a:solidFill>
                          <a:srgbClr val="FFFFFF"/>
                        </a:solidFill>
                      </wps:spPr>
                      <wps:txbx>
                        <w:txbxContent>
                          <w:p>
                            <w:pPr>
                              <w:pStyle w:val="TextBody"/>
                              <w:bidi w:val="0"/>
                              <w:spacing w:lineRule="auto" w:line="240"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NPL Ratio for Total Loans at BCP Stand-Alone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2619375"/>
                                  <wp:effectExtent l="0" t="0" r="0" b="0"/>
                                  <wp:docPr id="10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3" descr=""/>
                                          <pic:cNvPicPr>
                                            <a:picLocks noChangeAspect="1" noChangeArrowheads="1"/>
                                          </pic:cNvPicPr>
                                        </pic:nvPicPr>
                                        <pic:blipFill>
                                          <a:blip r:embed="rId90"/>
                                          <a:stretch>
                                            <a:fillRect/>
                                          </a:stretch>
                                        </pic:blipFill>
                                        <pic:spPr bwMode="auto">
                                          <a:xfrm>
                                            <a:off x="0" y="0"/>
                                            <a:ext cx="3810000" cy="261937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Corresponds to management information by segment in BCP Stand-Alone.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6.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lineRule="auto" w:line="240"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NPL Ratio for Total Loans at BCP Stand-Alone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2619375"/>
                            <wp:effectExtent l="0" t="0" r="0" b="0"/>
                            <wp:docPr id="10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3" descr=""/>
                                    <pic:cNvPicPr>
                                      <a:picLocks noChangeAspect="1" noChangeArrowheads="1"/>
                                    </pic:cNvPicPr>
                                  </pic:nvPicPr>
                                  <pic:blipFill>
                                    <a:blip r:embed="rId91"/>
                                    <a:stretch>
                                      <a:fillRect/>
                                    </a:stretch>
                                  </pic:blipFill>
                                  <pic:spPr bwMode="auto">
                                    <a:xfrm>
                                      <a:off x="0" y="0"/>
                                      <a:ext cx="3810000" cy="261937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Corresponds to management information by segment in BCP Stand-Alone. </w:t>
                      </w:r>
                    </w:p>
                  </w:txbxContent>
                </v:textbox>
                <w10:wrap type="square" side="left"/>
              </v:rect>
            </w:pict>
          </mc:Fallback>
        </mc:AlternateConten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3110230" cy="2934335"/>
                <wp:effectExtent l="0" t="0" r="0" b="0"/>
                <wp:wrapSquare wrapText="right"/>
                <wp:docPr id="102" name="Frame11"/>
                <a:graphic xmlns:a="http://schemas.openxmlformats.org/drawingml/2006/main">
                  <a:graphicData uri="http://schemas.microsoft.com/office/word/2010/wordprocessingShape">
                    <wps:wsp>
                      <wps:cNvSpPr txBox="1"/>
                      <wps:spPr>
                        <a:xfrm>
                          <a:off x="0" y="0"/>
                          <a:ext cx="3110230" cy="2934335"/>
                        </a:xfrm>
                        <a:prstGeom prst="rect"/>
                        <a:solidFill>
                          <a:srgbClr val="FFFFFF"/>
                        </a:solidFill>
                      </wps:spPr>
                      <wps:txbx>
                        <w:txbxContent>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NPL Ratio at </w:t>
                            </w:r>
                            <w:r>
                              <w:rPr>
                                <w:rFonts w:ascii="Times New Roman;Times;Serif" w:hAnsi="Times New Roman;Times;Serif"/>
                                <w:b/>
                                <w:i w:val="false"/>
                                <w:caps w:val="false"/>
                                <w:smallCaps w:val="false"/>
                                <w:sz w:val="20"/>
                              </w:rPr>
                              <w:t xml:space="preserve">Credicorp </w:t>
                            </w:r>
                            <w:r>
                              <w:rPr>
                                <w:rFonts w:ascii="Times New Roman;Times;Serif" w:hAnsi="Times New Roman;Times;Serif"/>
                                <w:b w:val="false"/>
                                <w:i w:val="false"/>
                                <w:caps w:val="false"/>
                                <w:smallCaps w:val="false"/>
                                <w:sz w:val="20"/>
                              </w:rPr>
                              <w:t xml:space="preserve">decreased 91 bps </w:t>
                            </w: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This decline was driven mainly by the same dynamics seen in the QoQ evolution, and secondarily by loan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analyze the YoY evolution of the NPL Ratio by subsidiary, we see: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BCP Stand-alone</w:t>
                                  </w:r>
                                  <w:r>
                                    <w:rPr>
                                      <w:rFonts w:ascii="Times New Roman;Times;Serif" w:hAnsi="Times New Roman;Times;Serif"/>
                                      <w:sz w:val="20"/>
                                    </w:rPr>
                                    <w:t>: The NPL Ratio declined 93 bps YoY, mainly driven by Retail Banking, supported by a sustained reduction in NPL volumes, and by loan growth. The improvement reflects the continued strengthening of risk management capabilities, including origination calibrations, advanced analytics tools, and targeted actions focused on segments showing early signs of default. In addition, portfolio clean-up initiatives, extraordinary write-offs, and the resolution of judicial portfolios contributed positively to risk reduction. Within SMEs, the improvement was led by SME-Pyme, supported by a reduction in structural risk, improvements in vintages, and lower default levels compared to previous periods. In Individuals, the improvement was reflected across segments, driven by lower migration rates into more severe delinquency stages, a reduction in vulnerable exposures, and increased liquidity in the financial system. In Wholesale Banking, the improvement was driven by the same factors described in the quarterly analysis.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NPL Ratio at </w:t>
                      </w:r>
                      <w:r>
                        <w:rPr>
                          <w:rFonts w:ascii="Times New Roman;Times;Serif" w:hAnsi="Times New Roman;Times;Serif"/>
                          <w:b/>
                          <w:i w:val="false"/>
                          <w:caps w:val="false"/>
                          <w:smallCaps w:val="false"/>
                          <w:sz w:val="20"/>
                        </w:rPr>
                        <w:t xml:space="preserve">Credicorp </w:t>
                      </w:r>
                      <w:r>
                        <w:rPr>
                          <w:rFonts w:ascii="Times New Roman;Times;Serif" w:hAnsi="Times New Roman;Times;Serif"/>
                          <w:b w:val="false"/>
                          <w:i w:val="false"/>
                          <w:caps w:val="false"/>
                          <w:smallCaps w:val="false"/>
                          <w:sz w:val="20"/>
                        </w:rPr>
                        <w:t xml:space="preserve">decreased 91 bps </w:t>
                      </w: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This decline was driven mainly by the same dynamics seen in the QoQ evolution, and secondarily by loan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analyze the YoY evolution of the NPL Ratio by subsidiary, we see: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BCP Stand-alone</w:t>
                            </w:r>
                            <w:r>
                              <w:rPr>
                                <w:rFonts w:ascii="Times New Roman;Times;Serif" w:hAnsi="Times New Roman;Times;Serif"/>
                                <w:sz w:val="20"/>
                              </w:rPr>
                              <w:t>: The NPL Ratio declined 93 bps YoY, mainly driven by Retail Banking, supported by a sustained reduction in NPL volumes, and by loan growth. The improvement reflects the continued strengthening of risk management capabilities, including origination calibrations, advanced analytics tools, and targeted actions focused on segments showing early signs of default. In addition, portfolio clean-up initiatives, extraordinary write-offs, and the resolution of judicial portfolios contributed positively to risk reduction. Within SMEs, the improvement was led by SME-Pyme, supported by a reduction in structural risk, improvements in vintages, and lower default levels compared to previous periods. In Individuals, the improvement was reflected across segments, driven by lower migration rates into more severe delinquency stages, a reduction in vulnerable exposures, and increased liquidity in the financial system. In Wholesale Banking, the improvement was driven by the same factors described in the quarterly analysis.</w:t>
                            </w:r>
                          </w:p>
                        </w:tc>
                      </w:tr>
                    </w:tbl>
                    <w:p>
                      <w:pPr>
                        <w:pStyle w:val="TextBody"/>
                        <w:bidi w:val="0"/>
                        <w:spacing w:before="0" w:after="283"/>
                        <w:jc w:val="left"/>
                        <w:rPr/>
                      </w:pPr>
                      <w:r>
                        <w:rPr/>
                      </w:r>
                    </w:p>
                  </w:txbxContent>
                </v:textbox>
                <w10:wrap type="square" side="right"/>
              </v:rect>
            </w:pict>
          </mc:Fallback>
        </mc:AlternateConten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Mibanco: </w:t>
            </w:r>
            <w:r>
              <w:rPr>
                <w:rFonts w:ascii="Times New Roman;Times;Serif" w:hAnsi="Times New Roman;Times;Serif"/>
                <w:sz w:val="20"/>
              </w:rPr>
              <w:t>The NPL ratio dropped 127 bps YoY. This evolution was driven mainly by a decrease in NPL volumes, which fell primarily through improvements in origination and collections management and to a lesser extent, through loan growth.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BCP Bolivia: </w:t>
            </w:r>
            <w:r>
              <w:rPr>
                <w:rFonts w:ascii="Times New Roman;Times;Serif" w:hAnsi="Times New Roman;Times;Serif"/>
                <w:sz w:val="20"/>
              </w:rPr>
              <w:t>The NPL ratio increased 40 bps YoY, mainly due to distortions generated by the country’s macroeconomic environment, including regulatory measures that facilitated loan restructuring and refinancing processes, temporarily affecting asset quality indicators.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28650"/>
            <wp:effectExtent l="0" t="0" r="0" b="0"/>
            <wp:docPr id="10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4" descr=""/>
                    <pic:cNvPicPr>
                      <a:picLocks noChangeAspect="1" noChangeArrowheads="1"/>
                    </pic:cNvPicPr>
                  </pic:nvPicPr>
                  <pic:blipFill>
                    <a:blip r:embed="rId92"/>
                    <a:stretch>
                      <a:fillRect/>
                    </a:stretch>
                  </pic:blipFill>
                  <pic:spPr bwMode="auto">
                    <a:xfrm>
                      <a:off x="0" y="0"/>
                      <a:ext cx="7620000" cy="628650"/>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0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5" descr=""/>
                          <pic:cNvPicPr>
                            <a:picLocks noChangeAspect="1" noChangeArrowheads="1"/>
                          </pic:cNvPicPr>
                        </pic:nvPicPr>
                        <pic:blipFill>
                          <a:blip r:embed="rId93"/>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05. Portfolio Quality and Provisions</w:t>
            </w:r>
          </w:p>
        </w:tc>
        <w:tc>
          <w:tcPr>
            <w:tcW w:w="2720" w:type="dxa"/>
            <w:tcBorders/>
            <w:shd w:fill="E93BAB"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Provisions and Cost of Risk (CoR) for Total Loans </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0" w:type="dxa"/>
          <w:right w:w="60" w:type="dxa"/>
        </w:tblCellMar>
      </w:tblPr>
      <w:tblGrid>
        <w:gridCol w:w="4226"/>
        <w:gridCol w:w="720"/>
        <w:gridCol w:w="720"/>
        <w:gridCol w:w="720"/>
        <w:gridCol w:w="491"/>
        <w:gridCol w:w="488"/>
        <w:gridCol w:w="855"/>
        <w:gridCol w:w="855"/>
        <w:gridCol w:w="1130"/>
      </w:tblGrid>
      <w:tr>
        <w:trPr/>
        <w:tc>
          <w:tcPr>
            <w:tcW w:w="4226"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Loan Portfolio Provisions</w:t>
            </w:r>
          </w:p>
        </w:tc>
        <w:tc>
          <w:tcPr>
            <w:tcW w:w="216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 </w:t>
            </w:r>
          </w:p>
        </w:tc>
        <w:tc>
          <w:tcPr>
            <w:tcW w:w="979"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71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30"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4226"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S/000</w:t>
            </w:r>
          </w:p>
        </w:tc>
        <w:tc>
          <w:tcPr>
            <w:tcW w:w="7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7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72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491"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488"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85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85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3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4226"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Gross provision for credit losses on loan portfolio</w:t>
            </w:r>
          </w:p>
        </w:tc>
        <w:tc>
          <w:tcPr>
            <w:tcW w:w="7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(683,965)</w:t>
            </w:r>
          </w:p>
        </w:tc>
        <w:tc>
          <w:tcPr>
            <w:tcW w:w="7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(612,011)</w:t>
            </w:r>
          </w:p>
        </w:tc>
        <w:tc>
          <w:tcPr>
            <w:tcW w:w="7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(854,827)</w:t>
            </w:r>
          </w:p>
        </w:tc>
        <w:tc>
          <w:tcPr>
            <w:tcW w:w="491"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39.7%</w:t>
            </w:r>
          </w:p>
        </w:tc>
        <w:tc>
          <w:tcPr>
            <w:tcW w:w="4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w:t>
            </w:r>
          </w:p>
        </w:tc>
        <w:tc>
          <w:tcPr>
            <w:tcW w:w="85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(1,379,698)</w:t>
            </w:r>
          </w:p>
        </w:tc>
        <w:tc>
          <w:tcPr>
            <w:tcW w:w="85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(1,466,838)</w:t>
            </w:r>
          </w:p>
        </w:tc>
        <w:tc>
          <w:tcPr>
            <w:tcW w:w="113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w:t>
            </w:r>
          </w:p>
        </w:tc>
      </w:tr>
      <w:tr>
        <w:trPr/>
        <w:tc>
          <w:tcPr>
            <w:tcW w:w="4226"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Recoveries of written-off loans</w:t>
            </w:r>
          </w:p>
        </w:tc>
        <w:tc>
          <w:tcPr>
            <w:tcW w:w="7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108,806</w:t>
            </w:r>
          </w:p>
        </w:tc>
        <w:tc>
          <w:tcPr>
            <w:tcW w:w="7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129,923</w:t>
            </w:r>
          </w:p>
        </w:tc>
        <w:tc>
          <w:tcPr>
            <w:tcW w:w="7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123,619</w:t>
            </w:r>
          </w:p>
        </w:tc>
        <w:tc>
          <w:tcPr>
            <w:tcW w:w="491"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4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13.6%</w:t>
            </w:r>
          </w:p>
        </w:tc>
        <w:tc>
          <w:tcPr>
            <w:tcW w:w="85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222,646</w:t>
            </w:r>
          </w:p>
        </w:tc>
        <w:tc>
          <w:tcPr>
            <w:tcW w:w="85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253,542</w:t>
            </w:r>
          </w:p>
        </w:tc>
        <w:tc>
          <w:tcPr>
            <w:tcW w:w="113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w:t>
            </w:r>
          </w:p>
        </w:tc>
      </w:tr>
      <w:tr>
        <w:trPr/>
        <w:tc>
          <w:tcPr>
            <w:tcW w:w="422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Provision for credit losses on loan portfolio, net of  recoveries</w:t>
            </w:r>
          </w:p>
        </w:tc>
        <w:tc>
          <w:tcPr>
            <w:tcW w:w="7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(575,159)</w:t>
            </w:r>
          </w:p>
        </w:tc>
        <w:tc>
          <w:tcPr>
            <w:tcW w:w="7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(482,088)</w:t>
            </w:r>
          </w:p>
        </w:tc>
        <w:tc>
          <w:tcPr>
            <w:tcW w:w="7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(731,208)</w:t>
            </w:r>
          </w:p>
        </w:tc>
        <w:tc>
          <w:tcPr>
            <w:tcW w:w="491"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51.7%</w:t>
            </w:r>
          </w:p>
        </w:tc>
        <w:tc>
          <w:tcPr>
            <w:tcW w:w="48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27.1%</w:t>
            </w:r>
          </w:p>
        </w:tc>
        <w:tc>
          <w:tcPr>
            <w:tcW w:w="8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(1,157,052)</w:t>
            </w:r>
          </w:p>
        </w:tc>
        <w:tc>
          <w:tcPr>
            <w:tcW w:w="8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(1,213,296)</w:t>
            </w:r>
          </w:p>
        </w:tc>
        <w:tc>
          <w:tcPr>
            <w:tcW w:w="113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w:t>
            </w:r>
          </w:p>
        </w:tc>
      </w:tr>
      <w:tr>
        <w:trPr/>
        <w:tc>
          <w:tcPr>
            <w:tcW w:w="422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risk</w:t>
            </w:r>
          </w:p>
        </w:tc>
        <w:tc>
          <w:tcPr>
            <w:tcW w:w="72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72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w:t>
            </w:r>
          </w:p>
        </w:tc>
        <w:tc>
          <w:tcPr>
            <w:tcW w:w="7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w:t>
            </w:r>
          </w:p>
        </w:tc>
        <w:tc>
          <w:tcPr>
            <w:tcW w:w="491"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 bps</w:t>
            </w:r>
          </w:p>
        </w:tc>
        <w:tc>
          <w:tcPr>
            <w:tcW w:w="488"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 bps</w:t>
            </w:r>
          </w:p>
        </w:tc>
        <w:tc>
          <w:tcPr>
            <w:tcW w:w="855"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8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1130"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 bps</w:t>
            </w:r>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Peru’s economy remains resilient and El Niño’s impact has been concentrated in specific sectors and regions, current forecasts suggest the strongest effects could materialize in early 2027, particularly in the first quarter. Based on currently available information, the Group recorded approximately S/106 million in additional El Niño-related provisions, driving provision expenses up 51.7% QoQ and 27.1% YoY, and bringing CoR to 1.9%. Excluding the 27 bps impact from these provisions, underlying CoR stood at 1.6%, supported by continued improvements in portfolio quality, origination and early collections. The following section analyzes the underly ing evolution of provisions and cost of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underlying provisions increased 29.7%. This evolution reflects a partial normalization of Cost of Risk, driven by loan growth, primarily at </w:t>
      </w:r>
      <w:r>
        <w:rPr>
          <w:rFonts w:ascii="Times New Roman;Times;Serif" w:hAnsi="Times New Roman;Times;Serif"/>
          <w:b/>
          <w:i w:val="false"/>
          <w:caps w:val="false"/>
          <w:smallCaps w:val="false"/>
          <w:sz w:val="20"/>
        </w:rPr>
        <w:t xml:space="preserve">BCP Stand-alone </w:t>
      </w:r>
      <w:r>
        <w:rPr>
          <w:rFonts w:ascii="Times New Roman;Times;Serif" w:hAnsi="Times New Roman;Times;Serif"/>
          <w:b w:val="false"/>
          <w:i w:val="false"/>
          <w:caps w:val="false"/>
          <w:smallCaps w:val="false"/>
          <w:sz w:val="20"/>
        </w:rPr>
        <w:t xml:space="preserve">and led by Consumer, Yape, and SME-Pyme, where expansion in higher-yield portfolios generated higher provisioning needs, consistent with their risk-return profile. In Wholesale Banking, the increase in provision expenses was fueled by specific corporate cases and was partially offset by recoveries and reversals. The uptick in provisions was partially offset by lower expenses for provisions in Credit Cards. At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 provisions rose alongside loan growth and a slight increase in write-offs.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20"/>
        <w:gridCol w:w="60"/>
        <w:gridCol w:w="5025"/>
      </w:tblGrid>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Cost of Risk by Subsidiary</w:t>
            </w:r>
          </w:p>
        </w:tc>
      </w:tr>
      <w:tr>
        <w:trPr/>
        <w:tc>
          <w:tcPr>
            <w:tcW w:w="5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YoY</w:t>
            </w:r>
            <w:r>
              <w:rPr>
                <w:rFonts w:ascii="Times New Roman;Times;Serif" w:hAnsi="Times New Roman;Times;Serif"/>
                <w:sz w:val="20"/>
              </w:rPr>
              <w:t xml:space="preserve">, underlying provisions increased 8.7%, driven primarily by </w:t>
            </w:r>
            <w:r>
              <w:rPr>
                <w:rFonts w:ascii="Times New Roman;Times;Serif" w:hAnsi="Times New Roman;Times;Serif"/>
                <w:b/>
                <w:sz w:val="20"/>
              </w:rPr>
              <w:t xml:space="preserve">BCP Stand-alone </w:t>
            </w:r>
            <w:r>
              <w:rPr>
                <w:rFonts w:ascii="Times New Roman;Times;Serif" w:hAnsi="Times New Roman;Times;Serif"/>
                <w:sz w:val="20"/>
              </w:rPr>
              <w:t xml:space="preserve">and, to a lesser extent, </w:t>
            </w:r>
            <w:r>
              <w:rPr>
                <w:rFonts w:ascii="Times New Roman;Times;Serif" w:hAnsi="Times New Roman;Times;Serif"/>
                <w:b/>
                <w:sz w:val="20"/>
              </w:rPr>
              <w:t>Mibanco</w:t>
            </w:r>
            <w:r>
              <w:rPr>
                <w:rFonts w:ascii="Times New Roman;Times;Serif" w:hAnsi="Times New Roman;Times;Serif"/>
                <w:sz w:val="20"/>
              </w:rPr>
              <w:t xml:space="preserve">. At </w:t>
            </w:r>
            <w:r>
              <w:rPr>
                <w:rFonts w:ascii="Times New Roman;Times;Serif" w:hAnsi="Times New Roman;Times;Serif"/>
                <w:b/>
                <w:sz w:val="20"/>
              </w:rPr>
              <w:t>BCP Stand-alone</w:t>
            </w:r>
            <w:r>
              <w:rPr>
                <w:rFonts w:ascii="Times New Roman;Times;Serif" w:hAnsi="Times New Roman;Times;Serif"/>
                <w:sz w:val="20"/>
              </w:rPr>
              <w:t xml:space="preserve">, growth was fueled by loan expansion in Retail Banking. This effect was partially mitigated by improvements in portfolio quality, where default levels have fallen and vintages have improved through better collections management. In Wholesale Banking, provision expenses remained contained, supported by favorable developments in the risk profile of certain relevant exposures. At </w:t>
            </w:r>
            <w:r>
              <w:rPr>
                <w:rFonts w:ascii="Times New Roman;Times;Serif" w:hAnsi="Times New Roman;Times;Serif"/>
                <w:b/>
                <w:sz w:val="20"/>
              </w:rPr>
              <w:t>Mibanco</w:t>
            </w:r>
            <w:r>
              <w:rPr>
                <w:rFonts w:ascii="Times New Roman;Times;Serif" w:hAnsi="Times New Roman;Times;Serif"/>
                <w:sz w:val="20"/>
              </w:rPr>
              <w:t>, growth in YoY provisions was driven by the same factors that drove the QoQ evolution. In this context, and given that loan growth outpaced provisions, Credicorp’s underlying CoR decreased 3 bps YoY.</w:t>
            </w:r>
          </w:p>
        </w:tc>
        <w:tc>
          <w:tcPr>
            <w:tcW w:w="60" w:type="dxa"/>
            <w:tcBorders/>
            <w:vAlign w:val="center"/>
          </w:tcPr>
          <w:p>
            <w:pPr>
              <w:pStyle w:val="TableContents"/>
              <w:bidi w:val="0"/>
              <w:spacing w:before="0" w:after="283"/>
              <w:jc w:val="left"/>
              <w:rPr/>
            </w:pPr>
            <w:r>
              <w:rPr/>
              <w:t> </w:t>
            </w:r>
          </w:p>
        </w:tc>
        <w:tc>
          <w:tcPr>
            <w:tcW w:w="5025" w:type="dxa"/>
            <w:tcBorders/>
            <w:vAlign w:val="center"/>
          </w:tcPr>
          <w:p>
            <w:pPr>
              <w:pStyle w:val="TableContents"/>
              <w:bidi w:val="0"/>
              <w:spacing w:before="0" w:after="283"/>
              <w:jc w:val="center"/>
              <w:rPr/>
            </w:pPr>
            <w:r>
              <w:rPr/>
              <w:drawing>
                <wp:inline distT="0" distB="0" distL="0" distR="0">
                  <wp:extent cx="3143250" cy="1752600"/>
                  <wp:effectExtent l="0" t="0" r="0" b="0"/>
                  <wp:docPr id="10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6" descr=""/>
                          <pic:cNvPicPr>
                            <a:picLocks noChangeAspect="1" noChangeArrowheads="1"/>
                          </pic:cNvPicPr>
                        </pic:nvPicPr>
                        <pic:blipFill>
                          <a:blip r:embed="rId94"/>
                          <a:stretch>
                            <a:fillRect/>
                          </a:stretch>
                        </pic:blipFill>
                        <pic:spPr bwMode="auto">
                          <a:xfrm>
                            <a:off x="0" y="0"/>
                            <a:ext cx="3143250" cy="1752600"/>
                          </a:xfrm>
                          <a:prstGeom prst="rect">
                            <a:avLst/>
                          </a:prstGeom>
                        </pic:spPr>
                      </pic:pic>
                    </a:graphicData>
                  </a:graphic>
                </wp:inline>
              </w:drawing>
            </w: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YTD</w:t>
      </w:r>
      <w:r>
        <w:rPr>
          <w:rFonts w:ascii="Times New Roman;Times;Serif" w:hAnsi="Times New Roman;Times;Serif"/>
          <w:b w:val="false"/>
          <w:i w:val="false"/>
          <w:caps w:val="false"/>
          <w:smallCaps w:val="false"/>
          <w:sz w:val="20"/>
        </w:rPr>
        <w:t xml:space="preserve">, underlying provisions declined 4.3%, driven by </w:t>
      </w:r>
      <w:r>
        <w:rPr>
          <w:rFonts w:ascii="Times New Roman;Times;Serif" w:hAnsi="Times New Roman;Times;Serif"/>
          <w:b/>
          <w:i w:val="false"/>
          <w:caps w:val="false"/>
          <w:smallCaps w:val="false"/>
          <w:sz w:val="20"/>
        </w:rPr>
        <w:t xml:space="preserve">BCP Stand-alone </w:t>
      </w:r>
      <w:r>
        <w:rPr>
          <w:rFonts w:ascii="Times New Roman;Times;Serif" w:hAnsi="Times New Roman;Times;Serif"/>
          <w:b w:val="false"/>
          <w:i w:val="false"/>
          <w:caps w:val="false"/>
          <w:smallCaps w:val="false"/>
          <w:sz w:val="20"/>
        </w:rPr>
        <w:t>and reflecting the same dynamics observed YoY. As a result, Credicorp’s underlying CoR decreased 19 bps, reaching 1.4%.</w:t>
      </w:r>
    </w:p>
    <w:p>
      <w:pPr>
        <w:pStyle w:val="TextBody"/>
        <w:bidi w:val="0"/>
        <w:spacing w:before="0" w:after="0"/>
        <w:jc w:val="left"/>
        <w:rPr>
          <w:caps w:val="false"/>
          <w:smallCaps w:val="false"/>
        </w:rPr>
      </w:pPr>
      <w:r>
        <w:rPr>
          <w:caps w:val="false"/>
          <w:smallCaps w:val="false"/>
        </w:rPr>
        <w:t> </w:t>
      </w:r>
    </w:p>
    <w:tbl>
      <w:tblPr>
        <w:tblW w:w="10620" w:type="dxa"/>
        <w:jc w:val="left"/>
        <w:tblInd w:w="0" w:type="dxa"/>
        <w:tblLayout w:type="fixed"/>
        <w:tblCellMar>
          <w:top w:w="0" w:type="dxa"/>
          <w:left w:w="0" w:type="dxa"/>
          <w:bottom w:w="0" w:type="dxa"/>
          <w:right w:w="0" w:type="dxa"/>
        </w:tblCellMar>
      </w:tblPr>
      <w:tblGrid>
        <w:gridCol w:w="5310"/>
        <w:gridCol w:w="5310"/>
      </w:tblGrid>
      <w:tr>
        <w:trPr/>
        <w:tc>
          <w:tcPr>
            <w:tcW w:w="53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QoQ Cost of Risk Evolution</w:t>
            </w:r>
          </w:p>
        </w:tc>
        <w:tc>
          <w:tcPr>
            <w:tcW w:w="53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YoY Cost of Risk Evolution</w:t>
            </w:r>
          </w:p>
        </w:tc>
      </w:tr>
      <w:tr>
        <w:trPr/>
        <w:tc>
          <w:tcPr>
            <w:tcW w:w="5310" w:type="dxa"/>
            <w:tcBorders/>
            <w:vAlign w:val="center"/>
          </w:tcPr>
          <w:p>
            <w:pPr>
              <w:pStyle w:val="TableContents"/>
              <w:bidi w:val="0"/>
              <w:spacing w:before="0" w:after="283"/>
              <w:jc w:val="center"/>
              <w:rPr/>
            </w:pPr>
            <w:r>
              <w:rPr/>
              <w:t> </w:t>
            </w:r>
          </w:p>
        </w:tc>
        <w:tc>
          <w:tcPr>
            <w:tcW w:w="5310" w:type="dxa"/>
            <w:tcBorders/>
            <w:vAlign w:val="center"/>
          </w:tcPr>
          <w:p>
            <w:pPr>
              <w:pStyle w:val="TableContents"/>
              <w:bidi w:val="0"/>
              <w:spacing w:before="0" w:after="283"/>
              <w:jc w:val="center"/>
              <w:rPr/>
            </w:pPr>
            <w:r>
              <w:rPr/>
              <w:t> </w:t>
            </w:r>
          </w:p>
        </w:tc>
      </w:tr>
      <w:tr>
        <w:trPr/>
        <w:tc>
          <w:tcPr>
            <w:tcW w:w="5310" w:type="dxa"/>
            <w:tcBorders/>
            <w:vAlign w:val="center"/>
          </w:tcPr>
          <w:p>
            <w:pPr>
              <w:pStyle w:val="TableContents"/>
              <w:bidi w:val="0"/>
              <w:spacing w:before="0" w:after="283"/>
              <w:jc w:val="center"/>
              <w:rPr/>
            </w:pPr>
            <w:r>
              <w:rPr/>
              <w:drawing>
                <wp:inline distT="0" distB="0" distL="0" distR="0">
                  <wp:extent cx="3333750" cy="1209675"/>
                  <wp:effectExtent l="0" t="0" r="0" b="0"/>
                  <wp:docPr id="10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7" descr=""/>
                          <pic:cNvPicPr>
                            <a:picLocks noChangeAspect="1" noChangeArrowheads="1"/>
                          </pic:cNvPicPr>
                        </pic:nvPicPr>
                        <pic:blipFill>
                          <a:blip r:embed="rId95"/>
                          <a:stretch>
                            <a:fillRect/>
                          </a:stretch>
                        </pic:blipFill>
                        <pic:spPr bwMode="auto">
                          <a:xfrm>
                            <a:off x="0" y="0"/>
                            <a:ext cx="3333750" cy="1209675"/>
                          </a:xfrm>
                          <a:prstGeom prst="rect">
                            <a:avLst/>
                          </a:prstGeom>
                        </pic:spPr>
                      </pic:pic>
                    </a:graphicData>
                  </a:graphic>
                </wp:inline>
              </w:drawing>
            </w:r>
            <w:r>
              <w:rPr/>
              <w:t> </w:t>
            </w:r>
          </w:p>
        </w:tc>
        <w:tc>
          <w:tcPr>
            <w:tcW w:w="5310" w:type="dxa"/>
            <w:tcBorders/>
            <w:vAlign w:val="center"/>
          </w:tcPr>
          <w:p>
            <w:pPr>
              <w:pStyle w:val="TableContents"/>
              <w:bidi w:val="0"/>
              <w:spacing w:before="0" w:after="283"/>
              <w:jc w:val="center"/>
              <w:rPr/>
            </w:pPr>
            <w:r>
              <w:rPr/>
              <w:drawing>
                <wp:inline distT="0" distB="0" distL="0" distR="0">
                  <wp:extent cx="3333750" cy="1209675"/>
                  <wp:effectExtent l="0" t="0" r="0" b="0"/>
                  <wp:docPr id="10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8" descr=""/>
                          <pic:cNvPicPr>
                            <a:picLocks noChangeAspect="1" noChangeArrowheads="1"/>
                          </pic:cNvPicPr>
                        </pic:nvPicPr>
                        <pic:blipFill>
                          <a:blip r:embed="rId96"/>
                          <a:stretch>
                            <a:fillRect/>
                          </a:stretch>
                        </pic:blipFill>
                        <pic:spPr bwMode="auto">
                          <a:xfrm>
                            <a:off x="0" y="0"/>
                            <a:ext cx="3333750" cy="1209675"/>
                          </a:xfrm>
                          <a:prstGeom prst="rect">
                            <a:avLst/>
                          </a:prstGeom>
                        </pic:spPr>
                      </pic:pic>
                    </a:graphicData>
                  </a:graphic>
                </wp:inline>
              </w:drawing>
            </w:r>
            <w:r>
              <w:rPr/>
              <w:t> </w:t>
            </w:r>
          </w:p>
        </w:tc>
      </w:tr>
      <w:tr>
        <w:trPr/>
        <w:tc>
          <w:tcPr>
            <w:tcW w:w="5310" w:type="dxa"/>
            <w:tcBorders/>
            <w:vAlign w:val="center"/>
          </w:tcPr>
          <w:p>
            <w:pPr>
              <w:pStyle w:val="TableContents"/>
              <w:bidi w:val="0"/>
              <w:spacing w:before="0" w:after="283"/>
              <w:jc w:val="center"/>
              <w:rPr/>
            </w:pPr>
            <w:r>
              <w:rPr/>
              <w:t> </w:t>
            </w:r>
          </w:p>
        </w:tc>
        <w:tc>
          <w:tcPr>
            <w:tcW w:w="5310" w:type="dxa"/>
            <w:tcBorders/>
            <w:vAlign w:val="center"/>
          </w:tcPr>
          <w:p>
            <w:pPr>
              <w:pStyle w:val="TableContents"/>
              <w:bidi w:val="0"/>
              <w:spacing w:before="0" w:after="283"/>
              <w:jc w:val="center"/>
              <w:rPr/>
            </w:pPr>
            <w:r>
              <w:rPr/>
              <w:t> </w:t>
            </w:r>
          </w:p>
        </w:tc>
      </w:tr>
      <w:tr>
        <w:trPr/>
        <w:tc>
          <w:tcPr>
            <w:tcW w:w="5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Others include BCP Bolivia, Mibanco Colombia, ASB and eliminations.</w:t>
            </w:r>
          </w:p>
        </w:tc>
        <w:tc>
          <w:tcPr>
            <w:tcW w:w="5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Others include BCP Bolivia, Mibanco Colombia, ASB and eliminations.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0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9" descr=""/>
                    <pic:cNvPicPr>
                      <a:picLocks noChangeAspect="1" noChangeArrowheads="1"/>
                    </pic:cNvPicPr>
                  </pic:nvPicPr>
                  <pic:blipFill>
                    <a:blip r:embed="rId97"/>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0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0" descr=""/>
                          <pic:cNvPicPr>
                            <a:picLocks noChangeAspect="1" noChangeArrowheads="1"/>
                          </pic:cNvPicPr>
                        </pic:nvPicPr>
                        <pic:blipFill>
                          <a:blip r:embed="rId98"/>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05. Portfolio Quality and Provisions</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YTD Cost of Risk Evolution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476625" cy="1400175"/>
            <wp:effectExtent l="0" t="0" r="0" b="0"/>
            <wp:docPr id="11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1" descr=""/>
                    <pic:cNvPicPr>
                      <a:picLocks noChangeAspect="1" noChangeArrowheads="1"/>
                    </pic:cNvPicPr>
                  </pic:nvPicPr>
                  <pic:blipFill>
                    <a:blip r:embed="rId99"/>
                    <a:stretch>
                      <a:fillRect/>
                    </a:stretch>
                  </pic:blipFill>
                  <pic:spPr bwMode="auto">
                    <a:xfrm>
                      <a:off x="0" y="0"/>
                      <a:ext cx="3476625" cy="1400175"/>
                    </a:xfrm>
                    <a:prstGeom prst="rect">
                      <a:avLst/>
                    </a:prstGeom>
                  </pic:spPr>
                </pic:pic>
              </a:graphicData>
            </a:graphic>
          </wp:inline>
        </w:drawing>
      </w:r>
    </w:p>
    <w:p>
      <w:pPr>
        <w:pStyle w:val="TextBody"/>
        <w:bidi w:val="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Others include BCP Bolivia, Mibanco Colombia, ASB and eliminations.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NPL Coverage Ratio (in Quarter-end balances)</w:t>
      </w:r>
    </w:p>
    <w:p>
      <w:pPr>
        <w:pStyle w:val="TextBody"/>
        <w:bidi w:val="0"/>
        <w:spacing w:before="0" w:after="0"/>
        <w:jc w:val="both"/>
        <w:rPr>
          <w:caps w:val="false"/>
          <w:smallCaps w:val="false"/>
        </w:rPr>
      </w:pPr>
      <w:r>
        <w:rPr>
          <w:caps w:val="false"/>
          <w:smallCaps w:val="false"/>
        </w:rPr>
        <w:t> </w:t>
      </w:r>
    </w:p>
    <w:tbl>
      <w:tblPr>
        <w:tblW w:w="7395" w:type="dxa"/>
        <w:jc w:val="left"/>
        <w:tblInd w:w="-10" w:type="dxa"/>
        <w:tblLayout w:type="fixed"/>
        <w:tblCellMar>
          <w:top w:w="28" w:type="dxa"/>
          <w:left w:w="60" w:type="dxa"/>
          <w:bottom w:w="0" w:type="dxa"/>
          <w:right w:w="60" w:type="dxa"/>
        </w:tblCellMar>
      </w:tblPr>
      <w:tblGrid>
        <w:gridCol w:w="3470"/>
        <w:gridCol w:w="920"/>
        <w:gridCol w:w="920"/>
        <w:gridCol w:w="920"/>
        <w:gridCol w:w="575"/>
        <w:gridCol w:w="590"/>
      </w:tblGrid>
      <w:tr>
        <w:trPr/>
        <w:tc>
          <w:tcPr>
            <w:tcW w:w="347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Loan Portfolio Quality and Delinquency Ratios</w:t>
            </w:r>
          </w:p>
        </w:tc>
        <w:tc>
          <w:tcPr>
            <w:tcW w:w="276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165"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470"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92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920"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75" w:type="dxa"/>
            <w:tcBorders/>
            <w:shd w:fill="2AD2C9"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90"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3470"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loans (Quarter-end balance)</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140,961,978</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152,824,685</w:t>
            </w:r>
          </w:p>
        </w:tc>
        <w:tc>
          <w:tcPr>
            <w:tcW w:w="92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159,434,397</w:t>
            </w:r>
          </w:p>
        </w:tc>
        <w:tc>
          <w:tcPr>
            <w:tcW w:w="57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w:t>
            </w:r>
          </w:p>
        </w:tc>
        <w:tc>
          <w:tcPr>
            <w:tcW w:w="59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w:t>
            </w:r>
          </w:p>
        </w:tc>
      </w:tr>
      <w:tr>
        <w:trPr/>
        <w:tc>
          <w:tcPr>
            <w:tcW w:w="3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Allowance for loan losses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7,658,595</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7,425,425</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7,575,313</w:t>
            </w:r>
          </w:p>
        </w:tc>
        <w:tc>
          <w:tcPr>
            <w:tcW w:w="57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5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w:t>
            </w:r>
          </w:p>
        </w:tc>
      </w:tr>
      <w:tr>
        <w:trPr/>
        <w:tc>
          <w:tcPr>
            <w:tcW w:w="3470"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Non-performing loans (NPLs)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6,991,921</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6,523,997</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6,457,787</w:t>
            </w:r>
          </w:p>
        </w:tc>
        <w:tc>
          <w:tcPr>
            <w:tcW w:w="57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w:t>
            </w:r>
          </w:p>
        </w:tc>
        <w:tc>
          <w:tcPr>
            <w:tcW w:w="5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w:t>
            </w:r>
          </w:p>
        </w:tc>
      </w:tr>
      <w:tr>
        <w:trPr/>
        <w:tc>
          <w:tcPr>
            <w:tcW w:w="3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Allowance for loan losses over Total loans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4.8%</w:t>
            </w:r>
          </w:p>
        </w:tc>
        <w:tc>
          <w:tcPr>
            <w:tcW w:w="57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 bps</w:t>
            </w:r>
          </w:p>
        </w:tc>
        <w:tc>
          <w:tcPr>
            <w:tcW w:w="59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-68 bps</w:t>
            </w:r>
          </w:p>
        </w:tc>
      </w:tr>
      <w:tr>
        <w:trPr/>
        <w:tc>
          <w:tcPr>
            <w:tcW w:w="347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Coverage ratio of NPLs </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109.5%</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113.8%</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117.3%</w:t>
            </w:r>
          </w:p>
        </w:tc>
        <w:tc>
          <w:tcPr>
            <w:tcW w:w="57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349 bps</w:t>
            </w:r>
          </w:p>
        </w:tc>
        <w:tc>
          <w:tcPr>
            <w:tcW w:w="59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778 bps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10230" cy="2688590"/>
                <wp:effectExtent l="0" t="0" r="0" b="0"/>
                <wp:wrapSquare wrapText="right"/>
                <wp:docPr id="111" name="Frame13"/>
                <a:graphic xmlns:a="http://schemas.openxmlformats.org/drawingml/2006/main">
                  <a:graphicData uri="http://schemas.microsoft.com/office/word/2010/wordprocessingShape">
                    <wps:wsp>
                      <wps:cNvSpPr txBox="1"/>
                      <wps:spPr>
                        <a:xfrm>
                          <a:off x="0" y="0"/>
                          <a:ext cx="3110230" cy="2688590"/>
                        </a:xfrm>
                        <a:prstGeom prst="rect"/>
                        <a:solidFill>
                          <a:srgbClr val="FFFFFF"/>
                        </a:solidFill>
                      </wps:spPr>
                      <wps:txbx>
                        <w:txbxContent>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Allowance for loan losses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 millions)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333750" cy="1752600"/>
                                  <wp:effectExtent l="0" t="0" r="0" b="0"/>
                                  <wp:docPr id="11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2" descr=""/>
                                          <pic:cNvPicPr>
                                            <a:picLocks noChangeAspect="1" noChangeArrowheads="1"/>
                                          </pic:cNvPicPr>
                                        </pic:nvPicPr>
                                        <pic:blipFill>
                                          <a:blip r:embed="rId100"/>
                                          <a:stretch>
                                            <a:fillRect/>
                                          </a:stretch>
                                        </pic:blipFill>
                                        <pic:spPr bwMode="auto">
                                          <a:xfrm>
                                            <a:off x="0" y="0"/>
                                            <a:ext cx="3333750" cy="17526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 Others include BCP Bolivia, Mibanco Colombia, ASB and eliminations.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Allowance for loan losses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 millions)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333750" cy="1752600"/>
                            <wp:effectExtent l="0" t="0" r="0" b="0"/>
                            <wp:docPr id="11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2" descr=""/>
                                    <pic:cNvPicPr>
                                      <a:picLocks noChangeAspect="1" noChangeArrowheads="1"/>
                                    </pic:cNvPicPr>
                                  </pic:nvPicPr>
                                  <pic:blipFill>
                                    <a:blip r:embed="rId101"/>
                                    <a:stretch>
                                      <a:fillRect/>
                                    </a:stretch>
                                  </pic:blipFill>
                                  <pic:spPr bwMode="auto">
                                    <a:xfrm>
                                      <a:off x="0" y="0"/>
                                      <a:ext cx="3333750" cy="17526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 Others include BCP Bolivia, Mibanco Colombia, ASB and eliminations.</w:t>
                      </w:r>
                    </w:p>
                  </w:txbxContent>
                </v:textbox>
                <w10:wrap type="square" side="right"/>
              </v:rect>
            </w:pict>
          </mc:Fallback>
        </mc:AlternateContent>
      </w:r>
      <w:r>
        <mc:AlternateContent>
          <mc:Choice Requires="wps">
            <w:drawing>
              <wp:anchor behindDoc="0" distT="0" distB="0" distL="0" distR="0" simplePos="0" locked="0" layoutInCell="1" allowOverlap="1" relativeHeight="216">
                <wp:simplePos x="0" y="0"/>
                <wp:positionH relativeFrom="column">
                  <wp:align>right</wp:align>
                </wp:positionH>
                <wp:positionV relativeFrom="line">
                  <wp:posOffset>635</wp:posOffset>
                </wp:positionV>
                <wp:extent cx="3110230" cy="1756410"/>
                <wp:effectExtent l="0" t="0" r="0" b="0"/>
                <wp:wrapSquare wrapText="left"/>
                <wp:docPr id="114" name="Frame14"/>
                <a:graphic xmlns:a="http://schemas.openxmlformats.org/drawingml/2006/main">
                  <a:graphicData uri="http://schemas.microsoft.com/office/word/2010/wordprocessingShape">
                    <wps:wsp>
                      <wps:cNvSpPr txBox="1"/>
                      <wps:spPr>
                        <a:xfrm>
                          <a:off x="0" y="0"/>
                          <a:ext cx="3110230" cy="1756410"/>
                        </a:xfrm>
                        <a:prstGeom prst="rect"/>
                        <a:solidFill>
                          <a:srgbClr val="FFFFFF"/>
                        </a:solidFill>
                      </wps:spPr>
                      <wps:txbx>
                        <w:txbxContent>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QoQ, </w:t>
                            </w:r>
                            <w:r>
                              <w:rPr>
                                <w:rFonts w:ascii="Times New Roman;Times;Serif" w:hAnsi="Times New Roman;Times;Serif"/>
                                <w:b w:val="false"/>
                                <w:i w:val="false"/>
                                <w:caps w:val="false"/>
                                <w:smallCaps w:val="false"/>
                                <w:sz w:val="20"/>
                              </w:rPr>
                              <w:t xml:space="preserve">the allowance for loan losses rose 2.0%, driven primarily by </w:t>
                            </w:r>
                            <w:r>
                              <w:rPr>
                                <w:rFonts w:ascii="Times New Roman;Times;Serif" w:hAnsi="Times New Roman;Times;Serif"/>
                                <w:b/>
                                <w:i w:val="false"/>
                                <w:caps w:val="false"/>
                                <w:smallCaps w:val="false"/>
                                <w:sz w:val="20"/>
                              </w:rPr>
                              <w:t xml:space="preserve">SME-Pyme and Individuals </w:t>
                            </w:r>
                            <w:r>
                              <w:rPr>
                                <w:rFonts w:ascii="Times New Roman;Times;Serif" w:hAnsi="Times New Roman;Times;Serif"/>
                                <w:b w:val="false"/>
                                <w:i w:val="false"/>
                                <w:caps w:val="false"/>
                                <w:smallCaps w:val="false"/>
                                <w:sz w:val="20"/>
                              </w:rPr>
                              <w:t xml:space="preserve">at </w:t>
                            </w:r>
                            <w:r>
                              <w:rPr>
                                <w:rFonts w:ascii="Times New Roman;Times;Serif" w:hAnsi="Times New Roman;Times;Serif"/>
                                <w:b/>
                                <w:i w:val="false"/>
                                <w:caps w:val="false"/>
                                <w:smallCaps w:val="false"/>
                                <w:sz w:val="20"/>
                              </w:rPr>
                              <w:t>BCP Stand-alone.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YoY, </w:t>
                            </w:r>
                            <w:r>
                              <w:rPr>
                                <w:rFonts w:ascii="Times New Roman;Times;Serif" w:hAnsi="Times New Roman;Times;Serif"/>
                                <w:b w:val="false"/>
                                <w:i w:val="false"/>
                                <w:caps w:val="false"/>
                                <w:smallCaps w:val="false"/>
                                <w:sz w:val="20"/>
                              </w:rPr>
                              <w:t xml:space="preserve">the allowance for loan losses dropped 1.1%, driven mainly by </w:t>
                            </w:r>
                            <w:r>
                              <w:rPr>
                                <w:rFonts w:ascii="Times New Roman;Times;Serif" w:hAnsi="Times New Roman;Times;Serif"/>
                                <w:b/>
                                <w:i w:val="false"/>
                                <w:caps w:val="false"/>
                                <w:smallCaps w:val="false"/>
                                <w:sz w:val="20"/>
                              </w:rPr>
                              <w:t xml:space="preserve">Retail Banking </w:t>
                            </w:r>
                            <w:r>
                              <w:rPr>
                                <w:rFonts w:ascii="Times New Roman;Times;Serif" w:hAnsi="Times New Roman;Times;Serif"/>
                                <w:b w:val="false"/>
                                <w:i w:val="false"/>
                                <w:caps w:val="false"/>
                                <w:smallCaps w:val="false"/>
                                <w:sz w:val="20"/>
                              </w:rPr>
                              <w:t xml:space="preserve">at </w:t>
                            </w:r>
                            <w:r>
                              <w:rPr>
                                <w:rFonts w:ascii="Times New Roman;Times;Serif" w:hAnsi="Times New Roman;Times;Serif"/>
                                <w:b/>
                                <w:i w:val="false"/>
                                <w:caps w:val="false"/>
                                <w:smallCaps w:val="false"/>
                                <w:sz w:val="20"/>
                              </w:rPr>
                              <w:t xml:space="preserve">BCP Stand-alone </w:t>
                            </w:r>
                            <w:r>
                              <w:rPr>
                                <w:rFonts w:ascii="Times New Roman;Times;Serif" w:hAnsi="Times New Roman;Times;Serif"/>
                                <w:b w:val="false"/>
                                <w:i w:val="false"/>
                                <w:caps w:val="false"/>
                                <w:smallCaps w:val="false"/>
                                <w:sz w:val="20"/>
                              </w:rPr>
                              <w:t xml:space="preserve">and by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QoQ, </w:t>
                      </w:r>
                      <w:r>
                        <w:rPr>
                          <w:rFonts w:ascii="Times New Roman;Times;Serif" w:hAnsi="Times New Roman;Times;Serif"/>
                          <w:b w:val="false"/>
                          <w:i w:val="false"/>
                          <w:caps w:val="false"/>
                          <w:smallCaps w:val="false"/>
                          <w:sz w:val="20"/>
                        </w:rPr>
                        <w:t xml:space="preserve">the allowance for loan losses rose 2.0%, driven primarily by </w:t>
                      </w:r>
                      <w:r>
                        <w:rPr>
                          <w:rFonts w:ascii="Times New Roman;Times;Serif" w:hAnsi="Times New Roman;Times;Serif"/>
                          <w:b/>
                          <w:i w:val="false"/>
                          <w:caps w:val="false"/>
                          <w:smallCaps w:val="false"/>
                          <w:sz w:val="20"/>
                        </w:rPr>
                        <w:t xml:space="preserve">SME-Pyme and Individuals </w:t>
                      </w:r>
                      <w:r>
                        <w:rPr>
                          <w:rFonts w:ascii="Times New Roman;Times;Serif" w:hAnsi="Times New Roman;Times;Serif"/>
                          <w:b w:val="false"/>
                          <w:i w:val="false"/>
                          <w:caps w:val="false"/>
                          <w:smallCaps w:val="false"/>
                          <w:sz w:val="20"/>
                        </w:rPr>
                        <w:t xml:space="preserve">at </w:t>
                      </w:r>
                      <w:r>
                        <w:rPr>
                          <w:rFonts w:ascii="Times New Roman;Times;Serif" w:hAnsi="Times New Roman;Times;Serif"/>
                          <w:b/>
                          <w:i w:val="false"/>
                          <w:caps w:val="false"/>
                          <w:smallCaps w:val="false"/>
                          <w:sz w:val="20"/>
                        </w:rPr>
                        <w:t>BCP Stand-alone.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YoY, </w:t>
                      </w:r>
                      <w:r>
                        <w:rPr>
                          <w:rFonts w:ascii="Times New Roman;Times;Serif" w:hAnsi="Times New Roman;Times;Serif"/>
                          <w:b w:val="false"/>
                          <w:i w:val="false"/>
                          <w:caps w:val="false"/>
                          <w:smallCaps w:val="false"/>
                          <w:sz w:val="20"/>
                        </w:rPr>
                        <w:t xml:space="preserve">the allowance for loan losses dropped 1.1%, driven mainly by </w:t>
                      </w:r>
                      <w:r>
                        <w:rPr>
                          <w:rFonts w:ascii="Times New Roman;Times;Serif" w:hAnsi="Times New Roman;Times;Serif"/>
                          <w:b/>
                          <w:i w:val="false"/>
                          <w:caps w:val="false"/>
                          <w:smallCaps w:val="false"/>
                          <w:sz w:val="20"/>
                        </w:rPr>
                        <w:t xml:space="preserve">Retail Banking </w:t>
                      </w:r>
                      <w:r>
                        <w:rPr>
                          <w:rFonts w:ascii="Times New Roman;Times;Serif" w:hAnsi="Times New Roman;Times;Serif"/>
                          <w:b w:val="false"/>
                          <w:i w:val="false"/>
                          <w:caps w:val="false"/>
                          <w:smallCaps w:val="false"/>
                          <w:sz w:val="20"/>
                        </w:rPr>
                        <w:t xml:space="preserve">at </w:t>
                      </w:r>
                      <w:r>
                        <w:rPr>
                          <w:rFonts w:ascii="Times New Roman;Times;Serif" w:hAnsi="Times New Roman;Times;Serif"/>
                          <w:b/>
                          <w:i w:val="false"/>
                          <w:caps w:val="false"/>
                          <w:smallCaps w:val="false"/>
                          <w:sz w:val="20"/>
                        </w:rPr>
                        <w:t xml:space="preserve">BCP Stand-alone </w:t>
                      </w:r>
                      <w:r>
                        <w:rPr>
                          <w:rFonts w:ascii="Times New Roman;Times;Serif" w:hAnsi="Times New Roman;Times;Serif"/>
                          <w:b w:val="false"/>
                          <w:i w:val="false"/>
                          <w:caps w:val="false"/>
                          <w:smallCaps w:val="false"/>
                          <w:sz w:val="20"/>
                        </w:rPr>
                        <w:t xml:space="preserve">and by </w:t>
                      </w:r>
                      <w:r>
                        <w:rPr>
                          <w:rFonts w:ascii="Times New Roman;Times;Serif" w:hAnsi="Times New Roman;Times;Serif"/>
                          <w:b/>
                          <w:i w:val="false"/>
                          <w:caps w:val="false"/>
                          <w:smallCaps w:val="false"/>
                          <w:sz w:val="20"/>
                        </w:rPr>
                        <w:t>Mibanco</w:t>
                      </w:r>
                      <w:r>
                        <w:rPr>
                          <w:rFonts w:ascii="Times New Roman;Times;Serif" w:hAnsi="Times New Roman;Times;Serif"/>
                          <w:b w:val="false"/>
                          <w:i w:val="false"/>
                          <w:caps w:val="false"/>
                          <w:smallCaps w:val="false"/>
                          <w:sz w:val="20"/>
                        </w:rPr>
                        <w:t>.</w:t>
                      </w:r>
                    </w:p>
                  </w:txbxContent>
                </v:textbox>
                <w10:wrap type="square" side="left"/>
              </v:rect>
            </w:pict>
          </mc:Fallback>
        </mc:AlternateContent>
      </w:r>
    </w:p>
    <w:tbl>
      <w:tblPr>
        <w:tblW w:w="10205" w:type="dxa"/>
        <w:jc w:val="left"/>
        <w:tblInd w:w="0" w:type="dxa"/>
        <w:tblLayout w:type="fixed"/>
        <w:tblCellMar>
          <w:top w:w="0" w:type="dxa"/>
          <w:left w:w="0" w:type="dxa"/>
          <w:bottom w:w="0" w:type="dxa"/>
          <w:right w:w="0" w:type="dxa"/>
        </w:tblCellMar>
      </w:tblPr>
      <w:tblGrid>
        <w:gridCol w:w="5180"/>
        <w:gridCol w:w="60"/>
        <w:gridCol w:w="4965"/>
      </w:tblGrid>
      <w:tr>
        <w:trPr/>
        <w:tc>
          <w:tcPr>
            <w:tcW w:w="5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NPL Coverage Ratio</w:t>
            </w:r>
          </w:p>
        </w:tc>
      </w:tr>
      <w:tr>
        <w:trPr/>
        <w:tc>
          <w:tcPr>
            <w:tcW w:w="51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NPL Coverage Ratio at </w:t>
            </w:r>
            <w:r>
              <w:rPr>
                <w:rFonts w:ascii="Times New Roman;Times;Serif" w:hAnsi="Times New Roman;Times;Serif"/>
                <w:b/>
                <w:i w:val="false"/>
                <w:caps w:val="false"/>
                <w:smallCaps w:val="false"/>
                <w:sz w:val="20"/>
              </w:rPr>
              <w:t xml:space="preserve">Credicorp </w:t>
            </w:r>
            <w:r>
              <w:rPr>
                <w:rFonts w:ascii="Times New Roman;Times;Serif" w:hAnsi="Times New Roman;Times;Serif"/>
                <w:b w:val="false"/>
                <w:i w:val="false"/>
                <w:caps w:val="false"/>
                <w:smallCaps w:val="false"/>
                <w:sz w:val="20"/>
              </w:rPr>
              <w:t>stood at 117.3% at the end of 2Q26.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the NPL Coverage Ratio increased, driven by a reduction in NPLs and an increase in loan loss allowances. The level remains solid and strengthens the balance’s ability to absorb potential adversity. At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 the improvement was supported mainly by Retail Banking, where an improvement in portfolio quality helped sustain healthy coverage in a context marked by loan growth.</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xml:space="preserve">, the coverage ratio registered significant improvement, which was driven mainly by a drop in NPL volumes at </w:t>
            </w:r>
            <w:r>
              <w:rPr>
                <w:rFonts w:ascii="Times New Roman;Times;Serif" w:hAnsi="Times New Roman;Times;Serif"/>
                <w:b/>
                <w:i w:val="false"/>
                <w:caps w:val="false"/>
                <w:smallCaps w:val="false"/>
                <w:sz w:val="20"/>
              </w:rPr>
              <w:t>BCP Stand-alone</w:t>
            </w:r>
            <w:r>
              <w:rPr>
                <w:rFonts w:ascii="Times New Roman;Times;Serif" w:hAnsi="Times New Roman;Times;Serif"/>
                <w:b w:val="false"/>
                <w:i w:val="false"/>
                <w:caps w:val="false"/>
                <w:smallCaps w:val="false"/>
                <w:sz w:val="20"/>
              </w:rPr>
              <w:t>. This evolution was positively impacted by the consolidation of measures adopted in 2024 to improve origination, monitoring and early recovery and by a more favorable macroeconomic environment.</w:t>
            </w:r>
          </w:p>
        </w:tc>
        <w:tc>
          <w:tcPr>
            <w:tcW w:w="60" w:type="dxa"/>
            <w:tcBorders/>
            <w:vAlign w:val="center"/>
          </w:tcPr>
          <w:p>
            <w:pPr>
              <w:pStyle w:val="TableContents"/>
              <w:bidi w:val="0"/>
              <w:spacing w:before="0" w:after="283"/>
              <w:jc w:val="left"/>
              <w:rPr>
                <w:sz w:val="4"/>
                <w:szCs w:val="4"/>
              </w:rPr>
            </w:pPr>
            <w:r>
              <w:rPr>
                <w:sz w:val="4"/>
                <w:szCs w:val="4"/>
              </w:rPr>
            </w:r>
          </w:p>
        </w:tc>
        <w:tc>
          <w:tcPr>
            <w:tcW w:w="4965" w:type="dxa"/>
            <w:tcBorders/>
            <w:vAlign w:val="center"/>
          </w:tcPr>
          <w:p>
            <w:pPr>
              <w:pStyle w:val="TableContents"/>
              <w:bidi w:val="0"/>
              <w:spacing w:before="0" w:after="283"/>
              <w:jc w:val="center"/>
              <w:rPr/>
            </w:pPr>
            <w:r>
              <w:rPr/>
              <w:drawing>
                <wp:inline distT="0" distB="0" distL="0" distR="0">
                  <wp:extent cx="3143250" cy="2305050"/>
                  <wp:effectExtent l="0" t="0" r="0" b="0"/>
                  <wp:docPr id="11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3" descr=""/>
                          <pic:cNvPicPr>
                            <a:picLocks noChangeAspect="1" noChangeArrowheads="1"/>
                          </pic:cNvPicPr>
                        </pic:nvPicPr>
                        <pic:blipFill>
                          <a:blip r:embed="rId102"/>
                          <a:stretch>
                            <a:fillRect/>
                          </a:stretch>
                        </pic:blipFill>
                        <pic:spPr bwMode="auto">
                          <a:xfrm>
                            <a:off x="0" y="0"/>
                            <a:ext cx="3143250" cy="2305050"/>
                          </a:xfrm>
                          <a:prstGeom prst="rect">
                            <a:avLst/>
                          </a:prstGeom>
                        </pic:spPr>
                      </pic:pic>
                    </a:graphicData>
                  </a:graphic>
                </wp:inline>
              </w:drawing>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11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4" descr=""/>
                    <pic:cNvPicPr>
                      <a:picLocks noChangeAspect="1" noChangeArrowheads="1"/>
                    </pic:cNvPicPr>
                  </pic:nvPicPr>
                  <pic:blipFill>
                    <a:blip r:embed="rId103"/>
                    <a:stretch>
                      <a:fillRect/>
                    </a:stretch>
                  </pic:blipFill>
                  <pic:spPr bwMode="auto">
                    <a:xfrm>
                      <a:off x="0" y="0"/>
                      <a:ext cx="7620000" cy="647700"/>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1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5" descr=""/>
                          <pic:cNvPicPr>
                            <a:picLocks noChangeAspect="1" noChangeArrowheads="1"/>
                          </pic:cNvPicPr>
                        </pic:nvPicPr>
                        <pic:blipFill>
                          <a:blip r:embed="rId104"/>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FF0000"/>
        </w:rPr>
      </w:pPr>
      <w:r>
        <w:rPr>
          <w:caps w:val="false"/>
          <w:smallCaps w:val="false"/>
          <w:color w:val="FF0000"/>
        </w:rPr>
        <w:t> </w:t>
      </w:r>
    </w:p>
    <w:tbl>
      <w:tblPr>
        <w:tblW w:w="2680" w:type="dxa"/>
        <w:jc w:val="left"/>
        <w:tblInd w:w="0" w:type="dxa"/>
        <w:tblLayout w:type="fixed"/>
        <w:tblCellMar>
          <w:top w:w="0" w:type="dxa"/>
          <w:left w:w="0" w:type="dxa"/>
          <w:bottom w:w="0" w:type="dxa"/>
          <w:right w:w="0" w:type="dxa"/>
        </w:tblCellMar>
      </w:tblPr>
      <w:tblGrid>
        <w:gridCol w:w="635"/>
        <w:gridCol w:w="2045"/>
      </w:tblGrid>
      <w:tr>
        <w:trPr/>
        <w:tc>
          <w:tcPr>
            <w:tcW w:w="635" w:type="dxa"/>
            <w:tcBorders/>
            <w:vAlign w:val="center"/>
          </w:tcPr>
          <w:p>
            <w:pPr>
              <w:pStyle w:val="TableContents"/>
              <w:bidi w:val="0"/>
              <w:spacing w:before="0" w:after="283"/>
              <w:jc w:val="left"/>
              <w:rPr>
                <w:rFonts w:ascii="Times New Roman;Times;Serif" w:hAnsi="Times New Roman;Times;Serif"/>
                <w:b/>
                <w:sz w:val="58"/>
              </w:rPr>
            </w:pPr>
            <w:r>
              <w:rPr>
                <w:rFonts w:ascii="Times New Roman;Times;Serif" w:hAnsi="Times New Roman;Times;Serif"/>
                <w:b/>
                <w:sz w:val="58"/>
              </w:rPr>
              <w:t>06</w:t>
            </w:r>
          </w:p>
        </w:tc>
        <w:tc>
          <w:tcPr>
            <w:tcW w:w="2045" w:type="dxa"/>
            <w:tcBorders/>
            <w:vAlign w:val="center"/>
          </w:tcPr>
          <w:p>
            <w:pPr>
              <w:pStyle w:val="TableContents"/>
              <w:bidi w:val="0"/>
              <w:spacing w:before="0" w:after="283"/>
              <w:jc w:val="left"/>
              <w:rPr>
                <w:rFonts w:ascii="Times New Roman;Times;Serif" w:hAnsi="Times New Roman;Times;Serif"/>
                <w:sz w:val="36"/>
              </w:rPr>
            </w:pPr>
            <w:r>
              <w:rPr>
                <w:rFonts w:ascii="Times New Roman;Times;Serif" w:hAnsi="Times New Roman;Times;Serif"/>
                <w:sz w:val="36"/>
              </w:rPr>
              <w:t>Other Income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BAB" w:val="clear"/>
            <w:vAlign w:val="center"/>
          </w:tcPr>
          <w:p>
            <w:pPr>
              <w:pStyle w:val="TableContents"/>
              <w:bidi w:val="0"/>
              <w:spacing w:before="0" w:after="0"/>
              <w:ind w:left="143" w:right="148"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In 2T26, Other Income continued to consolidate within Credicorp’s ecosystem, rising primarily on the back of solid performance for Other Core Income. Growth in this line attests to the success of our strategy to diversify revenue streams by leveraging our competitive advantages and strengthening digital capacities.</w:t>
            </w:r>
          </w:p>
          <w:p>
            <w:pPr>
              <w:pStyle w:val="TableContents"/>
              <w:bidi w:val="0"/>
              <w:spacing w:before="0" w:after="0"/>
              <w:ind w:left="143" w:right="148" w:hanging="0"/>
              <w:jc w:val="both"/>
              <w:rPr>
                <w:caps w:val="false"/>
                <w:smallCaps w:val="false"/>
                <w:color w:val="FFFFFF"/>
              </w:rPr>
            </w:pPr>
            <w:r>
              <w:rPr>
                <w:caps w:val="false"/>
                <w:smallCaps w:val="false"/>
                <w:color w:val="FFFFFF"/>
              </w:rPr>
              <w:t> </w:t>
            </w:r>
          </w:p>
          <w:p>
            <w:pPr>
              <w:pStyle w:val="TableContents"/>
              <w:bidi w:val="0"/>
              <w:spacing w:before="0" w:after="0"/>
              <w:ind w:left="143" w:right="137"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Expansion in Other Core Income (+4.9% QoQ, +19.7% YoY and +19.6% YTD) was driven by growth in fee income and in FX transactions, both of which rose alongside an uptick in client activity and consistent execution of our commercial strategy. Additionally, currency volatility, which was attributable to recent elections and external factors, also drove higher gains on FX transactions.</w:t>
            </w:r>
          </w:p>
          <w:p>
            <w:pPr>
              <w:pStyle w:val="TableContents"/>
              <w:bidi w:val="0"/>
              <w:spacing w:before="0" w:after="0"/>
              <w:ind w:left="143" w:right="137" w:hanging="0"/>
              <w:jc w:val="both"/>
              <w:rPr>
                <w:caps w:val="false"/>
                <w:smallCaps w:val="false"/>
                <w:color w:val="FFFFFF"/>
              </w:rPr>
            </w:pPr>
            <w:r>
              <w:rPr>
                <w:caps w:val="false"/>
                <w:smallCaps w:val="false"/>
                <w:color w:val="FFFFFF"/>
              </w:rPr>
              <w:t> </w:t>
            </w:r>
          </w:p>
          <w:p>
            <w:pPr>
              <w:pStyle w:val="TableContents"/>
              <w:bidi w:val="0"/>
              <w:spacing w:before="0" w:after="0"/>
              <w:ind w:left="143" w:right="136"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Other non-core Income increased QoQ (+41.4%) and YoY (+32.4%) but dropped slightly YTD (-0.8%). YTD evolution was fueled primarily by normalization of non-recurring income, linked to Pacífico Salud’s consolidation in March 2025. Excluding this impact, Other non-core income would have increased 9.3% YTD. </w:t>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Other Income </w:t>
      </w:r>
    </w:p>
    <w:p>
      <w:pPr>
        <w:pStyle w:val="TextBody"/>
        <w:bidi w:val="0"/>
        <w:spacing w:before="0" w:after="0"/>
        <w:jc w:val="left"/>
        <w:rPr>
          <w:caps w:val="false"/>
          <w:smallCaps w:val="false"/>
        </w:rPr>
      </w:pPr>
      <w:r>
        <w:rPr>
          <w:caps w:val="false"/>
          <w:smallCaps w:val="false"/>
        </w:rPr>
        <w:t> </w:t>
      </w:r>
    </w:p>
    <w:tbl>
      <w:tblPr>
        <w:tblW w:w="7560" w:type="dxa"/>
        <w:jc w:val="left"/>
        <w:tblInd w:w="-10" w:type="dxa"/>
        <w:tblLayout w:type="fixed"/>
        <w:tblCellMar>
          <w:top w:w="28" w:type="dxa"/>
          <w:left w:w="60" w:type="dxa"/>
          <w:bottom w:w="0" w:type="dxa"/>
          <w:right w:w="0" w:type="dxa"/>
        </w:tblCellMar>
      </w:tblPr>
      <w:tblGrid>
        <w:gridCol w:w="1715"/>
        <w:gridCol w:w="740"/>
        <w:gridCol w:w="740"/>
        <w:gridCol w:w="740"/>
        <w:gridCol w:w="500"/>
        <w:gridCol w:w="500"/>
        <w:gridCol w:w="740"/>
        <w:gridCol w:w="740"/>
        <w:gridCol w:w="1145"/>
      </w:tblGrid>
      <w:tr>
        <w:trPr/>
        <w:tc>
          <w:tcPr>
            <w:tcW w:w="1715" w:type="dxa"/>
            <w:tcBorders>
              <w:top w:val="single" w:sz="8" w:space="0" w:color="000000"/>
              <w:lef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Other Income</w:t>
            </w:r>
          </w:p>
        </w:tc>
        <w:tc>
          <w:tcPr>
            <w:tcW w:w="2220" w:type="dxa"/>
            <w:gridSpan w:val="3"/>
            <w:tcBorders>
              <w:top w:val="single" w:sz="8" w:space="0" w:color="000000"/>
              <w:left w:val="single" w:sz="8" w:space="0" w:color="000000"/>
            </w:tcBorders>
            <w:shd w:fill="2AD2C9"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1000" w:type="dxa"/>
            <w:gridSpan w:val="2"/>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480" w:type="dxa"/>
            <w:gridSpan w:val="2"/>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45" w:type="dxa"/>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171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74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50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0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74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45"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171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Core Income</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1,401,569</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1,598,168</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1,677,087</w:t>
            </w:r>
          </w:p>
        </w:tc>
        <w:tc>
          <w:tcPr>
            <w:tcW w:w="50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50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19.7%</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2,739,407</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3,275,255</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w:t>
            </w:r>
          </w:p>
        </w:tc>
      </w:tr>
      <w:tr>
        <w:trPr/>
        <w:tc>
          <w:tcPr>
            <w:tcW w:w="171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Non-Core Income</w:t>
            </w:r>
          </w:p>
        </w:tc>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275,804</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258,156</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365,115</w:t>
            </w:r>
          </w:p>
        </w:tc>
        <w:tc>
          <w:tcPr>
            <w:tcW w:w="50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41.4%</w:t>
            </w:r>
          </w:p>
        </w:tc>
        <w:tc>
          <w:tcPr>
            <w:tcW w:w="50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32.4%</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628,182</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623,271</w:t>
            </w:r>
          </w:p>
        </w:tc>
        <w:tc>
          <w:tcPr>
            <w:tcW w:w="11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-0.8%</w:t>
            </w:r>
          </w:p>
        </w:tc>
      </w:tr>
      <w:tr>
        <w:trPr/>
        <w:tc>
          <w:tcPr>
            <w:tcW w:w="171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Other Income</w:t>
            </w:r>
          </w:p>
        </w:tc>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1,677,373</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1,856,324</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2,042,202</w:t>
            </w:r>
          </w:p>
        </w:tc>
        <w:tc>
          <w:tcPr>
            <w:tcW w:w="50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w:t>
            </w:r>
          </w:p>
        </w:tc>
        <w:tc>
          <w:tcPr>
            <w:tcW w:w="50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21.8%</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3,367,589</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3,898,526</w:t>
            </w:r>
          </w:p>
        </w:tc>
        <w:tc>
          <w:tcPr>
            <w:tcW w:w="11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rose 10.0% QoQ, 21.8% YoY, and 15.8% YTD. Performance over these periods was primarily driven by growth in Other Core Income (including fee income and Gains on FX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Other Core Income</w:t>
      </w:r>
    </w:p>
    <w:p>
      <w:pPr>
        <w:pStyle w:val="TextBody"/>
        <w:bidi w:val="0"/>
        <w:spacing w:before="0" w:after="0"/>
        <w:jc w:val="left"/>
        <w:rPr>
          <w:caps w:val="false"/>
          <w:smallCaps w:val="false"/>
        </w:rPr>
      </w:pPr>
      <w:r>
        <w:rPr>
          <w:caps w:val="false"/>
          <w:smallCaps w:val="false"/>
        </w:rPr>
        <w:t> </w:t>
      </w:r>
    </w:p>
    <w:tbl>
      <w:tblPr>
        <w:tblW w:w="8850" w:type="dxa"/>
        <w:jc w:val="left"/>
        <w:tblInd w:w="-10" w:type="dxa"/>
        <w:tblLayout w:type="fixed"/>
        <w:tblCellMar>
          <w:top w:w="28" w:type="dxa"/>
          <w:left w:w="60" w:type="dxa"/>
          <w:bottom w:w="0" w:type="dxa"/>
          <w:right w:w="0" w:type="dxa"/>
        </w:tblCellMar>
      </w:tblPr>
      <w:tblGrid>
        <w:gridCol w:w="3095"/>
        <w:gridCol w:w="740"/>
        <w:gridCol w:w="740"/>
        <w:gridCol w:w="740"/>
        <w:gridCol w:w="410"/>
        <w:gridCol w:w="500"/>
        <w:gridCol w:w="740"/>
        <w:gridCol w:w="740"/>
        <w:gridCol w:w="1145"/>
      </w:tblGrid>
      <w:tr>
        <w:trPr/>
        <w:tc>
          <w:tcPr>
            <w:tcW w:w="3095" w:type="dxa"/>
            <w:tcBorders>
              <w:top w:val="single" w:sz="8" w:space="0" w:color="000000"/>
              <w:lef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Other Core Income</w:t>
            </w:r>
          </w:p>
        </w:tc>
        <w:tc>
          <w:tcPr>
            <w:tcW w:w="2220" w:type="dxa"/>
            <w:gridSpan w:val="3"/>
            <w:tcBorders>
              <w:top w:val="single" w:sz="8" w:space="0" w:color="000000"/>
              <w:left w:val="single" w:sz="8" w:space="0" w:color="000000"/>
            </w:tcBorders>
            <w:shd w:fill="2AD2C9"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910" w:type="dxa"/>
            <w:gridSpan w:val="2"/>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480" w:type="dxa"/>
            <w:gridSpan w:val="2"/>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45" w:type="dxa"/>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09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74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41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0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74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45"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09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 Income</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1,024,553</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1,149,284</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1,187,608</w:t>
            </w:r>
          </w:p>
        </w:tc>
        <w:tc>
          <w:tcPr>
            <w:tcW w:w="41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w:t>
            </w:r>
          </w:p>
        </w:tc>
        <w:tc>
          <w:tcPr>
            <w:tcW w:w="50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2,018,577</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2,336,892</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w:t>
            </w:r>
          </w:p>
        </w:tc>
      </w:tr>
      <w:tr>
        <w:trPr/>
        <w:tc>
          <w:tcPr>
            <w:tcW w:w="309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on Foreign Exchange Transactions</w:t>
            </w:r>
          </w:p>
        </w:tc>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377,016</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448,884</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489,479</w:t>
            </w:r>
          </w:p>
        </w:tc>
        <w:tc>
          <w:tcPr>
            <w:tcW w:w="41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w:t>
            </w:r>
          </w:p>
        </w:tc>
        <w:tc>
          <w:tcPr>
            <w:tcW w:w="50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29.8%</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720,830</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938,363</w:t>
            </w:r>
          </w:p>
        </w:tc>
        <w:tc>
          <w:tcPr>
            <w:tcW w:w="11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30.2%</w:t>
            </w:r>
          </w:p>
        </w:tc>
      </w:tr>
      <w:tr>
        <w:trPr/>
        <w:tc>
          <w:tcPr>
            <w:tcW w:w="309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Other Core Income</w:t>
            </w:r>
          </w:p>
        </w:tc>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1,401,569</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1,598,168</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1,677,087</w:t>
            </w:r>
          </w:p>
        </w:tc>
        <w:tc>
          <w:tcPr>
            <w:tcW w:w="41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w:t>
            </w:r>
          </w:p>
        </w:tc>
        <w:tc>
          <w:tcPr>
            <w:tcW w:w="50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19.7%</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2,739,407</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3,275,255</w:t>
            </w:r>
          </w:p>
        </w:tc>
        <w:tc>
          <w:tcPr>
            <w:tcW w:w="11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Core Income increased 4.9% QoQ, 19.7% YoY and 19.6% YTD. Other Core Income currently represents 28.8% of Credicorp’s total risk-adjusted income (27.7% in 1Q26 and 26.5% in 1Q25), which is solid showing that strengthens our decoupling strategy.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QoQ</w:t>
            </w:r>
            <w:r>
              <w:rPr>
                <w:rFonts w:ascii="Times New Roman;Times;Serif" w:hAnsi="Times New Roman;Times;Serif"/>
                <w:sz w:val="20"/>
              </w:rPr>
              <w:t>, growth was driven by Fee Income (+3.3%), whose dynamics will be explained in the next section, and by Gains on FX transactions (+9.0%), mainly at BCP Stand-alone. Growth in FX gains was fueled primarily by an uptick in income from institutional trading and secondarily by growth in gains through Individuals and SME Business. This performance was spurred by higher exchange rate volatility this quarter due to the political and external contexts, which drove an increase in transactional activity.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YoY</w:t>
            </w:r>
            <w:r>
              <w:rPr>
                <w:rFonts w:ascii="Times New Roman;Times;Serif" w:hAnsi="Times New Roman;Times;Serif"/>
                <w:sz w:val="20"/>
              </w:rPr>
              <w:t>, growth was driven by an increase in Fee Income (+15.9%) and by solid growth in Gains on FX transactions (+29.8%). Increases in both components were fueled primarily by BCP Stand-alone, where the transaction volume (+19.8% YoY) rose on the back of new pricing strategies and currency volatility. BCP Bolivia also reported better results due to growth in the transaction volume.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YTD </w:t>
            </w:r>
            <w:r>
              <w:rPr>
                <w:rFonts w:ascii="Times New Roman;Times;Serif" w:hAnsi="Times New Roman;Times;Serif"/>
                <w:sz w:val="20"/>
              </w:rPr>
              <w:t>expansion was fueled by Fee Income (+15.8%) and the Net Gain on FX transactions (+30.2%). Upticks in these lines were driven by the dynamics observed QoQ and YoY and by growth at Credicorp Capital, which was driven by favorable results in the Capital Markets segment.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1020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performance levels reflect sustained growth in transaction volumes in our core businesses and a deepening of our relationship with clients, both of which fuel a more diversified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11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6" descr=""/>
                    <pic:cNvPicPr>
                      <a:picLocks noChangeAspect="1" noChangeArrowheads="1"/>
                    </pic:cNvPicPr>
                  </pic:nvPicPr>
                  <pic:blipFill>
                    <a:blip r:embed="rId105"/>
                    <a:stretch>
                      <a:fillRect/>
                    </a:stretch>
                  </pic:blipFill>
                  <pic:spPr bwMode="auto">
                    <a:xfrm>
                      <a:off x="0" y="0"/>
                      <a:ext cx="7620000" cy="647700"/>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1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7" descr=""/>
                          <pic:cNvPicPr>
                            <a:picLocks noChangeAspect="1" noChangeArrowheads="1"/>
                          </pic:cNvPicPr>
                        </pic:nvPicPr>
                        <pic:blipFill>
                          <a:blip r:embed="rId106"/>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06. Other Income</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structurally recurrent income base. At the end of 2Q26, Other Core Income over the total average assets stood at 2.39% (2.33% in 1Q26 and 2.23% in 2Q25).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Income by Subsidiary </w:t>
      </w:r>
    </w:p>
    <w:p>
      <w:pPr>
        <w:pStyle w:val="TextBody"/>
        <w:bidi w:val="0"/>
        <w:spacing w:before="0" w:after="0"/>
        <w:jc w:val="both"/>
        <w:rPr>
          <w:caps w:val="false"/>
          <w:smallCaps w:val="false"/>
        </w:rPr>
      </w:pPr>
      <w:r>
        <w:rPr>
          <w:caps w:val="false"/>
          <w:smallCaps w:val="false"/>
        </w:rPr>
        <w:t> </w:t>
      </w:r>
    </w:p>
    <w:tbl>
      <w:tblPr>
        <w:tblW w:w="7785" w:type="dxa"/>
        <w:jc w:val="left"/>
        <w:tblInd w:w="-10" w:type="dxa"/>
        <w:tblLayout w:type="fixed"/>
        <w:tblCellMar>
          <w:top w:w="28" w:type="dxa"/>
          <w:left w:w="60" w:type="dxa"/>
          <w:bottom w:w="0" w:type="dxa"/>
          <w:right w:w="0" w:type="dxa"/>
        </w:tblCellMar>
      </w:tblPr>
      <w:tblGrid>
        <w:gridCol w:w="1880"/>
        <w:gridCol w:w="740"/>
        <w:gridCol w:w="740"/>
        <w:gridCol w:w="740"/>
        <w:gridCol w:w="530"/>
        <w:gridCol w:w="530"/>
        <w:gridCol w:w="740"/>
        <w:gridCol w:w="740"/>
        <w:gridCol w:w="1145"/>
      </w:tblGrid>
      <w:tr>
        <w:trPr/>
        <w:tc>
          <w:tcPr>
            <w:tcW w:w="1880" w:type="dxa"/>
            <w:tcBorders>
              <w:top w:val="single" w:sz="8" w:space="0" w:color="000000"/>
              <w:lef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Fee Income by Subsidiary</w:t>
            </w:r>
          </w:p>
        </w:tc>
        <w:tc>
          <w:tcPr>
            <w:tcW w:w="2220" w:type="dxa"/>
            <w:gridSpan w:val="3"/>
            <w:tcBorders>
              <w:top w:val="single" w:sz="8" w:space="0" w:color="000000"/>
              <w:left w:val="single" w:sz="8" w:space="0" w:color="000000"/>
            </w:tcBorders>
            <w:shd w:fill="2AD2C9"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1060" w:type="dxa"/>
            <w:gridSpan w:val="2"/>
            <w:tcBorders>
              <w:top w:val="single" w:sz="8" w:space="0" w:color="000000"/>
              <w:left w:val="single" w:sz="8" w:space="0" w:color="000000"/>
            </w:tcBorders>
            <w:shd w:fill="2AD2C9"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480" w:type="dxa"/>
            <w:gridSpan w:val="2"/>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45" w:type="dxa"/>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188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74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53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3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74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74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45"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188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BCP Stand-Alone</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853,720</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961,546</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970,331</w:t>
            </w:r>
          </w:p>
        </w:tc>
        <w:tc>
          <w:tcPr>
            <w:tcW w:w="53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0.9%</w:t>
            </w:r>
          </w:p>
        </w:tc>
        <w:tc>
          <w:tcPr>
            <w:tcW w:w="53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1,685,147</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1,931,877</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w:t>
            </w:r>
          </w:p>
        </w:tc>
      </w:tr>
      <w:tr>
        <w:trPr/>
        <w:tc>
          <w:tcPr>
            <w:tcW w:w="188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BCP Bolivia</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14,552</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17,281</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12,443</w:t>
            </w:r>
          </w:p>
        </w:tc>
        <w:tc>
          <w:tcPr>
            <w:tcW w:w="53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-28.0%</w:t>
            </w:r>
          </w:p>
        </w:tc>
        <w:tc>
          <w:tcPr>
            <w:tcW w:w="53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27,396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29,724</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w:t>
            </w:r>
          </w:p>
        </w:tc>
      </w:tr>
      <w:tr>
        <w:trPr/>
        <w:tc>
          <w:tcPr>
            <w:tcW w:w="188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Mibanco</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27,633</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34,270</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38,447</w:t>
            </w:r>
          </w:p>
        </w:tc>
        <w:tc>
          <w:tcPr>
            <w:tcW w:w="53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w:t>
            </w:r>
          </w:p>
        </w:tc>
        <w:tc>
          <w:tcPr>
            <w:tcW w:w="53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39.1%</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55,972</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72,717</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29.9%</w:t>
            </w:r>
          </w:p>
        </w:tc>
      </w:tr>
      <w:tr>
        <w:trPr/>
        <w:tc>
          <w:tcPr>
            <w:tcW w:w="188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Mibanco Colombia</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12,395</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17,488</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23,128</w:t>
            </w:r>
          </w:p>
        </w:tc>
        <w:tc>
          <w:tcPr>
            <w:tcW w:w="53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32.3%</w:t>
            </w:r>
          </w:p>
        </w:tc>
        <w:tc>
          <w:tcPr>
            <w:tcW w:w="53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86.6%</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21,521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40,616</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88.7%</w:t>
            </w:r>
          </w:p>
        </w:tc>
      </w:tr>
      <w:tr>
        <w:trPr/>
        <w:tc>
          <w:tcPr>
            <w:tcW w:w="188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Pacífico </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-6,287</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-5,204</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-4,638</w:t>
            </w:r>
          </w:p>
        </w:tc>
        <w:tc>
          <w:tcPr>
            <w:tcW w:w="53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53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-26.2%</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-10,044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-9,842</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r>
      <w:tr>
        <w:trPr/>
        <w:tc>
          <w:tcPr>
            <w:tcW w:w="188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Prima</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97,233</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91,195</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94,901</w:t>
            </w:r>
          </w:p>
        </w:tc>
        <w:tc>
          <w:tcPr>
            <w:tcW w:w="53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w:t>
            </w:r>
          </w:p>
        </w:tc>
        <w:tc>
          <w:tcPr>
            <w:tcW w:w="53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191,305</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186,096</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w:t>
            </w:r>
          </w:p>
        </w:tc>
      </w:tr>
      <w:tr>
        <w:trPr/>
        <w:tc>
          <w:tcPr>
            <w:tcW w:w="188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ASB</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12,841</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13,596</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11,174</w:t>
            </w:r>
          </w:p>
        </w:tc>
        <w:tc>
          <w:tcPr>
            <w:tcW w:w="53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-17.8%</w:t>
            </w:r>
          </w:p>
        </w:tc>
        <w:tc>
          <w:tcPr>
            <w:tcW w:w="53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26,667</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24,770</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w:t>
            </w:r>
          </w:p>
        </w:tc>
      </w:tr>
      <w:tr>
        <w:trPr/>
        <w:tc>
          <w:tcPr>
            <w:tcW w:w="1880"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Credicorp Capital</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134,297</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161,001</w:t>
            </w:r>
          </w:p>
        </w:tc>
        <w:tc>
          <w:tcPr>
            <w:tcW w:w="74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171,304</w:t>
            </w:r>
          </w:p>
        </w:tc>
        <w:tc>
          <w:tcPr>
            <w:tcW w:w="53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c>
          <w:tcPr>
            <w:tcW w:w="53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27.6%</w:t>
            </w:r>
          </w:p>
        </w:tc>
        <w:tc>
          <w:tcPr>
            <w:tcW w:w="74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270,561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332,305</w:t>
            </w:r>
          </w:p>
        </w:tc>
        <w:tc>
          <w:tcPr>
            <w:tcW w:w="11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22.8%</w:t>
            </w:r>
          </w:p>
        </w:tc>
      </w:tr>
      <w:tr>
        <w:trPr/>
        <w:tc>
          <w:tcPr>
            <w:tcW w:w="1880" w:type="dxa"/>
            <w:tcBorders>
              <w:left w:val="single" w:sz="8" w:space="0" w:color="000000"/>
              <w:bottom w:val="single" w:sz="8" w:space="0" w:color="000000"/>
            </w:tcBorders>
            <w:tcMar>
              <w:top w:w="0" w:type="dxa"/>
              <w:bottom w:w="2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Eliminations and Other </w:t>
            </w:r>
            <w:r>
              <w:rPr>
                <w:rFonts w:ascii="Times New Roman;Times;Serif" w:hAnsi="Times New Roman;Times;Serif"/>
                <w:b w:val="false"/>
                <w:i w:val="false"/>
                <w:caps w:val="false"/>
                <w:smallCaps w:val="false"/>
                <w:sz w:val="16"/>
              </w:rPr>
              <w:t>(1)</w:t>
            </w:r>
          </w:p>
        </w:tc>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-121,831</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-141,889</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-129,482</w:t>
            </w:r>
          </w:p>
        </w:tc>
        <w:tc>
          <w:tcPr>
            <w:tcW w:w="53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-8.7%</w:t>
            </w:r>
          </w:p>
        </w:tc>
        <w:tc>
          <w:tcPr>
            <w:tcW w:w="53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w:t>
            </w:r>
          </w:p>
        </w:tc>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-249,948</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-271,371</w:t>
            </w:r>
          </w:p>
        </w:tc>
        <w:tc>
          <w:tcPr>
            <w:tcW w:w="11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w:t>
            </w:r>
          </w:p>
        </w:tc>
      </w:tr>
      <w:tr>
        <w:trPr/>
        <w:tc>
          <w:tcPr>
            <w:tcW w:w="188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Fee Income</w:t>
            </w:r>
          </w:p>
        </w:tc>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1,024,553</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1,149,284</w:t>
            </w:r>
          </w:p>
        </w:tc>
        <w:tc>
          <w:tcPr>
            <w:tcW w:w="74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1,187,608</w:t>
            </w:r>
          </w:p>
        </w:tc>
        <w:tc>
          <w:tcPr>
            <w:tcW w:w="53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w:t>
            </w:r>
          </w:p>
        </w:tc>
        <w:tc>
          <w:tcPr>
            <w:tcW w:w="530"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15.9%</w:t>
            </w:r>
          </w:p>
        </w:tc>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2,018,577</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2,336,892</w:t>
            </w:r>
          </w:p>
        </w:tc>
        <w:tc>
          <w:tcPr>
            <w:tcW w:w="11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15.8%</w:t>
            </w:r>
          </w:p>
        </w:tc>
      </w:tr>
    </w:tbl>
    <w:p>
      <w:pPr>
        <w:pStyle w:val="TextBody"/>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Corresponds mainly to the eliminations of bancassurance between Pacifico, BCP, and Mibanco.</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QoQ, YoY and YTD, growth in fee income was registered across business units and was driven mainly by BCP Stand-alone. Secondary drivers were Credicorp Capital, which registered solid results through its Capital Markets business— buoyed by momentum in the Sales and Corporate lines due to global volatility— and Mibanco (Peru and Colombia), which reported an uptick in disbursements.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Income at BCP Stand-alone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Fee Income at BCP Stand-alone (*)</w:t>
      </w:r>
    </w:p>
    <w:p>
      <w:pPr>
        <w:pStyle w:val="TextBody"/>
        <w:bidi w:val="0"/>
        <w:spacing w:before="0" w:after="0"/>
        <w:jc w:val="center"/>
        <w:rPr>
          <w:caps w:val="false"/>
          <w:smallCaps w:val="false"/>
        </w:rPr>
      </w:pPr>
      <w:r>
        <w:rPr>
          <w:caps w:val="false"/>
          <w:smallCaps w:val="false"/>
        </w:rPr>
        <w:t> </w:t>
      </w:r>
    </w:p>
    <w:tbl>
      <w:tblPr>
        <w:tblW w:w="7485" w:type="dxa"/>
        <w:jc w:val="left"/>
        <w:tblInd w:w="-10" w:type="dxa"/>
        <w:tblLayout w:type="fixed"/>
        <w:tblCellMar>
          <w:top w:w="28" w:type="dxa"/>
          <w:left w:w="60" w:type="dxa"/>
          <w:bottom w:w="0" w:type="dxa"/>
          <w:right w:w="60" w:type="dxa"/>
        </w:tblCellMar>
      </w:tblPr>
      <w:tblGrid>
        <w:gridCol w:w="3065"/>
        <w:gridCol w:w="425"/>
        <w:gridCol w:w="425"/>
        <w:gridCol w:w="425"/>
        <w:gridCol w:w="470"/>
        <w:gridCol w:w="500"/>
        <w:gridCol w:w="515"/>
        <w:gridCol w:w="515"/>
        <w:gridCol w:w="1145"/>
      </w:tblGrid>
      <w:tr>
        <w:trPr/>
        <w:tc>
          <w:tcPr>
            <w:tcW w:w="306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BCP Stand-alone Fees</w:t>
            </w:r>
          </w:p>
        </w:tc>
        <w:tc>
          <w:tcPr>
            <w:tcW w:w="127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Quarterly</w:t>
            </w:r>
          </w:p>
        </w:tc>
        <w:tc>
          <w:tcPr>
            <w:tcW w:w="97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03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45"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06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000,000)</w:t>
            </w:r>
          </w:p>
        </w:tc>
        <w:tc>
          <w:tcPr>
            <w:tcW w:w="42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42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42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47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0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51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1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4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065"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Payments and transactional services </w:t>
            </w:r>
            <w:r>
              <w:rPr>
                <w:rFonts w:ascii="Times New Roman;Times;Serif" w:hAnsi="Times New Roman;Times;Serif"/>
                <w:b w:val="false"/>
                <w:i w:val="false"/>
                <w:caps w:val="false"/>
                <w:smallCaps w:val="false"/>
                <w:sz w:val="16"/>
              </w:rPr>
              <w:t>(1)</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287</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295</w:t>
            </w:r>
          </w:p>
        </w:tc>
        <w:tc>
          <w:tcPr>
            <w:tcW w:w="4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282</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w:t>
            </w:r>
          </w:p>
        </w:tc>
        <w:tc>
          <w:tcPr>
            <w:tcW w:w="51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570</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577</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w:t>
            </w:r>
          </w:p>
        </w:tc>
      </w:tr>
      <w:tr>
        <w:trPr/>
        <w:tc>
          <w:tcPr>
            <w:tcW w:w="3065"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Yape </w:t>
            </w:r>
            <w:r>
              <w:rPr>
                <w:rFonts w:ascii="Times New Roman;Times;Serif" w:hAnsi="Times New Roman;Times;Serif"/>
                <w:b w:val="false"/>
                <w:i w:val="false"/>
                <w:caps w:val="false"/>
                <w:smallCaps w:val="false"/>
                <w:sz w:val="16"/>
              </w:rPr>
              <w:t>(2)</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132</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199</w:t>
            </w:r>
          </w:p>
        </w:tc>
        <w:tc>
          <w:tcPr>
            <w:tcW w:w="4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214</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62.5%</w:t>
            </w:r>
          </w:p>
        </w:tc>
        <w:tc>
          <w:tcPr>
            <w:tcW w:w="51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252</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413</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63.8%</w:t>
            </w:r>
          </w:p>
        </w:tc>
      </w:tr>
      <w:tr>
        <w:trPr/>
        <w:tc>
          <w:tcPr>
            <w:tcW w:w="3065"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Liability and Transactional Accounts </w:t>
            </w:r>
            <w:r>
              <w:rPr>
                <w:rFonts w:ascii="Times New Roman;Times;Serif" w:hAnsi="Times New Roman;Times;Serif"/>
                <w:b w:val="false"/>
                <w:i w:val="false"/>
                <w:caps w:val="false"/>
                <w:smallCaps w:val="false"/>
                <w:sz w:val="16"/>
              </w:rPr>
              <w:t>(3)</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201</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210</w:t>
            </w:r>
          </w:p>
        </w:tc>
        <w:tc>
          <w:tcPr>
            <w:tcW w:w="4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210</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0.1%</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51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398</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420</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w:t>
            </w:r>
          </w:p>
        </w:tc>
      </w:tr>
      <w:tr>
        <w:trPr/>
        <w:tc>
          <w:tcPr>
            <w:tcW w:w="3065" w:type="dxa"/>
            <w:tcBorders>
              <w:left w:val="single" w:sz="8" w:space="0" w:color="000000"/>
              <w:right w:val="single" w:sz="8" w:space="0" w:color="000000"/>
            </w:tcBorders>
            <w:shd w:fill="FFFFFF" w:val="clear"/>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Loan Disbursement </w:t>
            </w:r>
            <w:r>
              <w:rPr>
                <w:rFonts w:ascii="Times New Roman;Times;Serif" w:hAnsi="Times New Roman;Times;Serif"/>
                <w:b w:val="false"/>
                <w:i w:val="false"/>
                <w:caps w:val="false"/>
                <w:smallCaps w:val="false"/>
                <w:sz w:val="16"/>
              </w:rPr>
              <w:t>(4)</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104</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w:t>
            </w:r>
          </w:p>
        </w:tc>
        <w:tc>
          <w:tcPr>
            <w:tcW w:w="4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113</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w:t>
            </w:r>
          </w:p>
        </w:tc>
        <w:tc>
          <w:tcPr>
            <w:tcW w:w="51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225</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w:t>
            </w:r>
          </w:p>
        </w:tc>
      </w:tr>
      <w:tr>
        <w:trPr/>
        <w:tc>
          <w:tcPr>
            <w:tcW w:w="30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Off-balance sheet</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4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w:t>
            </w:r>
          </w:p>
        </w:tc>
        <w:tc>
          <w:tcPr>
            <w:tcW w:w="51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r>
      <w:tr>
        <w:trPr/>
        <w:tc>
          <w:tcPr>
            <w:tcW w:w="30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Insurances</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w:t>
            </w:r>
          </w:p>
        </w:tc>
        <w:tc>
          <w:tcPr>
            <w:tcW w:w="4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0.1%</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18.0%</w:t>
            </w:r>
          </w:p>
        </w:tc>
        <w:tc>
          <w:tcPr>
            <w:tcW w:w="51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88</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r>
      <w:tr>
        <w:trPr/>
        <w:tc>
          <w:tcPr>
            <w:tcW w:w="30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Wealth Management and Corporate Finance</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4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w:t>
            </w:r>
          </w:p>
        </w:tc>
        <w:tc>
          <w:tcPr>
            <w:tcW w:w="51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33.7%</w:t>
            </w:r>
          </w:p>
        </w:tc>
      </w:tr>
      <w:tr>
        <w:trPr/>
        <w:tc>
          <w:tcPr>
            <w:tcW w:w="3065"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 xml:space="preserve">Others </w:t>
            </w:r>
            <w:r>
              <w:rPr>
                <w:rFonts w:ascii="Times New Roman;Times;Serif" w:hAnsi="Times New Roman;Times;Serif"/>
                <w:b w:val="false"/>
                <w:i w:val="false"/>
                <w:caps w:val="false"/>
                <w:smallCaps w:val="false"/>
                <w:sz w:val="16"/>
              </w:rPr>
              <w:t>(5)</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w:t>
            </w:r>
          </w:p>
        </w:tc>
        <w:tc>
          <w:tcPr>
            <w:tcW w:w="4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w:t>
            </w:r>
          </w:p>
        </w:tc>
        <w:tc>
          <w:tcPr>
            <w:tcW w:w="4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31.0%</w:t>
            </w:r>
          </w:p>
        </w:tc>
        <w:tc>
          <w:tcPr>
            <w:tcW w:w="50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60.4%</w:t>
            </w:r>
          </w:p>
        </w:tc>
        <w:tc>
          <w:tcPr>
            <w:tcW w:w="51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60.3%</w:t>
            </w:r>
          </w:p>
        </w:tc>
      </w:tr>
      <w:tr>
        <w:trPr/>
        <w:tc>
          <w:tcPr>
            <w:tcW w:w="3065" w:type="dxa"/>
            <w:tcBorders>
              <w:top w:val="single" w:sz="8" w:space="0" w:color="000000"/>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w:t>
            </w:r>
          </w:p>
        </w:tc>
        <w:tc>
          <w:tcPr>
            <w:tcW w:w="42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854</w:t>
            </w:r>
          </w:p>
        </w:tc>
        <w:tc>
          <w:tcPr>
            <w:tcW w:w="42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962</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970</w:t>
            </w:r>
          </w:p>
        </w:tc>
        <w:tc>
          <w:tcPr>
            <w:tcW w:w="47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0.9%</w:t>
            </w:r>
          </w:p>
        </w:tc>
        <w:tc>
          <w:tcPr>
            <w:tcW w:w="50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13.7%</w:t>
            </w:r>
          </w:p>
        </w:tc>
        <w:tc>
          <w:tcPr>
            <w:tcW w:w="51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1,685</w:t>
            </w:r>
          </w:p>
        </w:tc>
        <w:tc>
          <w:tcPr>
            <w:tcW w:w="51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1,932</w:t>
            </w:r>
          </w:p>
        </w:tc>
        <w:tc>
          <w:tcPr>
            <w:tcW w:w="114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Management figures.</w:t>
            </w:r>
          </w:p>
        </w:tc>
      </w:tr>
      <w:tr>
        <w:trPr/>
        <w:tc>
          <w:tcPr>
            <w:tcW w:w="102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 Corresponds to fees from credit cards, debit cards, bill payments and services, collections, Culqi, network usage and other services provided to third parties.</w:t>
            </w:r>
          </w:p>
        </w:tc>
      </w:tr>
      <w:tr>
        <w:trPr/>
        <w:tc>
          <w:tcPr>
            <w:tcW w:w="102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 Not includes fees related to E-Commerce. Not includes FX and remittances.</w:t>
            </w:r>
          </w:p>
        </w:tc>
      </w:tr>
      <w:tr>
        <w:trPr/>
        <w:tc>
          <w:tcPr>
            <w:tcW w:w="102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 Corresponds to fees from Account maintenance, interbank transfers, national transfers, and international transfers.</w:t>
            </w:r>
          </w:p>
        </w:tc>
      </w:tr>
      <w:tr>
        <w:trPr/>
        <w:tc>
          <w:tcPr>
            <w:tcW w:w="102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 Corresponds to fees from retail and wholesale loan disbursements.</w:t>
            </w:r>
          </w:p>
        </w:tc>
      </w:tr>
      <w:tr>
        <w:trPr/>
        <w:tc>
          <w:tcPr>
            <w:tcW w:w="102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 Use of third-party networks, Other services to third parties, and Commissions in foreign branches.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QoQ and YoY</w:t>
      </w:r>
      <w:r>
        <w:rPr>
          <w:rFonts w:ascii="Times New Roman;Times;Serif" w:hAnsi="Times New Roman;Times;Serif"/>
          <w:b w:val="false"/>
          <w:i w:val="false"/>
          <w:caps w:val="false"/>
          <w:smallCaps w:val="false"/>
          <w:sz w:val="20"/>
        </w:rPr>
        <w:t xml:space="preserve"> growth of 0.9%, 13.7%, respectively, was driven mainly by: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Yape, </w:t>
            </w:r>
            <w:r>
              <w:rPr>
                <w:rFonts w:ascii="Times New Roman;Times;Serif" w:hAnsi="Times New Roman;Times;Serif"/>
                <w:sz w:val="20"/>
              </w:rPr>
              <w:t>which continued to post strong growth, supported by greater feature usage. QoQ performance was driven by (i) bill payments, mainly for telecom, financial institutions, electricity and education; (ii) remittances, which ticked up through strategic alliances that have broadened our access and points of product distribution in different countries. YoY growth was mainly driven by higher QR (POS) merchant fees, supported by stronger consumer activity and, to a lesser extent, the same dynamics observed QoQ.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YTD, </w:t>
      </w:r>
      <w:r>
        <w:rPr>
          <w:rFonts w:ascii="Times New Roman;Times;Serif" w:hAnsi="Times New Roman;Times;Serif"/>
          <w:b w:val="false"/>
          <w:i w:val="false"/>
          <w:caps w:val="false"/>
          <w:smallCaps w:val="false"/>
          <w:sz w:val="20"/>
        </w:rPr>
        <w:t>growth of 14.6% driven by: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Yape </w:t>
            </w:r>
            <w:r>
              <w:rPr>
                <w:rFonts w:ascii="Times New Roman;Times;Serif" w:hAnsi="Times New Roman;Times;Serif"/>
                <w:sz w:val="20"/>
              </w:rPr>
              <w:t>performance was driven by QR payments (POS), bill payments, and Checkout. The first two reflected the transaction dynamics described on a QoQ and YoY basis, while Checkout benefited from the higher transaction volume generated by active customers.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Core business, </w:t>
            </w:r>
            <w:r>
              <w:rPr>
                <w:rFonts w:ascii="Times New Roman;Times;Serif" w:hAnsi="Times New Roman;Times;Serif"/>
                <w:sz w:val="20"/>
              </w:rPr>
              <w:t>supported by (i) liability and transactional accounts, which benefited from higher volumes of interbank and foreign transfers, aligned with our service digitalization strategy; and (ii) loan disbursements, driven by portfolio expansion.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28650"/>
            <wp:effectExtent l="0" t="0" r="0" b="0"/>
            <wp:docPr id="12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8" descr=""/>
                    <pic:cNvPicPr>
                      <a:picLocks noChangeAspect="1" noChangeArrowheads="1"/>
                    </pic:cNvPicPr>
                  </pic:nvPicPr>
                  <pic:blipFill>
                    <a:blip r:embed="rId107"/>
                    <a:stretch>
                      <a:fillRect/>
                    </a:stretch>
                  </pic:blipFill>
                  <pic:spPr bwMode="auto">
                    <a:xfrm>
                      <a:off x="0" y="0"/>
                      <a:ext cx="7620000" cy="628650"/>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2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9" descr=""/>
                          <pic:cNvPicPr>
                            <a:picLocks noChangeAspect="1" noChangeArrowheads="1"/>
                          </pic:cNvPicPr>
                        </pic:nvPicPr>
                        <pic:blipFill>
                          <a:blip r:embed="rId108"/>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06. Other Income</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Other Non-core Income</w:t>
      </w:r>
    </w:p>
    <w:p>
      <w:pPr>
        <w:pStyle w:val="TextBody"/>
        <w:bidi w:val="0"/>
        <w:spacing w:before="0" w:after="0"/>
        <w:jc w:val="left"/>
        <w:rPr>
          <w:caps w:val="false"/>
          <w:smallCaps w:val="false"/>
        </w:rPr>
      </w:pPr>
      <w:r>
        <w:rPr>
          <w:caps w:val="false"/>
          <w:smallCaps w:val="false"/>
        </w:rPr>
        <w:t> </w:t>
      </w:r>
    </w:p>
    <w:tbl>
      <w:tblPr>
        <w:tblW w:w="8565" w:type="dxa"/>
        <w:jc w:val="left"/>
        <w:tblInd w:w="-10" w:type="dxa"/>
        <w:tblLayout w:type="fixed"/>
        <w:tblCellMar>
          <w:top w:w="28" w:type="dxa"/>
          <w:left w:w="60" w:type="dxa"/>
          <w:bottom w:w="0" w:type="dxa"/>
          <w:right w:w="0" w:type="dxa"/>
        </w:tblCellMar>
      </w:tblPr>
      <w:tblGrid>
        <w:gridCol w:w="3155"/>
        <w:gridCol w:w="605"/>
        <w:gridCol w:w="605"/>
        <w:gridCol w:w="605"/>
        <w:gridCol w:w="620"/>
        <w:gridCol w:w="620"/>
        <w:gridCol w:w="605"/>
        <w:gridCol w:w="605"/>
        <w:gridCol w:w="1145"/>
      </w:tblGrid>
      <w:tr>
        <w:trPr/>
        <w:tc>
          <w:tcPr>
            <w:tcW w:w="3155" w:type="dxa"/>
            <w:tcBorders>
              <w:top w:val="single" w:sz="8" w:space="0" w:color="000000"/>
              <w:left w:val="single" w:sz="8" w:space="0" w:color="000000"/>
            </w:tcBorders>
            <w:shd w:fill="2AD2C9"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Other Non-Core Income</w:t>
            </w:r>
          </w:p>
        </w:tc>
        <w:tc>
          <w:tcPr>
            <w:tcW w:w="1815" w:type="dxa"/>
            <w:gridSpan w:val="3"/>
            <w:tcBorders>
              <w:top w:val="single" w:sz="8" w:space="0" w:color="000000"/>
              <w:left w:val="single" w:sz="8" w:space="0" w:color="000000"/>
            </w:tcBorders>
            <w:shd w:fill="2AD2C9"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1240" w:type="dxa"/>
            <w:gridSpan w:val="2"/>
            <w:tcBorders>
              <w:top w:val="single" w:sz="8" w:space="0" w:color="000000"/>
              <w:left w:val="single" w:sz="8" w:space="0" w:color="000000"/>
            </w:tcBorders>
            <w:shd w:fill="2AD2C9"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210" w:type="dxa"/>
            <w:gridSpan w:val="2"/>
            <w:tcBorders>
              <w:top w:val="single" w:sz="8" w:space="0" w:color="000000"/>
              <w:left w:val="single" w:sz="8" w:space="0" w:color="000000"/>
            </w:tcBorders>
            <w:shd w:fill="2AD2C9"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45" w:type="dxa"/>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15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60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60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60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62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62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60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60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45" w:type="dxa"/>
            <w:tcBorders>
              <w:left w:val="single" w:sz="8" w:space="0" w:color="000000"/>
              <w:bottom w:val="single" w:sz="8" w:space="0" w:color="000000"/>
              <w:right w:val="single" w:sz="8" w:space="0" w:color="000000"/>
            </w:tcBorders>
            <w:shd w:fill="2AD2C9" w:val="clear"/>
            <w:tcMar>
              <w:top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15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on securities</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179,174</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135,637</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248,844</w:t>
            </w:r>
          </w:p>
        </w:tc>
        <w:tc>
          <w:tcPr>
            <w:tcW w:w="6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83.5%</w:t>
            </w:r>
          </w:p>
        </w:tc>
        <w:tc>
          <w:tcPr>
            <w:tcW w:w="6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38.9%</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151,025</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384,481</w:t>
            </w:r>
          </w:p>
        </w:tc>
        <w:tc>
          <w:tcPr>
            <w:tcW w:w="1145"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154.6%</w:t>
            </w:r>
          </w:p>
        </w:tc>
      </w:tr>
      <w:tr>
        <w:trPr/>
        <w:tc>
          <w:tcPr>
            <w:tcW w:w="315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from associates</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6,556</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9,296</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6,156</w:t>
            </w:r>
          </w:p>
        </w:tc>
        <w:tc>
          <w:tcPr>
            <w:tcW w:w="6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-33.8%</w:t>
            </w:r>
          </w:p>
        </w:tc>
        <w:tc>
          <w:tcPr>
            <w:tcW w:w="6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30,624</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15,452</w:t>
            </w:r>
          </w:p>
        </w:tc>
        <w:tc>
          <w:tcPr>
            <w:tcW w:w="1145"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-49.5%</w:t>
            </w:r>
          </w:p>
        </w:tc>
      </w:tr>
      <w:tr>
        <w:trPr/>
        <w:tc>
          <w:tcPr>
            <w:tcW w:w="315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of derivatives held for trading</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21,418</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27,463</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-14,697</w:t>
            </w:r>
          </w:p>
        </w:tc>
        <w:tc>
          <w:tcPr>
            <w:tcW w:w="6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-153.5%</w:t>
            </w:r>
          </w:p>
        </w:tc>
        <w:tc>
          <w:tcPr>
            <w:tcW w:w="6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-168.6%</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39,917</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12,766</w:t>
            </w:r>
          </w:p>
        </w:tc>
        <w:tc>
          <w:tcPr>
            <w:tcW w:w="1145"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-68.0%</w:t>
            </w:r>
          </w:p>
        </w:tc>
      </w:tr>
      <w:tr>
        <w:trPr/>
        <w:tc>
          <w:tcPr>
            <w:tcW w:w="315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from exchange differences</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10,195</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8,557</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44,160</w:t>
            </w:r>
          </w:p>
        </w:tc>
        <w:tc>
          <w:tcPr>
            <w:tcW w:w="6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416.1%</w:t>
            </w:r>
          </w:p>
        </w:tc>
        <w:tc>
          <w:tcPr>
            <w:tcW w:w="6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333.2%</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26,154</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52,717</w:t>
            </w:r>
          </w:p>
        </w:tc>
        <w:tc>
          <w:tcPr>
            <w:tcW w:w="1145"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101.6%</w:t>
            </w:r>
          </w:p>
        </w:tc>
      </w:tr>
      <w:tr>
        <w:trPr/>
        <w:tc>
          <w:tcPr>
            <w:tcW w:w="315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non-operative income</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58,461</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77,203</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80,652</w:t>
            </w:r>
          </w:p>
        </w:tc>
        <w:tc>
          <w:tcPr>
            <w:tcW w:w="620"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620"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38.0%</w:t>
            </w:r>
          </w:p>
        </w:tc>
        <w:tc>
          <w:tcPr>
            <w:tcW w:w="605" w:type="dxa"/>
            <w:tcBorders>
              <w:lef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380,462</w:t>
            </w:r>
          </w:p>
        </w:tc>
        <w:tc>
          <w:tcPr>
            <w:tcW w:w="605" w:type="dxa"/>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157,855</w:t>
            </w:r>
          </w:p>
        </w:tc>
        <w:tc>
          <w:tcPr>
            <w:tcW w:w="1145"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-58.5%</w:t>
            </w:r>
          </w:p>
        </w:tc>
      </w:tr>
      <w:tr>
        <w:trPr/>
        <w:tc>
          <w:tcPr>
            <w:tcW w:w="315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Other Non-Core Income</w:t>
            </w:r>
          </w:p>
        </w:tc>
        <w:tc>
          <w:tcPr>
            <w:tcW w:w="60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275,804</w:t>
            </w:r>
          </w:p>
        </w:tc>
        <w:tc>
          <w:tcPr>
            <w:tcW w:w="60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258,156</w:t>
            </w:r>
          </w:p>
        </w:tc>
        <w:tc>
          <w:tcPr>
            <w:tcW w:w="60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365,115</w:t>
            </w:r>
          </w:p>
        </w:tc>
        <w:tc>
          <w:tcPr>
            <w:tcW w:w="62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41.4%</w:t>
            </w:r>
          </w:p>
        </w:tc>
        <w:tc>
          <w:tcPr>
            <w:tcW w:w="62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32.4%</w:t>
            </w:r>
          </w:p>
        </w:tc>
        <w:tc>
          <w:tcPr>
            <w:tcW w:w="60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628,182</w:t>
            </w:r>
          </w:p>
        </w:tc>
        <w:tc>
          <w:tcPr>
            <w:tcW w:w="60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623,271</w:t>
            </w:r>
          </w:p>
        </w:tc>
        <w:tc>
          <w:tcPr>
            <w:tcW w:w="1145" w:type="dxa"/>
            <w:tcBorders>
              <w:top w:val="single" w:sz="8" w:space="0" w:color="000000"/>
              <w:left w:val="single" w:sz="8" w:space="0" w:color="000000"/>
              <w:bottom w:val="single" w:sz="8" w:space="0" w:color="000000"/>
              <w:right w:val="single" w:sz="8" w:space="0" w:color="000000"/>
            </w:tcBorders>
            <w:tcMar>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Non-core Income rose 41.4% QoQ and 32.4% YoY but fell slightly YTD.</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QoQ, </w:t>
            </w:r>
            <w:r>
              <w:rPr>
                <w:rFonts w:ascii="Times New Roman;Times;Serif" w:hAnsi="Times New Roman;Times;Serif"/>
                <w:sz w:val="20"/>
              </w:rPr>
              <w:t>results were driven by higher Net Gain on Securities (+83.5%) and a strong increase in Foreign Exchange Gains (+416.1%), explained by the appreciation of the Peruvian sol against the U.S. dollar. The increase in gains from securities sales was mainly attributable to Credicorp Capital, reflecting higher income from its Colombian subsidiary, supported by a more constructive fixed income environment. This growth was partially offset by lower Gains on Speculative Derivatives (-153.5%), also at Credicorp Capital Colombia, in line with less favorable market conditions during June.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YoY, </w:t>
            </w:r>
            <w:r>
              <w:rPr>
                <w:rFonts w:ascii="Times New Roman;Times;Serif" w:hAnsi="Times New Roman;Times;Serif"/>
                <w:sz w:val="20"/>
              </w:rPr>
              <w:t>results were driven by the same dynamics observed on a QoQ basis, as well as an extraordinary gain within Other Non-Operating Income related to the sale of a property at Pacífico</w:t>
            </w:r>
            <w:r>
              <w:rPr>
                <w:rFonts w:ascii="Times New Roman;Times;Serif" w:hAnsi="Times New Roman;Times;Serif"/>
                <w:b/>
                <w:sz w:val="20"/>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YTD, </w:t>
            </w:r>
            <w:r>
              <w:rPr>
                <w:rFonts w:ascii="Times New Roman;Times;Serif" w:hAnsi="Times New Roman;Times;Serif"/>
                <w:sz w:val="20"/>
              </w:rPr>
              <w:t>the decline was mainly explained by a base effect in Other Non-operating Income (-58.5%), associated with the extraordinary gain recognized in 1Q25 from the acquisition of the Health Business. Excluding this effect, Other Non-core Income would have increased by 9.3%, driven by the dynamics described in the QoQ and YoY analyses.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19125"/>
            <wp:effectExtent l="0" t="0" r="0" b="0"/>
            <wp:docPr id="12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0" descr=""/>
                    <pic:cNvPicPr>
                      <a:picLocks noChangeAspect="1" noChangeArrowheads="1"/>
                    </pic:cNvPicPr>
                  </pic:nvPicPr>
                  <pic:blipFill>
                    <a:blip r:embed="rId109"/>
                    <a:stretch>
                      <a:fillRect/>
                    </a:stretch>
                  </pic:blipFill>
                  <pic:spPr bwMode="auto">
                    <a:xfrm>
                      <a:off x="0" y="0"/>
                      <a:ext cx="7620000" cy="619125"/>
                    </a:xfrm>
                    <a:prstGeom prst="rect">
                      <a:avLst/>
                    </a:prstGeom>
                  </pic:spPr>
                </pic:pic>
              </a:graphicData>
            </a:graphic>
          </wp:inline>
        </w:drawing>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2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1" descr=""/>
                          <pic:cNvPicPr>
                            <a:picLocks noChangeAspect="1" noChangeArrowheads="1"/>
                          </pic:cNvPicPr>
                        </pic:nvPicPr>
                        <pic:blipFill>
                          <a:blip r:embed="rId110"/>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515"/>
        <w:gridCol w:w="7865"/>
      </w:tblGrid>
      <w:tr>
        <w:trPr/>
        <w:tc>
          <w:tcPr>
            <w:tcW w:w="515" w:type="dxa"/>
            <w:tcBorders/>
            <w:vAlign w:val="center"/>
          </w:tcPr>
          <w:p>
            <w:pPr>
              <w:pStyle w:val="TableContents"/>
              <w:bidi w:val="0"/>
              <w:spacing w:before="0" w:after="283"/>
              <w:jc w:val="left"/>
              <w:rPr>
                <w:b/>
                <w:sz w:val="48"/>
              </w:rPr>
            </w:pPr>
            <w:r>
              <w:rPr>
                <w:b/>
                <w:sz w:val="48"/>
              </w:rPr>
              <w:t>07</w:t>
            </w:r>
          </w:p>
        </w:tc>
        <w:tc>
          <w:tcPr>
            <w:tcW w:w="7865" w:type="dxa"/>
            <w:tcBorders/>
            <w:vAlign w:val="center"/>
          </w:tcPr>
          <w:p>
            <w:pPr>
              <w:pStyle w:val="TableContents"/>
              <w:bidi w:val="0"/>
              <w:spacing w:before="0" w:after="283"/>
              <w:jc w:val="left"/>
              <w:rPr>
                <w:sz w:val="36"/>
              </w:rPr>
            </w:pPr>
            <w:r>
              <w:rPr>
                <w:sz w:val="36"/>
              </w:rPr>
              <w:t>Insurance Underwriting and Medical Services Results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AAC"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The Insurance Underwriting Result (IUR) shows that execution is aligned with our strategy and sustained by sales momentum in the retail segment. </w:t>
            </w:r>
          </w:p>
          <w:p>
            <w:pPr>
              <w:pStyle w:val="TableContents"/>
              <w:bidi w:val="0"/>
              <w:spacing w:before="80" w:after="0"/>
              <w:ind w:left="80" w:right="8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QoQ, the IUR dropped 3.7% due to (i) Life, which registered higher claims expenses related to a base effect in the D&amp;S segment, as 1Q26 benefited from SISCO claims reserve releases; this was partially mitigated by (ii) P &amp; C, which registered growth in insurance service income, mainly in Commercial and Vehicle Lines, and (iii) Corporate Health, where claims were down this quarter. </w:t>
            </w:r>
          </w:p>
          <w:p>
            <w:pPr>
              <w:pStyle w:val="TableContents"/>
              <w:bidi w:val="0"/>
              <w:spacing w:before="80" w:after="0"/>
              <w:ind w:left="80" w:right="8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YoY, the Life business showed mixed dynamics. Life Credit continued to reporting expansion in the policy base through bancassurance and retail channels to consolidate its position as one of the business’s most important avenues for structural growth. However, this was offset by D&amp;S, which registered higher claims expenses due to a base effect of SISCO claims reserve releases was recorded in 2Q25. Meanwhile, P&amp;C recorded a less favorable reinsurance result. As a result, IUR decreased by 17.9%. </w:t>
            </w:r>
          </w:p>
          <w:p>
            <w:pPr>
              <w:pStyle w:val="TableContents"/>
              <w:bidi w:val="0"/>
              <w:spacing w:before="80" w:after="0"/>
              <w:ind w:left="80" w:right="80" w:hanging="0"/>
              <w:jc w:val="left"/>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Medical Services continued to advance with operating and commercial discipline over all three periods.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E93AAC"/>
          <w:sz w:val="32"/>
        </w:rPr>
      </w:pPr>
      <w:r>
        <w:rPr>
          <w:rFonts w:ascii="Times New Roman;Times;Serif" w:hAnsi="Times New Roman;Times;Serif"/>
          <w:b w:val="false"/>
          <w:i w:val="false"/>
          <w:caps w:val="false"/>
          <w:smallCaps w:val="false"/>
          <w:color w:val="E93AAC"/>
          <w:sz w:val="32"/>
        </w:rPr>
        <w:t>Insurance Underwriting Result</w:t>
      </w:r>
    </w:p>
    <w:p>
      <w:pPr>
        <w:pStyle w:val="TextBody"/>
        <w:bidi w:val="0"/>
        <w:spacing w:before="0" w:after="0"/>
        <w:ind w:left="175" w:right="0" w:hanging="0"/>
        <w:jc w:val="both"/>
        <w:rPr>
          <w:caps w:val="false"/>
          <w:smallCaps w:val="false"/>
          <w:color w:val="E93AAC"/>
        </w:rPr>
      </w:pPr>
      <w:r>
        <w:rPr>
          <w:caps w:val="false"/>
          <w:smallCaps w:val="false"/>
          <w:color w:val="E93AAC"/>
        </w:rPr>
        <w:t> </w:t>
      </w:r>
    </w:p>
    <w:tbl>
      <w:tblPr>
        <w:tblW w:w="10205" w:type="dxa"/>
        <w:jc w:val="left"/>
        <w:tblInd w:w="-10" w:type="dxa"/>
        <w:tblLayout w:type="fixed"/>
        <w:tblCellMar>
          <w:top w:w="28" w:type="dxa"/>
          <w:left w:w="60" w:type="dxa"/>
          <w:bottom w:w="0" w:type="dxa"/>
          <w:right w:w="28" w:type="dxa"/>
        </w:tblCellMar>
      </w:tblPr>
      <w:tblGrid>
        <w:gridCol w:w="980"/>
        <w:gridCol w:w="2499"/>
        <w:gridCol w:w="740"/>
        <w:gridCol w:w="800"/>
        <w:gridCol w:w="740"/>
        <w:gridCol w:w="705"/>
        <w:gridCol w:w="753"/>
        <w:gridCol w:w="860"/>
        <w:gridCol w:w="860"/>
        <w:gridCol w:w="1268"/>
      </w:tblGrid>
      <w:tr>
        <w:trPr/>
        <w:tc>
          <w:tcPr>
            <w:tcW w:w="3479" w:type="dxa"/>
            <w:gridSpan w:val="2"/>
            <w:tcBorders>
              <w:top w:val="single" w:sz="8" w:space="0" w:color="000000"/>
              <w:left w:val="single" w:sz="8" w:space="0" w:color="000000"/>
              <w:right w:val="single" w:sz="8" w:space="0" w:color="000000"/>
            </w:tcBorders>
            <w:shd w:fill="2A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Insurance Underwriting Result</w:t>
            </w:r>
          </w:p>
        </w:tc>
        <w:tc>
          <w:tcPr>
            <w:tcW w:w="740" w:type="dxa"/>
            <w:tcBorders>
              <w:top w:val="single" w:sz="8" w:space="0" w:color="000000"/>
            </w:tcBorders>
            <w:shd w:fill="2AD2C7" w:val="clear"/>
            <w:tcMar>
              <w:left w:w="0" w:type="dxa"/>
              <w:right w:w="0" w:type="dxa"/>
            </w:tcMar>
            <w:vAlign w:val="center"/>
          </w:tcPr>
          <w:p>
            <w:pPr>
              <w:pStyle w:val="TableContents"/>
              <w:bidi w:val="0"/>
              <w:spacing w:before="0" w:after="283"/>
              <w:jc w:val="left"/>
              <w:rPr/>
            </w:pPr>
            <w:r>
              <w:rPr/>
              <w:t> </w:t>
            </w:r>
          </w:p>
        </w:tc>
        <w:tc>
          <w:tcPr>
            <w:tcW w:w="800" w:type="dxa"/>
            <w:tcBorders>
              <w:top w:val="single" w:sz="8" w:space="0" w:color="000000"/>
            </w:tcBorders>
            <w:shd w:fill="2AD2C7" w:val="clear"/>
            <w:tcMar>
              <w:left w:w="0" w:type="dxa"/>
              <w:right w:w="0" w:type="dxa"/>
            </w:tcMar>
            <w:vAlign w:val="center"/>
          </w:tcPr>
          <w:p>
            <w:pPr>
              <w:pStyle w:val="TableContents"/>
              <w:bidi w:val="0"/>
              <w:spacing w:before="0" w:after="283"/>
              <w:jc w:val="center"/>
              <w:rPr>
                <w:rFonts w:ascii="Times New Roman;Times;Serif" w:hAnsi="Times New Roman;Times;Serif"/>
                <w:color w:val="FFFFFF"/>
                <w:sz w:val="16"/>
              </w:rPr>
            </w:pPr>
            <w:r>
              <w:rPr>
                <w:rFonts w:ascii="Times New Roman;Times;Serif" w:hAnsi="Times New Roman;Times;Serif"/>
                <w:b/>
                <w:color w:val="FFFFFF"/>
                <w:sz w:val="16"/>
              </w:rPr>
              <w:t>Quarterly</w:t>
            </w:r>
            <w:r>
              <w:rPr>
                <w:rFonts w:ascii="Times New Roman;Times;Serif" w:hAnsi="Times New Roman;Times;Serif"/>
                <w:color w:val="FFFFFF"/>
                <w:sz w:val="16"/>
              </w:rPr>
              <w:t> </w:t>
            </w:r>
          </w:p>
        </w:tc>
        <w:tc>
          <w:tcPr>
            <w:tcW w:w="740"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left"/>
              <w:rPr/>
            </w:pPr>
            <w:r>
              <w:rPr/>
              <w:t> </w:t>
            </w:r>
          </w:p>
        </w:tc>
        <w:tc>
          <w:tcPr>
            <w:tcW w:w="1458"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 </w:t>
            </w:r>
          </w:p>
        </w:tc>
        <w:tc>
          <w:tcPr>
            <w:tcW w:w="172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color w:val="FFFFFF"/>
                <w:sz w:val="16"/>
              </w:rPr>
            </w:pPr>
            <w:r>
              <w:rPr>
                <w:rFonts w:ascii="Times New Roman;Times;Serif" w:hAnsi="Times New Roman;Times;Serif"/>
                <w:b/>
                <w:color w:val="FFFFFF"/>
                <w:sz w:val="16"/>
              </w:rPr>
              <w:t>Up to</w:t>
            </w:r>
            <w:r>
              <w:rPr>
                <w:rFonts w:ascii="Times New Roman;Times;Serif" w:hAnsi="Times New Roman;Times;Serif"/>
                <w:color w:val="FFFFFF"/>
                <w:sz w:val="16"/>
              </w:rPr>
              <w:t>  </w:t>
            </w:r>
          </w:p>
        </w:tc>
        <w:tc>
          <w:tcPr>
            <w:tcW w:w="1268"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xml:space="preserve">% change </w:t>
            </w:r>
          </w:p>
        </w:tc>
      </w:tr>
      <w:tr>
        <w:trPr/>
        <w:tc>
          <w:tcPr>
            <w:tcW w:w="3479" w:type="dxa"/>
            <w:gridSpan w:val="2"/>
            <w:tcBorders>
              <w:left w:val="single" w:sz="8" w:space="0" w:color="000000"/>
              <w:bottom w:val="single" w:sz="8" w:space="0" w:color="000000"/>
              <w:right w:val="single" w:sz="8" w:space="0" w:color="000000"/>
            </w:tcBorders>
            <w:shd w:fill="2AD2C7" w:val="clear"/>
            <w:tcMar>
              <w:top w:w="0" w:type="dxa"/>
              <w:bottom w:w="28" w:type="dxa"/>
            </w:tcMar>
            <w:vAlign w:val="center"/>
          </w:tcPr>
          <w:p>
            <w:pPr>
              <w:pStyle w:val="TableContents"/>
              <w:bidi w:val="0"/>
              <w:spacing w:before="0" w:after="283"/>
              <w:jc w:val="left"/>
              <w:rPr>
                <w:rFonts w:ascii="Times New Roman;Times;Serif" w:hAnsi="Times New Roman;Times;Serif"/>
                <w:color w:val="FFFFFF"/>
              </w:rPr>
            </w:pPr>
            <w:r>
              <w:rPr>
                <w:rFonts w:ascii="Times New Roman;Times;Serif" w:hAnsi="Times New Roman;Times;Serif"/>
                <w:color w:val="FFFFFF"/>
              </w:rPr>
              <w:t>S/ millions</w:t>
            </w:r>
          </w:p>
        </w:tc>
        <w:tc>
          <w:tcPr>
            <w:tcW w:w="74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2Q25</w:t>
            </w:r>
          </w:p>
        </w:tc>
        <w:tc>
          <w:tcPr>
            <w:tcW w:w="80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1Q26 </w:t>
            </w:r>
          </w:p>
        </w:tc>
        <w:tc>
          <w:tcPr>
            <w:tcW w:w="74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2Q26</w:t>
            </w:r>
          </w:p>
        </w:tc>
        <w:tc>
          <w:tcPr>
            <w:tcW w:w="705"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QoQ</w:t>
            </w:r>
          </w:p>
        </w:tc>
        <w:tc>
          <w:tcPr>
            <w:tcW w:w="753"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YoY </w:t>
            </w:r>
          </w:p>
        </w:tc>
        <w:tc>
          <w:tcPr>
            <w:tcW w:w="86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Jun 25</w:t>
            </w:r>
          </w:p>
        </w:tc>
        <w:tc>
          <w:tcPr>
            <w:tcW w:w="86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Jun 26</w:t>
            </w:r>
          </w:p>
        </w:tc>
        <w:tc>
          <w:tcPr>
            <w:tcW w:w="1268"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Jun 26 / Jun 25</w:t>
            </w:r>
          </w:p>
        </w:tc>
      </w:tr>
      <w:tr>
        <w:trPr/>
        <w:tc>
          <w:tcPr>
            <w:tcW w:w="980" w:type="dxa"/>
            <w:vMerge w:val="restart"/>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w:t>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Income</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1,185.6</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1,236.8</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1,253.2</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5.7%</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2,173.7</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2,461.3</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13.2%</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Expenses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(738.8)</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(891.0)</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(823.7)</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11.5%</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(1,278.2)</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(1,738.4)</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36.0%</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Reinsurance Result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(96.0)</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(46.8)</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(141.5)</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47.4%</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(190.1)</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(187.7)</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Insurance Underwriting Result</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350.9</w:t>
            </w:r>
          </w:p>
        </w:tc>
        <w:tc>
          <w:tcPr>
            <w:tcW w:w="8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299.1</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288.0</w:t>
            </w:r>
          </w:p>
        </w:tc>
        <w:tc>
          <w:tcPr>
            <w:tcW w:w="7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-3.7%</w:t>
            </w:r>
          </w:p>
        </w:tc>
        <w:tc>
          <w:tcPr>
            <w:tcW w:w="75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-17.9%</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705.4</w:t>
            </w:r>
          </w:p>
        </w:tc>
        <w:tc>
          <w:tcPr>
            <w:tcW w:w="8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535.3</w:t>
            </w:r>
          </w:p>
        </w:tc>
        <w:tc>
          <w:tcPr>
            <w:tcW w:w="12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-24.1%</w:t>
            </w:r>
          </w:p>
        </w:tc>
      </w:tr>
      <w:tr>
        <w:trPr/>
        <w:tc>
          <w:tcPr>
            <w:tcW w:w="980" w:type="dxa"/>
            <w:vMerge w:val="restart"/>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P&amp;C</w:t>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Income</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480.0</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463.2</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488.9</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5.6%</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970.0</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952.1</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Expenses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(298.7)</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(358.2)</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(274.6)</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-23.3%</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-8.0%</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(624.0)</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(684.7)</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9.7%</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Reinsurance Result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(88.7)</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(25.3)</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(130.9)</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417.4%</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47.5%</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(161.1)</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(156.2)</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-3.1%</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I</w:t>
            </w:r>
            <w:r>
              <w:rPr>
                <w:rFonts w:ascii="Times New Roman;Times;Serif" w:hAnsi="Times New Roman;Times;Serif"/>
                <w:b/>
              </w:rPr>
              <w:t>nsurance Underwriting Result</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92.6</w:t>
            </w:r>
          </w:p>
        </w:tc>
        <w:tc>
          <w:tcPr>
            <w:tcW w:w="8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79.7</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83.4</w:t>
            </w:r>
          </w:p>
        </w:tc>
        <w:tc>
          <w:tcPr>
            <w:tcW w:w="7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4.7%</w:t>
            </w:r>
          </w:p>
        </w:tc>
        <w:tc>
          <w:tcPr>
            <w:tcW w:w="75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-10.0%</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185.0</w:t>
            </w:r>
          </w:p>
        </w:tc>
        <w:tc>
          <w:tcPr>
            <w:tcW w:w="8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111.3</w:t>
            </w:r>
          </w:p>
        </w:tc>
        <w:tc>
          <w:tcPr>
            <w:tcW w:w="12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-39.8%</w:t>
            </w:r>
          </w:p>
        </w:tc>
      </w:tr>
      <w:tr>
        <w:trPr/>
        <w:tc>
          <w:tcPr>
            <w:tcW w:w="980" w:type="dxa"/>
            <w:vMerge w:val="restart"/>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Life</w:t>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Income</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330.9</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332.0</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340.9</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663.8</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672.9</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Expenses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(79.0)</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(112.5)</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(148.7)</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32.2%</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88.2%</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(191.3)</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(261.2)</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36.5%</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Reinsurance Result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(7.6)</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(17.4)</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(6.5)</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-62.5%</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-13.9%</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(20.9)</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(24.0)</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14.7%</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Insurance Underwriting Result</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244.3</w:t>
            </w:r>
          </w:p>
        </w:tc>
        <w:tc>
          <w:tcPr>
            <w:tcW w:w="8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202.1</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185.6</w:t>
            </w:r>
          </w:p>
        </w:tc>
        <w:tc>
          <w:tcPr>
            <w:tcW w:w="7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-8.1%</w:t>
            </w:r>
          </w:p>
        </w:tc>
        <w:tc>
          <w:tcPr>
            <w:tcW w:w="75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-24.0%</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451.5</w:t>
            </w:r>
          </w:p>
        </w:tc>
        <w:tc>
          <w:tcPr>
            <w:tcW w:w="8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387.7</w:t>
            </w:r>
          </w:p>
        </w:tc>
        <w:tc>
          <w:tcPr>
            <w:tcW w:w="12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-14.1%</w:t>
            </w:r>
          </w:p>
        </w:tc>
      </w:tr>
      <w:tr>
        <w:trPr/>
        <w:tc>
          <w:tcPr>
            <w:tcW w:w="980" w:type="dxa"/>
            <w:vMerge w:val="restart"/>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Crediseguros</w:t>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Income</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13.3</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18.7</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19.1</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43.8%</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36.1</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37.8</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Expenses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(10.0)</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(7.8)</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-22.1%</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Reinsurance Result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(4.4)</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13.3%</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15.0%</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(12.1)</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-32.1%</w:t>
            </w:r>
          </w:p>
        </w:tc>
      </w:tr>
      <w:tr>
        <w:trPr/>
        <w:tc>
          <w:tcPr>
            <w:tcW w:w="980" w:type="dxa"/>
            <w:vMerge w:val="continue"/>
            <w:tcBorders>
              <w:left w:val="single" w:sz="8" w:space="0" w:color="000000"/>
              <w:bottom w:val="single" w:sz="8" w:space="0" w:color="000000"/>
              <w:right w:val="single" w:sz="8" w:space="0" w:color="000000"/>
            </w:tcBorders>
            <w:tcMar>
              <w:top w:w="0" w:type="dxa"/>
              <w:left w:w="28" w:type="dxa"/>
              <w:bottom w:w="28" w:type="dxa"/>
            </w:tcMar>
            <w:vAlign w:val="center"/>
          </w:tcPr>
          <w:p>
            <w:pPr>
              <w:pStyle w:val="Normal"/>
              <w:bidi w:val="0"/>
              <w:jc w:val="left"/>
              <w:rPr/>
            </w:pPr>
            <w:r>
              <w:rPr/>
            </w:r>
          </w:p>
        </w:tc>
        <w:tc>
          <w:tcPr>
            <w:tcW w:w="249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Insurance Underwriting Result</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5.3</w:t>
            </w:r>
          </w:p>
        </w:tc>
        <w:tc>
          <w:tcPr>
            <w:tcW w:w="8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10.9</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10.8</w:t>
            </w:r>
          </w:p>
        </w:tc>
        <w:tc>
          <w:tcPr>
            <w:tcW w:w="7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-0.6%</w:t>
            </w:r>
          </w:p>
        </w:tc>
        <w:tc>
          <w:tcPr>
            <w:tcW w:w="75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105.1%</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14.0</w:t>
            </w:r>
          </w:p>
        </w:tc>
        <w:tc>
          <w:tcPr>
            <w:tcW w:w="8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21.7</w:t>
            </w:r>
          </w:p>
        </w:tc>
        <w:tc>
          <w:tcPr>
            <w:tcW w:w="12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55.4%</w:t>
            </w:r>
          </w:p>
        </w:tc>
      </w:tr>
      <w:tr>
        <w:trPr/>
        <w:tc>
          <w:tcPr>
            <w:tcW w:w="980" w:type="dxa"/>
            <w:tcBorders>
              <w:left w:val="single" w:sz="8" w:space="0" w:color="000000"/>
              <w:right w:val="single" w:sz="8" w:space="0" w:color="000000"/>
            </w:tcBorders>
            <w:tcMar>
              <w:top w:w="0" w:type="dxa"/>
              <w:left w:w="28" w:type="dxa"/>
            </w:tcMar>
            <w:vAlign w:val="center"/>
          </w:tcPr>
          <w:p>
            <w:pPr>
              <w:pStyle w:val="TableContents"/>
              <w:bidi w:val="0"/>
              <w:spacing w:before="0" w:after="283"/>
              <w:jc w:val="center"/>
              <w:rPr/>
            </w:pPr>
            <w:r>
              <w:rPr/>
              <w:t> </w:t>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Income</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383.3</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415.2</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419.5</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9.5%</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513.4</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834.7</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62.6%</w:t>
            </w:r>
          </w:p>
        </w:tc>
      </w:tr>
      <w:tr>
        <w:trPr/>
        <w:tc>
          <w:tcPr>
            <w:tcW w:w="980" w:type="dxa"/>
            <w:tcBorders>
              <w:left w:val="single" w:sz="8" w:space="0" w:color="000000"/>
              <w:right w:val="single" w:sz="8" w:space="0" w:color="000000"/>
            </w:tcBorders>
            <w:tcMar>
              <w:top w:w="0" w:type="dxa"/>
              <w:left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Corporate</w:t>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Service Expenses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(357.3)</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(409.5)</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(399.3)</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11.8%</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(480.2)</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(808.8)</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68.4%</w:t>
            </w:r>
          </w:p>
        </w:tc>
      </w:tr>
      <w:tr>
        <w:trPr/>
        <w:tc>
          <w:tcPr>
            <w:tcW w:w="980" w:type="dxa"/>
            <w:tcBorders>
              <w:left w:val="single" w:sz="8" w:space="0" w:color="000000"/>
              <w:right w:val="single" w:sz="8" w:space="0" w:color="000000"/>
            </w:tcBorders>
            <w:tcMar>
              <w:top w:w="0" w:type="dxa"/>
              <w:left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Health</w:t>
            </w:r>
          </w:p>
        </w:tc>
        <w:tc>
          <w:tcPr>
            <w:tcW w:w="2499"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Reinsurance Result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8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w:t>
            </w:r>
          </w:p>
        </w:tc>
        <w:tc>
          <w:tcPr>
            <w:tcW w:w="7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c>
          <w:tcPr>
            <w:tcW w:w="753"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-100.0%</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c>
          <w:tcPr>
            <w:tcW w:w="8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w:t>
            </w:r>
          </w:p>
        </w:tc>
        <w:tc>
          <w:tcPr>
            <w:tcW w:w="12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-100.0%</w:t>
            </w:r>
          </w:p>
        </w:tc>
      </w:tr>
      <w:tr>
        <w:trPr/>
        <w:tc>
          <w:tcPr>
            <w:tcW w:w="980" w:type="dxa"/>
            <w:tcBorders>
              <w:left w:val="single" w:sz="8" w:space="0" w:color="000000"/>
              <w:bottom w:val="single" w:sz="8" w:space="0" w:color="000000"/>
              <w:right w:val="single" w:sz="8" w:space="0" w:color="000000"/>
            </w:tcBorders>
            <w:tcMar>
              <w:top w:w="0" w:type="dxa"/>
              <w:left w:w="28" w:type="dxa"/>
              <w:bottom w:w="28" w:type="dxa"/>
            </w:tcMar>
            <w:vAlign w:val="center"/>
          </w:tcPr>
          <w:p>
            <w:pPr>
              <w:pStyle w:val="TableContents"/>
              <w:bidi w:val="0"/>
              <w:spacing w:before="0" w:after="283"/>
              <w:jc w:val="center"/>
              <w:rPr/>
            </w:pPr>
            <w:r>
              <w:rPr/>
              <w:t> </w:t>
            </w:r>
          </w:p>
        </w:tc>
        <w:tc>
          <w:tcPr>
            <w:tcW w:w="249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Insurance Underwriting Result</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24.7</w:t>
            </w:r>
          </w:p>
        </w:tc>
        <w:tc>
          <w:tcPr>
            <w:tcW w:w="8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5.7</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w:t>
            </w:r>
          </w:p>
        </w:tc>
        <w:tc>
          <w:tcPr>
            <w:tcW w:w="7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253.5%</w:t>
            </w:r>
          </w:p>
        </w:tc>
        <w:tc>
          <w:tcPr>
            <w:tcW w:w="75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-18.3%</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31.5</w:t>
            </w:r>
          </w:p>
        </w:tc>
        <w:tc>
          <w:tcPr>
            <w:tcW w:w="8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25.9</w:t>
            </w:r>
          </w:p>
        </w:tc>
        <w:tc>
          <w:tcPr>
            <w:tcW w:w="12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-17.8%</w:t>
            </w:r>
          </w:p>
        </w:tc>
      </w:tr>
    </w:tbl>
    <w:p>
      <w:pPr>
        <w:pStyle w:val="TextBody"/>
        <w:bidi w:val="0"/>
        <w:spacing w:before="0" w:after="0"/>
        <w:ind w:left="175" w:right="0" w:hanging="0"/>
        <w:jc w:val="both"/>
        <w:rPr>
          <w:caps w:val="false"/>
          <w:smallCaps w:val="false"/>
          <w:color w:val="E93AAC"/>
        </w:rPr>
      </w:pPr>
      <w:r>
        <w:rPr>
          <w:caps w:val="false"/>
          <w:smallCaps w:val="false"/>
          <w:color w:val="E93AAC"/>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QoQ, the Insurance Underwriting Result fell 3.7%. This evolution was fueled by a less favorable reinsurance result (+202.4%), which was partially mitigated by a drop in Insurance Service Expenses (-7.5%) and an increase in Insurance Service Income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the Insurance Underwriting Result decreased 17.9%. This result was driven by growth in Insurance Service Expenses (+11.5%) and a decline in the reinsurance result (+47.4%), which was partially offset by an uptick in Insurance Service Income (+5.7%).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 the Insurance Underwriting Result dropped 24.1%. This evolution was spurred by growth in Insurance Service Expenses (+31.9%), which was partially mitigated by an increase in Insurance Service Income (+13.2%) and amore favorable in the reinsurance result (-1.3%).</w:t>
      </w:r>
    </w:p>
    <w:p>
      <w:pPr>
        <w:pStyle w:val="TextBody"/>
        <w:bidi w:val="0"/>
        <w:spacing w:before="0" w:after="0"/>
        <w:ind w:left="175" w:right="593"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2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2" descr=""/>
                    <pic:cNvPicPr>
                      <a:picLocks noChangeAspect="1" noChangeArrowheads="1"/>
                    </pic:cNvPicPr>
                  </pic:nvPicPr>
                  <pic:blipFill>
                    <a:blip r:embed="rId111"/>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8588" w:type="dxa"/>
        <w:jc w:val="left"/>
        <w:tblInd w:w="0" w:type="dxa"/>
        <w:tblLayout w:type="fixed"/>
        <w:tblCellMar>
          <w:top w:w="0" w:type="dxa"/>
          <w:left w:w="0" w:type="dxa"/>
          <w:bottom w:w="0" w:type="dxa"/>
          <w:right w:w="0" w:type="dxa"/>
        </w:tblCellMar>
      </w:tblPr>
      <w:tblGrid>
        <w:gridCol w:w="2927"/>
        <w:gridCol w:w="95"/>
        <w:gridCol w:w="2846"/>
        <w:gridCol w:w="2720"/>
      </w:tblGrid>
      <w:tr>
        <w:trPr/>
        <w:tc>
          <w:tcPr>
            <w:tcW w:w="2927" w:type="dxa"/>
            <w:tcBorders/>
            <w:shd w:fill="000000" w:val="clear"/>
            <w:vAlign w:val="center"/>
          </w:tcPr>
          <w:p>
            <w:pPr>
              <w:pStyle w:val="TableContents"/>
              <w:bidi w:val="0"/>
              <w:spacing w:before="0" w:after="283"/>
              <w:jc w:val="left"/>
              <w:rPr/>
            </w:pPr>
            <w:r>
              <w:rPr/>
              <w:t> </w:t>
            </w:r>
          </w:p>
        </w:tc>
        <w:tc>
          <w:tcPr>
            <w:tcW w:w="95" w:type="dxa"/>
            <w:tcBorders/>
            <w:shd w:fill="000000" w:val="clear"/>
            <w:vAlign w:val="center"/>
          </w:tcPr>
          <w:p>
            <w:pPr>
              <w:pStyle w:val="TableContents"/>
              <w:bidi w:val="0"/>
              <w:spacing w:before="0" w:after="283"/>
              <w:jc w:val="left"/>
              <w:rPr/>
            </w:pPr>
            <w:r>
              <w:rPr/>
              <w:t> </w:t>
            </w:r>
          </w:p>
        </w:tc>
        <w:tc>
          <w:tcPr>
            <w:tcW w:w="2846"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2927"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2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3" descr=""/>
                          <pic:cNvPicPr>
                            <a:picLocks noChangeAspect="1" noChangeArrowheads="1"/>
                          </pic:cNvPicPr>
                        </pic:nvPicPr>
                        <pic:blipFill>
                          <a:blip r:embed="rId112"/>
                          <a:stretch>
                            <a:fillRect/>
                          </a:stretch>
                        </pic:blipFill>
                        <pic:spPr bwMode="auto">
                          <a:xfrm>
                            <a:off x="0" y="0"/>
                            <a:ext cx="1257300" cy="209550"/>
                          </a:xfrm>
                          <a:prstGeom prst="rect">
                            <a:avLst/>
                          </a:prstGeom>
                        </pic:spPr>
                      </pic:pic>
                    </a:graphicData>
                  </a:graphic>
                </wp:inline>
              </w:drawing>
            </w:r>
          </w:p>
        </w:tc>
        <w:tc>
          <w:tcPr>
            <w:tcW w:w="9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846"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2927" w:type="dxa"/>
            <w:tcBorders/>
            <w:shd w:fill="000000" w:val="clear"/>
            <w:vAlign w:val="center"/>
          </w:tcPr>
          <w:p>
            <w:pPr>
              <w:pStyle w:val="TableContents"/>
              <w:bidi w:val="0"/>
              <w:spacing w:before="0" w:after="283"/>
              <w:jc w:val="left"/>
              <w:rPr/>
            </w:pPr>
            <w:r>
              <w:rPr/>
              <w:t> </w:t>
            </w:r>
          </w:p>
        </w:tc>
        <w:tc>
          <w:tcPr>
            <w:tcW w:w="95" w:type="dxa"/>
            <w:tcBorders/>
            <w:shd w:fill="000000" w:val="clear"/>
            <w:vAlign w:val="center"/>
          </w:tcPr>
          <w:p>
            <w:pPr>
              <w:pStyle w:val="TableContents"/>
              <w:bidi w:val="0"/>
              <w:spacing w:before="0" w:after="283"/>
              <w:jc w:val="left"/>
              <w:rPr/>
            </w:pPr>
            <w:r>
              <w:rPr/>
              <w:t> </w:t>
            </w:r>
          </w:p>
        </w:tc>
        <w:tc>
          <w:tcPr>
            <w:tcW w:w="2846"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5868" w:type="dxa"/>
            <w:gridSpan w:val="3"/>
            <w:tcBorders/>
            <w:shd w:fill="FF00FF"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07. Insurance Underwriting and Medical Services Results</w:t>
            </w:r>
          </w:p>
        </w:tc>
        <w:tc>
          <w:tcPr>
            <w:tcW w:w="2720" w:type="dxa"/>
            <w:tcBorders/>
            <w:shd w:fill="FF00FF"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P&amp;C</w:t>
      </w:r>
    </w:p>
    <w:p>
      <w:pPr>
        <w:pStyle w:val="TextBody"/>
        <w:bidi w:val="0"/>
        <w:spacing w:before="0" w:after="0"/>
        <w:jc w:val="left"/>
        <w:rPr>
          <w:caps w:val="false"/>
          <w:smallCaps w:val="false"/>
        </w:rPr>
      </w:pPr>
      <w:r>
        <w:rPr>
          <w:caps w:val="false"/>
          <w:smallCaps w:val="false"/>
        </w:rPr>
        <w:t> </w:t>
      </w:r>
    </w:p>
    <w:tbl>
      <w:tblPr>
        <w:tblW w:w="9840" w:type="dxa"/>
        <w:jc w:val="center"/>
        <w:tblInd w:w="0" w:type="dxa"/>
        <w:tblLayout w:type="fixed"/>
        <w:tblCellMar>
          <w:top w:w="0" w:type="dxa"/>
          <w:left w:w="0" w:type="dxa"/>
          <w:bottom w:w="0" w:type="dxa"/>
          <w:right w:w="0" w:type="dxa"/>
        </w:tblCellMar>
      </w:tblPr>
      <w:tblGrid>
        <w:gridCol w:w="5325"/>
        <w:gridCol w:w="4515"/>
      </w:tblGrid>
      <w:tr>
        <w:trPr/>
        <w:tc>
          <w:tcPr>
            <w:tcW w:w="5325" w:type="dxa"/>
            <w:tcBorders/>
            <w:vAlign w:val="center"/>
          </w:tcPr>
          <w:p>
            <w:pPr>
              <w:pStyle w:val="TableContents"/>
              <w:bidi w:val="0"/>
              <w:spacing w:before="0" w:after="283"/>
              <w:jc w:val="center"/>
              <w:rPr>
                <w:b/>
              </w:rPr>
            </w:pPr>
            <w:r>
              <w:rPr>
                <w:b/>
              </w:rPr>
              <w:t>Insurance Service Income</w:t>
            </w:r>
          </w:p>
        </w:tc>
        <w:tc>
          <w:tcPr>
            <w:tcW w:w="4515" w:type="dxa"/>
            <w:tcBorders/>
            <w:vAlign w:val="center"/>
          </w:tcPr>
          <w:p>
            <w:pPr>
              <w:pStyle w:val="TableContents"/>
              <w:bidi w:val="0"/>
              <w:spacing w:before="0" w:after="283"/>
              <w:jc w:val="center"/>
              <w:rPr>
                <w:b/>
              </w:rPr>
            </w:pPr>
            <w:r>
              <w:rPr>
                <w:b/>
              </w:rPr>
              <w:t>Insurance Service Expenses</w:t>
            </w:r>
          </w:p>
        </w:tc>
      </w:tr>
      <w:tr>
        <w:trPr/>
        <w:tc>
          <w:tcPr>
            <w:tcW w:w="5325" w:type="dxa"/>
            <w:tcBorders/>
            <w:vAlign w:val="center"/>
          </w:tcPr>
          <w:p>
            <w:pPr>
              <w:pStyle w:val="TableContents"/>
              <w:bidi w:val="0"/>
              <w:spacing w:before="0" w:after="283"/>
              <w:jc w:val="center"/>
              <w:rPr/>
            </w:pPr>
            <w:r>
              <w:rPr/>
              <w:t> </w:t>
            </w:r>
          </w:p>
        </w:tc>
        <w:tc>
          <w:tcPr>
            <w:tcW w:w="4515" w:type="dxa"/>
            <w:tcBorders/>
            <w:vAlign w:val="center"/>
          </w:tcPr>
          <w:p>
            <w:pPr>
              <w:pStyle w:val="TableContents"/>
              <w:bidi w:val="0"/>
              <w:spacing w:before="0" w:after="283"/>
              <w:jc w:val="center"/>
              <w:rPr/>
            </w:pPr>
            <w:r>
              <w:rPr/>
              <w:t> </w:t>
            </w:r>
          </w:p>
        </w:tc>
      </w:tr>
      <w:tr>
        <w:trPr/>
        <w:tc>
          <w:tcPr>
            <w:tcW w:w="5325" w:type="dxa"/>
            <w:tcBorders/>
            <w:vAlign w:val="center"/>
          </w:tcPr>
          <w:p>
            <w:pPr>
              <w:pStyle w:val="TableContents"/>
              <w:bidi w:val="0"/>
              <w:spacing w:before="0" w:after="283"/>
              <w:jc w:val="center"/>
              <w:rPr/>
            </w:pPr>
            <w:r>
              <w:rPr/>
              <w:t> </w:t>
            </w:r>
            <w:r>
              <w:rPr/>
              <w:drawing>
                <wp:inline distT="0" distB="0" distL="0" distR="0">
                  <wp:extent cx="3333750" cy="2371725"/>
                  <wp:effectExtent l="0" t="0" r="0" b="0"/>
                  <wp:docPr id="12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4" descr=""/>
                          <pic:cNvPicPr>
                            <a:picLocks noChangeAspect="1" noChangeArrowheads="1"/>
                          </pic:cNvPicPr>
                        </pic:nvPicPr>
                        <pic:blipFill>
                          <a:blip r:embed="rId113"/>
                          <a:stretch>
                            <a:fillRect/>
                          </a:stretch>
                        </pic:blipFill>
                        <pic:spPr bwMode="auto">
                          <a:xfrm>
                            <a:off x="0" y="0"/>
                            <a:ext cx="3333750" cy="2371725"/>
                          </a:xfrm>
                          <a:prstGeom prst="rect">
                            <a:avLst/>
                          </a:prstGeom>
                        </pic:spPr>
                      </pic:pic>
                    </a:graphicData>
                  </a:graphic>
                </wp:inline>
              </w:drawing>
            </w:r>
          </w:p>
        </w:tc>
        <w:tc>
          <w:tcPr>
            <w:tcW w:w="4515" w:type="dxa"/>
            <w:tcBorders/>
            <w:vAlign w:val="center"/>
          </w:tcPr>
          <w:p>
            <w:pPr>
              <w:pStyle w:val="TableContents"/>
              <w:bidi w:val="0"/>
              <w:spacing w:before="0" w:after="283"/>
              <w:jc w:val="center"/>
              <w:rPr/>
            </w:pPr>
            <w:r>
              <w:rPr/>
              <w:drawing>
                <wp:inline distT="0" distB="0" distL="0" distR="0">
                  <wp:extent cx="2857500" cy="2076450"/>
                  <wp:effectExtent l="0" t="0" r="0" b="0"/>
                  <wp:docPr id="12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5" descr=""/>
                          <pic:cNvPicPr>
                            <a:picLocks noChangeAspect="1" noChangeArrowheads="1"/>
                          </pic:cNvPicPr>
                        </pic:nvPicPr>
                        <pic:blipFill>
                          <a:blip r:embed="rId114"/>
                          <a:stretch>
                            <a:fillRect/>
                          </a:stretch>
                        </pic:blipFill>
                        <pic:spPr bwMode="auto">
                          <a:xfrm>
                            <a:off x="0" y="0"/>
                            <a:ext cx="2857500" cy="2076450"/>
                          </a:xfrm>
                          <a:prstGeom prst="rect">
                            <a:avLst/>
                          </a:prstGeom>
                        </pic:spPr>
                      </pic:pic>
                    </a:graphicData>
                  </a:graphic>
                </wp:inline>
              </w:drawing>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QoQ, the Insurance Underwriting Result rose 4.7%, driven by the following dynamics: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Insurance Service Income increased 5.6%, fueled mainly by (i) Commercial Lines, which registered growth in releases for Unearned Premium Reserves (UPR), (ii) Vehicles, which recorded an uptick in sales through the Brokers and Bancassurance channels.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Insurance Service Expenses dropped 23.3%, due primarily to a decrease in Commercial Lines, which was attributable to a base effect associated with an increase in claims in the Third Party and Fire line (100% ceded to the reinsurer) in 1Q26.</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Reinsurance Result deteriorated, driven by a drop in claims recovered in Commercial Lines, which was attributable to the decrease in claims discussed in the previous point.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the Insurance Underwriting Result decreased 10.0%, fueled by the following dynamics: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Insurance Service Income rose 1.9%, driven mainly by (i) Medical Assistance and (ii) Personal lines, both of which registered growth in premium renewals.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Insurance Service Expenses dropped 8.0%, spurred primarily by a drop in claims in the Commercial Lines.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Reinsurance Result deteriorated, reflecting a drop in claims recovered in Commercial Lines, which was driven by the same dynamics in play QoQ.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 the Insurance Underwriting Result dropped 39.8%, fueled by (i) a drop in Insurance Service Income in the Commercial Lines and Vehicles, which reported a decrease in the premium level, and (ii) growth in Insurance Service Expenses, which rose on the back of an uptick in claims in Personal Lines and Vehicles. The aforementioned was mitigated by a more favorable Reinsurance Result in Commercial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Life</w:t>
      </w:r>
    </w:p>
    <w:p>
      <w:pPr>
        <w:pStyle w:val="TextBody"/>
        <w:bidi w:val="0"/>
        <w:spacing w:before="0" w:after="0"/>
        <w:ind w:left="0" w:right="0" w:hanging="0"/>
        <w:jc w:val="left"/>
        <w:rPr>
          <w:caps w:val="false"/>
          <w:smallCaps w:val="false"/>
        </w:rPr>
      </w:pPr>
      <w:r>
        <w:rPr>
          <w:caps w:val="false"/>
          <w:smallCaps w:val="false"/>
        </w:rPr>
        <w:t> </w:t>
      </w:r>
    </w:p>
    <w:tbl>
      <w:tblPr>
        <w:tblW w:w="9840" w:type="dxa"/>
        <w:jc w:val="center"/>
        <w:tblInd w:w="0" w:type="dxa"/>
        <w:tblLayout w:type="fixed"/>
        <w:tblCellMar>
          <w:top w:w="0" w:type="dxa"/>
          <w:left w:w="0" w:type="dxa"/>
          <w:bottom w:w="0" w:type="dxa"/>
          <w:right w:w="0" w:type="dxa"/>
        </w:tblCellMar>
      </w:tblPr>
      <w:tblGrid>
        <w:gridCol w:w="5325"/>
        <w:gridCol w:w="4515"/>
      </w:tblGrid>
      <w:tr>
        <w:trPr/>
        <w:tc>
          <w:tcPr>
            <w:tcW w:w="5325" w:type="dxa"/>
            <w:tcBorders/>
            <w:vAlign w:val="center"/>
          </w:tcPr>
          <w:p>
            <w:pPr>
              <w:pStyle w:val="TableContents"/>
              <w:bidi w:val="0"/>
              <w:spacing w:before="0" w:after="283"/>
              <w:jc w:val="center"/>
              <w:rPr>
                <w:b/>
              </w:rPr>
            </w:pPr>
            <w:r>
              <w:rPr>
                <w:b/>
              </w:rPr>
              <w:t>Insurance Service Income</w:t>
            </w:r>
          </w:p>
        </w:tc>
        <w:tc>
          <w:tcPr>
            <w:tcW w:w="4515" w:type="dxa"/>
            <w:tcBorders/>
            <w:vAlign w:val="center"/>
          </w:tcPr>
          <w:p>
            <w:pPr>
              <w:pStyle w:val="TableContents"/>
              <w:bidi w:val="0"/>
              <w:spacing w:before="0" w:after="283"/>
              <w:jc w:val="center"/>
              <w:rPr>
                <w:b/>
              </w:rPr>
            </w:pPr>
            <w:r>
              <w:rPr>
                <w:b/>
              </w:rPr>
              <w:t>Insurance Service Expenses</w:t>
            </w:r>
          </w:p>
        </w:tc>
      </w:tr>
      <w:tr>
        <w:trPr/>
        <w:tc>
          <w:tcPr>
            <w:tcW w:w="5325" w:type="dxa"/>
            <w:tcBorders/>
            <w:vAlign w:val="center"/>
          </w:tcPr>
          <w:p>
            <w:pPr>
              <w:pStyle w:val="TableContents"/>
              <w:bidi w:val="0"/>
              <w:spacing w:before="0" w:after="283"/>
              <w:jc w:val="center"/>
              <w:rPr/>
            </w:pPr>
            <w:r>
              <w:rPr/>
              <w:t> </w:t>
            </w:r>
          </w:p>
        </w:tc>
        <w:tc>
          <w:tcPr>
            <w:tcW w:w="4515" w:type="dxa"/>
            <w:tcBorders/>
            <w:vAlign w:val="center"/>
          </w:tcPr>
          <w:p>
            <w:pPr>
              <w:pStyle w:val="TableContents"/>
              <w:bidi w:val="0"/>
              <w:spacing w:before="0" w:after="283"/>
              <w:jc w:val="center"/>
              <w:rPr/>
            </w:pPr>
            <w:r>
              <w:rPr/>
              <w:t> </w:t>
            </w:r>
          </w:p>
        </w:tc>
      </w:tr>
      <w:tr>
        <w:trPr/>
        <w:tc>
          <w:tcPr>
            <w:tcW w:w="5325" w:type="dxa"/>
            <w:tcBorders/>
            <w:vAlign w:val="center"/>
          </w:tcPr>
          <w:p>
            <w:pPr>
              <w:pStyle w:val="TableContents"/>
              <w:bidi w:val="0"/>
              <w:spacing w:before="0" w:after="283"/>
              <w:jc w:val="center"/>
              <w:rPr/>
            </w:pPr>
            <w:r>
              <w:rPr/>
              <w:t> </w:t>
            </w:r>
            <w:r>
              <w:rPr/>
              <w:drawing>
                <wp:inline distT="0" distB="0" distL="0" distR="0">
                  <wp:extent cx="3333750" cy="2028825"/>
                  <wp:effectExtent l="0" t="0" r="0" b="0"/>
                  <wp:docPr id="12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6" descr=""/>
                          <pic:cNvPicPr>
                            <a:picLocks noChangeAspect="1" noChangeArrowheads="1"/>
                          </pic:cNvPicPr>
                        </pic:nvPicPr>
                        <pic:blipFill>
                          <a:blip r:embed="rId115"/>
                          <a:stretch>
                            <a:fillRect/>
                          </a:stretch>
                        </pic:blipFill>
                        <pic:spPr bwMode="auto">
                          <a:xfrm>
                            <a:off x="0" y="0"/>
                            <a:ext cx="3333750" cy="2028825"/>
                          </a:xfrm>
                          <a:prstGeom prst="rect">
                            <a:avLst/>
                          </a:prstGeom>
                        </pic:spPr>
                      </pic:pic>
                    </a:graphicData>
                  </a:graphic>
                </wp:inline>
              </w:drawing>
            </w:r>
          </w:p>
        </w:tc>
        <w:tc>
          <w:tcPr>
            <w:tcW w:w="4515" w:type="dxa"/>
            <w:tcBorders/>
            <w:vAlign w:val="center"/>
          </w:tcPr>
          <w:p>
            <w:pPr>
              <w:pStyle w:val="TableContents"/>
              <w:bidi w:val="0"/>
              <w:spacing w:before="0" w:after="283"/>
              <w:jc w:val="center"/>
              <w:rPr/>
            </w:pPr>
            <w:r>
              <w:rPr/>
              <w:drawing>
                <wp:inline distT="0" distB="0" distL="0" distR="0">
                  <wp:extent cx="2857500" cy="1828800"/>
                  <wp:effectExtent l="0" t="0" r="0" b="0"/>
                  <wp:docPr id="12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7" descr=""/>
                          <pic:cNvPicPr>
                            <a:picLocks noChangeAspect="1" noChangeArrowheads="1"/>
                          </pic:cNvPicPr>
                        </pic:nvPicPr>
                        <pic:blipFill>
                          <a:blip r:embed="rId116"/>
                          <a:stretch>
                            <a:fillRect/>
                          </a:stretch>
                        </pic:blipFill>
                        <pic:spPr bwMode="auto">
                          <a:xfrm>
                            <a:off x="0" y="0"/>
                            <a:ext cx="2857500" cy="18288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QoQ, the Insurance Underwriting Result dropped 8.1% on the back of the following dynamics: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3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8" descr=""/>
                    <pic:cNvPicPr>
                      <a:picLocks noChangeAspect="1" noChangeArrowheads="1"/>
                    </pic:cNvPicPr>
                  </pic:nvPicPr>
                  <pic:blipFill>
                    <a:blip r:embed="rId117"/>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8588" w:type="dxa"/>
        <w:jc w:val="left"/>
        <w:tblInd w:w="0" w:type="dxa"/>
        <w:tblLayout w:type="fixed"/>
        <w:tblCellMar>
          <w:top w:w="0" w:type="dxa"/>
          <w:left w:w="0" w:type="dxa"/>
          <w:bottom w:w="0" w:type="dxa"/>
          <w:right w:w="0" w:type="dxa"/>
        </w:tblCellMar>
      </w:tblPr>
      <w:tblGrid>
        <w:gridCol w:w="2927"/>
        <w:gridCol w:w="95"/>
        <w:gridCol w:w="2846"/>
        <w:gridCol w:w="2720"/>
      </w:tblGrid>
      <w:tr>
        <w:trPr/>
        <w:tc>
          <w:tcPr>
            <w:tcW w:w="2927" w:type="dxa"/>
            <w:tcBorders/>
            <w:shd w:fill="000000" w:val="clear"/>
            <w:vAlign w:val="center"/>
          </w:tcPr>
          <w:p>
            <w:pPr>
              <w:pStyle w:val="TableContents"/>
              <w:bidi w:val="0"/>
              <w:spacing w:before="0" w:after="283"/>
              <w:jc w:val="left"/>
              <w:rPr/>
            </w:pPr>
            <w:r>
              <w:rPr/>
              <w:t> </w:t>
            </w:r>
          </w:p>
        </w:tc>
        <w:tc>
          <w:tcPr>
            <w:tcW w:w="95" w:type="dxa"/>
            <w:tcBorders/>
            <w:shd w:fill="000000" w:val="clear"/>
            <w:vAlign w:val="center"/>
          </w:tcPr>
          <w:p>
            <w:pPr>
              <w:pStyle w:val="TableContents"/>
              <w:bidi w:val="0"/>
              <w:spacing w:before="0" w:after="283"/>
              <w:jc w:val="left"/>
              <w:rPr/>
            </w:pPr>
            <w:r>
              <w:rPr/>
              <w:t> </w:t>
            </w:r>
          </w:p>
        </w:tc>
        <w:tc>
          <w:tcPr>
            <w:tcW w:w="2846"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2927"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3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9" descr=""/>
                          <pic:cNvPicPr>
                            <a:picLocks noChangeAspect="1" noChangeArrowheads="1"/>
                          </pic:cNvPicPr>
                        </pic:nvPicPr>
                        <pic:blipFill>
                          <a:blip r:embed="rId118"/>
                          <a:stretch>
                            <a:fillRect/>
                          </a:stretch>
                        </pic:blipFill>
                        <pic:spPr bwMode="auto">
                          <a:xfrm>
                            <a:off x="0" y="0"/>
                            <a:ext cx="1257300" cy="209550"/>
                          </a:xfrm>
                          <a:prstGeom prst="rect">
                            <a:avLst/>
                          </a:prstGeom>
                        </pic:spPr>
                      </pic:pic>
                    </a:graphicData>
                  </a:graphic>
                </wp:inline>
              </w:drawing>
            </w:r>
          </w:p>
        </w:tc>
        <w:tc>
          <w:tcPr>
            <w:tcW w:w="9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846"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2927" w:type="dxa"/>
            <w:tcBorders/>
            <w:shd w:fill="000000" w:val="clear"/>
            <w:vAlign w:val="center"/>
          </w:tcPr>
          <w:p>
            <w:pPr>
              <w:pStyle w:val="TableContents"/>
              <w:bidi w:val="0"/>
              <w:spacing w:before="0" w:after="283"/>
              <w:jc w:val="left"/>
              <w:rPr/>
            </w:pPr>
            <w:r>
              <w:rPr/>
              <w:t> </w:t>
            </w:r>
          </w:p>
        </w:tc>
        <w:tc>
          <w:tcPr>
            <w:tcW w:w="95" w:type="dxa"/>
            <w:tcBorders/>
            <w:shd w:fill="000000" w:val="clear"/>
            <w:vAlign w:val="center"/>
          </w:tcPr>
          <w:p>
            <w:pPr>
              <w:pStyle w:val="TableContents"/>
              <w:bidi w:val="0"/>
              <w:spacing w:before="0" w:after="283"/>
              <w:jc w:val="left"/>
              <w:rPr/>
            </w:pPr>
            <w:r>
              <w:rPr/>
              <w:t> </w:t>
            </w:r>
          </w:p>
        </w:tc>
        <w:tc>
          <w:tcPr>
            <w:tcW w:w="2846"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5868" w:type="dxa"/>
            <w:gridSpan w:val="3"/>
            <w:tcBorders/>
            <w:shd w:fill="FF00FF"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07. Insurance Underwriting and Medical Services Results</w:t>
            </w:r>
          </w:p>
        </w:tc>
        <w:tc>
          <w:tcPr>
            <w:tcW w:w="2720" w:type="dxa"/>
            <w:tcBorders/>
            <w:shd w:fill="FF00FF" w:val="clear"/>
            <w:vAlign w:val="center"/>
          </w:tcPr>
          <w:p>
            <w:pPr>
              <w:pStyle w:val="TableContents"/>
              <w:bidi w:val="0"/>
              <w:spacing w:before="0" w:after="283"/>
              <w:jc w:val="left"/>
              <w:rPr>
                <w:color w:val="FFFFFF"/>
              </w:rPr>
            </w:pPr>
            <w:r>
              <w:rPr>
                <w:color w:val="FFFFFF"/>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Insurance Service Income rose 2.7%, fueled primarily by Individual Life, which registered higher premium production, and to a lesser extent, by Annuities.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Insurance Service Expenses rose 32.2%, driven mainly by (i) D&amp;S, which was impacted by a base effect associated with releases of claims reserves for SISCO in 1Q26 and, to a lesser extent, by (ii) Individual Life.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Reinsurance Result improved due to the evolution of the D&amp;S line, which registered an increase in claims recovered (as explained in the previous point).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the Insurance Underwriting Result dropped 24.0%, driven by the following dynamics: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Insurance Service Income rose 3.0%, fueled mainly by (i) Individual Life, due to higher CSM releases, and (ii) Credit Life, which reported an increase in premiums distributed through the Bancassurance and Alliances channels.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Insurance Service Expenses increased 88.2%, driven primarily by D&amp;S and Credit Life through a base effect associated with releases of claims reserves in 2Q25.</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Reinsurance Result deteriorated, spurred mainly by Credit Life, which reported a drop in recovered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 the Insurance Underwriting Result fell 14.1%, driven by (i) an increase in Insurance Service expenses across business lines, and mainly in Group Life, which reported growth in expenses due to higher inflation, and (ii) a less favorable Reinsurance Result, which reflects a decrease in recovered claims. The aforementioned was mitigated by (iii) growth in Insurance Service Income, primarily through Credit Life and Individual Life, which reported growth in total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E93AAC"/>
          <w:sz w:val="32"/>
        </w:rPr>
      </w:pPr>
      <w:r>
        <w:rPr>
          <w:rFonts w:ascii="Times New Roman;Times;Serif" w:hAnsi="Times New Roman;Times;Serif"/>
          <w:b w:val="false"/>
          <w:i w:val="false"/>
          <w:caps w:val="false"/>
          <w:smallCaps w:val="false"/>
          <w:color w:val="E93AAC"/>
          <w:sz w:val="32"/>
        </w:rPr>
        <w:t>Result for Medical Services</w:t>
      </w:r>
    </w:p>
    <w:p>
      <w:pPr>
        <w:pStyle w:val="TextBody"/>
        <w:bidi w:val="0"/>
        <w:spacing w:before="0" w:after="0"/>
        <w:ind w:left="0" w:right="0" w:hanging="0"/>
        <w:jc w:val="both"/>
        <w:rPr>
          <w:caps w:val="false"/>
          <w:smallCaps w:val="false"/>
          <w:color w:val="E93AAC"/>
        </w:rPr>
      </w:pPr>
      <w:r>
        <w:rPr>
          <w:caps w:val="false"/>
          <w:smallCaps w:val="false"/>
          <w:color w:val="E93AAC"/>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QoQ, the Medical Services Result rose 7.8%. This evolution was driven by growth in income due to an uptick in demand for outpatient services and, to a lesser extent, hospital services. The increase in income was partially offset by an uptick in sales costs, which was driven by an increase in employee compensation. YoY, the result rose 8.2%, driven by an increase in sales of medical services, which rose mainly on the back of an uptick in outpatient services. Higher income from sales was partially offset by an increase in sales expenses, which was attributable to expenses for participation of medical personnel and, to a lesser extent, for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YTD, the higher result reflects the fact that in 2026, 6 months were recorded as opposed to the situation in 2025, when it was only included from March onwards in the balance sheet (which reflects the date on which Credicorp consolidated this business). The Medical Service business continues to demonstrate solid commercial dynamics and cost control.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495550"/>
            <wp:effectExtent l="0" t="0" r="0" b="0"/>
            <wp:docPr id="13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0" descr=""/>
                    <pic:cNvPicPr>
                      <a:picLocks noChangeAspect="1" noChangeArrowheads="1"/>
                    </pic:cNvPicPr>
                  </pic:nvPicPr>
                  <pic:blipFill>
                    <a:blip r:embed="rId119"/>
                    <a:stretch>
                      <a:fillRect/>
                    </a:stretch>
                  </pic:blipFill>
                  <pic:spPr bwMode="auto">
                    <a:xfrm>
                      <a:off x="0" y="0"/>
                      <a:ext cx="4762500" cy="24955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3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1" descr=""/>
                    <pic:cNvPicPr>
                      <a:picLocks noChangeAspect="1" noChangeArrowheads="1"/>
                    </pic:cNvPicPr>
                  </pic:nvPicPr>
                  <pic:blipFill>
                    <a:blip r:embed="rId120"/>
                    <a:stretch>
                      <a:fillRect/>
                    </a:stretch>
                  </pic:blipFill>
                  <pic:spPr bwMode="auto">
                    <a:xfrm>
                      <a:off x="0" y="0"/>
                      <a:ext cx="7620000" cy="638175"/>
                    </a:xfrm>
                    <a:prstGeom prst="rect">
                      <a:avLst/>
                    </a:prstGeom>
                  </pic:spPr>
                </pic:pic>
              </a:graphicData>
            </a:graphic>
          </wp:inline>
        </w:drawing>
      </w: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3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2" descr=""/>
                          <pic:cNvPicPr>
                            <a:picLocks noChangeAspect="1" noChangeArrowheads="1"/>
                          </pic:cNvPicPr>
                        </pic:nvPicPr>
                        <pic:blipFill>
                          <a:blip r:embed="rId121"/>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515"/>
        <w:gridCol w:w="2945"/>
      </w:tblGrid>
      <w:tr>
        <w:trPr/>
        <w:tc>
          <w:tcPr>
            <w:tcW w:w="515" w:type="dxa"/>
            <w:tcBorders/>
            <w:vAlign w:val="center"/>
          </w:tcPr>
          <w:p>
            <w:pPr>
              <w:pStyle w:val="TableContents"/>
              <w:bidi w:val="0"/>
              <w:spacing w:before="0" w:after="283"/>
              <w:jc w:val="left"/>
              <w:rPr>
                <w:b/>
                <w:sz w:val="48"/>
              </w:rPr>
            </w:pPr>
            <w:r>
              <w:rPr>
                <w:b/>
                <w:sz w:val="48"/>
              </w:rPr>
              <w:t>08</w:t>
            </w:r>
          </w:p>
        </w:tc>
        <w:tc>
          <w:tcPr>
            <w:tcW w:w="2945" w:type="dxa"/>
            <w:tcBorders/>
            <w:vAlign w:val="center"/>
          </w:tcPr>
          <w:p>
            <w:pPr>
              <w:pStyle w:val="TableContents"/>
              <w:bidi w:val="0"/>
              <w:spacing w:before="0" w:after="283"/>
              <w:jc w:val="left"/>
              <w:rPr>
                <w:sz w:val="36"/>
              </w:rPr>
            </w:pPr>
            <w:r>
              <w:rPr>
                <w:sz w:val="36"/>
              </w:rPr>
              <w:t>Operating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AAC"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Operating expenses rose 13.5% YTD, driven mainly by core businesses at BCP and by innovation initiatives at the Credicorp level. Core business expenses rose due to BCP, which reported growth in (i) administrative expenses, due to an increase in expenses for cloud infrastructure and other IT-related services; and (ii) employee salaries and benefits, which were up due to hiring of more personnel for initiatives related to commercial, technological and transactional capacity development, and growth in provisions for variable compensation. Expenses for innovation initiatives at Credicorp increased 33.1%.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0" w:type="dxa"/>
          <w:right w:w="60" w:type="dxa"/>
        </w:tblCellMar>
      </w:tblPr>
      <w:tblGrid>
        <w:gridCol w:w="2741"/>
        <w:gridCol w:w="980"/>
        <w:gridCol w:w="980"/>
        <w:gridCol w:w="980"/>
        <w:gridCol w:w="638"/>
        <w:gridCol w:w="638"/>
        <w:gridCol w:w="980"/>
        <w:gridCol w:w="980"/>
        <w:gridCol w:w="1288"/>
      </w:tblGrid>
      <w:tr>
        <w:trPr/>
        <w:tc>
          <w:tcPr>
            <w:tcW w:w="2741" w:type="dxa"/>
            <w:tcBorders>
              <w:top w:val="single" w:sz="8" w:space="0" w:color="000000"/>
              <w:left w:val="single" w:sz="8" w:space="0" w:color="000000"/>
              <w:right w:val="single" w:sz="8" w:space="0" w:color="000000"/>
            </w:tcBorders>
            <w:shd w:fill="2AD2C7"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b/>
                <w:color w:val="FFFFFF"/>
                <w:sz w:val="16"/>
              </w:rPr>
              <w:t>Operating expenses</w:t>
            </w:r>
            <w:r>
              <w:rPr>
                <w:rFonts w:ascii="Times New Roman;Times;Serif" w:hAnsi="Times New Roman;Times;Serif"/>
                <w:color w:val="FFFFFF"/>
                <w:sz w:val="16"/>
              </w:rPr>
              <w:t> </w:t>
            </w:r>
          </w:p>
        </w:tc>
        <w:tc>
          <w:tcPr>
            <w:tcW w:w="980" w:type="dxa"/>
            <w:tcBorders>
              <w:top w:val="single" w:sz="8" w:space="0" w:color="000000"/>
            </w:tcBorders>
            <w:shd w:fill="2AD2C7" w:val="clear"/>
            <w:tcMar>
              <w:left w:w="0" w:type="dxa"/>
              <w:right w:w="0" w:type="dxa"/>
            </w:tcMar>
            <w:vAlign w:val="center"/>
          </w:tcPr>
          <w:p>
            <w:pPr>
              <w:pStyle w:val="TableContents"/>
              <w:bidi w:val="0"/>
              <w:spacing w:before="0" w:after="283"/>
              <w:jc w:val="center"/>
              <w:rPr/>
            </w:pPr>
            <w:r>
              <w:rPr/>
              <w:t> </w:t>
            </w:r>
          </w:p>
        </w:tc>
        <w:tc>
          <w:tcPr>
            <w:tcW w:w="980" w:type="dxa"/>
            <w:tcBorders>
              <w:top w:val="single" w:sz="8" w:space="0" w:color="000000"/>
            </w:tcBorders>
            <w:shd w:fill="2A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980"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pPr>
            <w:r>
              <w:rPr/>
              <w:t> </w:t>
            </w:r>
          </w:p>
        </w:tc>
        <w:tc>
          <w:tcPr>
            <w:tcW w:w="1276"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96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288"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2741" w:type="dxa"/>
            <w:tcBorders>
              <w:left w:val="single" w:sz="8" w:space="0" w:color="000000"/>
              <w:bottom w:val="single" w:sz="8" w:space="0" w:color="000000"/>
              <w:right w:val="single" w:sz="8" w:space="0" w:color="000000"/>
            </w:tcBorders>
            <w:shd w:fill="2A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rPr>
            </w:pPr>
            <w:r>
              <w:rPr>
                <w:rFonts w:ascii="Times New Roman;Times;Serif" w:hAnsi="Times New Roman;Times;Serif"/>
                <w:b/>
                <w:color w:val="FFFFFF"/>
              </w:rPr>
              <w:t>S/ 000</w:t>
            </w:r>
          </w:p>
        </w:tc>
        <w:tc>
          <w:tcPr>
            <w:tcW w:w="98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2Q25 </w:t>
            </w:r>
          </w:p>
        </w:tc>
        <w:tc>
          <w:tcPr>
            <w:tcW w:w="98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1Q26 </w:t>
            </w:r>
          </w:p>
        </w:tc>
        <w:tc>
          <w:tcPr>
            <w:tcW w:w="98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2Q26 </w:t>
            </w:r>
          </w:p>
        </w:tc>
        <w:tc>
          <w:tcPr>
            <w:tcW w:w="638"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QoQ</w:t>
            </w:r>
          </w:p>
        </w:tc>
        <w:tc>
          <w:tcPr>
            <w:tcW w:w="638"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YoY</w:t>
            </w:r>
          </w:p>
        </w:tc>
        <w:tc>
          <w:tcPr>
            <w:tcW w:w="98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Jun 25 </w:t>
            </w:r>
          </w:p>
        </w:tc>
        <w:tc>
          <w:tcPr>
            <w:tcW w:w="98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color w:val="FFFFFF"/>
              </w:rPr>
            </w:pPr>
            <w:r>
              <w:rPr>
                <w:color w:val="FFFFFF"/>
              </w:rPr>
              <w:t> </w:t>
            </w:r>
            <w:r>
              <w:rPr>
                <w:rFonts w:ascii="Times New Roman;Times;Serif" w:hAnsi="Times New Roman;Times;Serif"/>
                <w:b/>
                <w:color w:val="FFFFFF"/>
              </w:rPr>
              <w:t>Jun 26</w:t>
            </w:r>
          </w:p>
        </w:tc>
        <w:tc>
          <w:tcPr>
            <w:tcW w:w="1288"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Jun 26 / Jun 25</w:t>
            </w:r>
          </w:p>
        </w:tc>
      </w:tr>
      <w:tr>
        <w:trPr/>
        <w:tc>
          <w:tcPr>
            <w:tcW w:w="2741"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and employees benefits</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1,304,466</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1,459,421</w:t>
            </w:r>
          </w:p>
        </w:tc>
        <w:tc>
          <w:tcPr>
            <w:tcW w:w="98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1,475,704</w:t>
            </w:r>
          </w:p>
        </w:tc>
        <w:tc>
          <w:tcPr>
            <w:tcW w:w="63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63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13.1%</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2,666,156</w:t>
            </w:r>
          </w:p>
        </w:tc>
        <w:tc>
          <w:tcPr>
            <w:tcW w:w="98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2,935,125</w:t>
            </w:r>
          </w:p>
        </w:tc>
        <w:tc>
          <w:tcPr>
            <w:tcW w:w="12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10.1%</w:t>
            </w:r>
          </w:p>
        </w:tc>
      </w:tr>
      <w:tr>
        <w:trPr/>
        <w:tc>
          <w:tcPr>
            <w:tcW w:w="2741"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Administrative and general expenses</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965,994</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1,061,666</w:t>
            </w:r>
          </w:p>
        </w:tc>
        <w:tc>
          <w:tcPr>
            <w:tcW w:w="98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1,114,932</w:t>
            </w:r>
          </w:p>
        </w:tc>
        <w:tc>
          <w:tcPr>
            <w:tcW w:w="63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w:t>
            </w:r>
          </w:p>
        </w:tc>
        <w:tc>
          <w:tcPr>
            <w:tcW w:w="63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15.4%</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1,835,828</w:t>
            </w:r>
          </w:p>
        </w:tc>
        <w:tc>
          <w:tcPr>
            <w:tcW w:w="98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2,176,598</w:t>
            </w:r>
          </w:p>
        </w:tc>
        <w:tc>
          <w:tcPr>
            <w:tcW w:w="12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18.6%</w:t>
            </w:r>
          </w:p>
        </w:tc>
      </w:tr>
      <w:tr>
        <w:trPr/>
        <w:tc>
          <w:tcPr>
            <w:tcW w:w="2741"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212,662</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241,368</w:t>
            </w:r>
          </w:p>
        </w:tc>
        <w:tc>
          <w:tcPr>
            <w:tcW w:w="98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235,204</w:t>
            </w:r>
          </w:p>
        </w:tc>
        <w:tc>
          <w:tcPr>
            <w:tcW w:w="63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c>
          <w:tcPr>
            <w:tcW w:w="63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10.6%</w:t>
            </w:r>
          </w:p>
        </w:tc>
        <w:tc>
          <w:tcPr>
            <w:tcW w:w="98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416,428</w:t>
            </w:r>
          </w:p>
        </w:tc>
        <w:tc>
          <w:tcPr>
            <w:tcW w:w="98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476,572</w:t>
            </w:r>
          </w:p>
        </w:tc>
        <w:tc>
          <w:tcPr>
            <w:tcW w:w="12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14.4%</w:t>
            </w:r>
          </w:p>
        </w:tc>
      </w:tr>
      <w:tr>
        <w:trPr/>
        <w:tc>
          <w:tcPr>
            <w:tcW w:w="2741"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Association in participation</w:t>
            </w:r>
          </w:p>
        </w:tc>
        <w:tc>
          <w:tcPr>
            <w:tcW w:w="98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w:t>
            </w:r>
          </w:p>
        </w:tc>
        <w:tc>
          <w:tcPr>
            <w:tcW w:w="98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9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638"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-10.4%</w:t>
            </w:r>
          </w:p>
        </w:tc>
        <w:tc>
          <w:tcPr>
            <w:tcW w:w="63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-58.2%</w:t>
            </w:r>
          </w:p>
        </w:tc>
        <w:tc>
          <w:tcPr>
            <w:tcW w:w="98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7,170</w:t>
            </w:r>
          </w:p>
        </w:tc>
        <w:tc>
          <w:tcPr>
            <w:tcW w:w="9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28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-95.4%</w:t>
            </w:r>
          </w:p>
        </w:tc>
      </w:tr>
      <w:tr>
        <w:trPr/>
        <w:tc>
          <w:tcPr>
            <w:tcW w:w="2741"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98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2,483,493</w:t>
            </w:r>
          </w:p>
        </w:tc>
        <w:tc>
          <w:tcPr>
            <w:tcW w:w="98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2,762,628</w:t>
            </w:r>
          </w:p>
        </w:tc>
        <w:tc>
          <w:tcPr>
            <w:tcW w:w="9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2,825,995</w:t>
            </w:r>
          </w:p>
        </w:tc>
        <w:tc>
          <w:tcPr>
            <w:tcW w:w="638"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2.3%</w:t>
            </w:r>
          </w:p>
        </w:tc>
        <w:tc>
          <w:tcPr>
            <w:tcW w:w="63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13.8%</w:t>
            </w:r>
          </w:p>
        </w:tc>
        <w:tc>
          <w:tcPr>
            <w:tcW w:w="98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4,925,582</w:t>
            </w:r>
          </w:p>
        </w:tc>
        <w:tc>
          <w:tcPr>
            <w:tcW w:w="9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5,588,623</w:t>
            </w:r>
          </w:p>
        </w:tc>
        <w:tc>
          <w:tcPr>
            <w:tcW w:w="128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13.5%</w:t>
            </w:r>
          </w:p>
        </w:tc>
      </w:tr>
    </w:tbl>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analysis of expenses will be based on YTD movements, which eliminates seasonal impacts between 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rose 13.5%, driven mainly by:</w:t>
      </w:r>
    </w:p>
    <w:p>
      <w:pPr>
        <w:pStyle w:val="TextBody"/>
        <w:bidi w:val="0"/>
        <w:spacing w:before="0" w:after="0"/>
        <w:ind w:left="175" w:right="2133"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Growth in Administrative Expenses, which was driven by BCP Stand-alone, Mibanco and Pacifico. BCP Stand-alone reported an uptick in transactions through digital channels, which led expenses for cloud infrastructure and other IT-related services. At Mibanco, the increase in expenses was driven mainly by rollouts of strategic projects for technological capacity development and distribution. At Pacifico, expenses were up primarily due to the consolidation of the health business, which began in March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increase reported in Employee Salaries and Benefits was driven mainly by: (i) BCP Stand-alone, which reported an increase in headcount for projects to develop commercial, technological and transactional capacities and growth in provisions for variable compensation, in line with higher results; (ii) Credicorp Capital, due to a particularly low comparative base.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Gastos administrativos</w:t>
      </w:r>
    </w:p>
    <w:p>
      <w:pPr>
        <w:pStyle w:val="TextBody"/>
        <w:bidi w:val="0"/>
        <w:spacing w:before="0" w:after="0"/>
        <w:ind w:left="175" w:right="0" w:hanging="0"/>
        <w:jc w:val="left"/>
        <w:rPr>
          <w:caps w:val="false"/>
          <w:smallCaps w:val="false"/>
        </w:rPr>
      </w:pPr>
      <w:r>
        <w:rPr>
          <w:caps w:val="false"/>
          <w:smallCaps w:val="false"/>
        </w:rPr>
        <w:t> </w:t>
      </w:r>
    </w:p>
    <w:tbl>
      <w:tblPr>
        <w:tblW w:w="9345" w:type="dxa"/>
        <w:jc w:val="left"/>
        <w:tblInd w:w="-10" w:type="dxa"/>
        <w:tblLayout w:type="fixed"/>
        <w:tblCellMar>
          <w:top w:w="28" w:type="dxa"/>
          <w:left w:w="60" w:type="dxa"/>
          <w:bottom w:w="0" w:type="dxa"/>
          <w:right w:w="60" w:type="dxa"/>
        </w:tblCellMar>
      </w:tblPr>
      <w:tblGrid>
        <w:gridCol w:w="3380"/>
        <w:gridCol w:w="605"/>
        <w:gridCol w:w="740"/>
        <w:gridCol w:w="740"/>
        <w:gridCol w:w="620"/>
        <w:gridCol w:w="620"/>
        <w:gridCol w:w="740"/>
        <w:gridCol w:w="740"/>
        <w:gridCol w:w="1160"/>
      </w:tblGrid>
      <w:tr>
        <w:trPr/>
        <w:tc>
          <w:tcPr>
            <w:tcW w:w="3380" w:type="dxa"/>
            <w:tcBorders>
              <w:top w:val="single" w:sz="8" w:space="0" w:color="000000"/>
              <w:left w:val="single" w:sz="8" w:space="0" w:color="000000"/>
              <w:right w:val="single" w:sz="8" w:space="0" w:color="000000"/>
            </w:tcBorders>
            <w:shd w:fill="2AD2C7" w:val="clear"/>
            <w:vAlign w:val="center"/>
          </w:tcPr>
          <w:p>
            <w:pPr>
              <w:pStyle w:val="TableContents"/>
              <w:bidi w:val="0"/>
              <w:spacing w:before="0" w:after="283"/>
              <w:jc w:val="left"/>
              <w:rPr>
                <w:b/>
                <w:color w:val="FFFFFF"/>
                <w:sz w:val="16"/>
              </w:rPr>
            </w:pPr>
            <w:r>
              <w:rPr>
                <w:b/>
                <w:color w:val="FFFFFF"/>
                <w:sz w:val="16"/>
              </w:rPr>
              <w:t>Administrative and General Expenses</w:t>
            </w:r>
          </w:p>
        </w:tc>
        <w:tc>
          <w:tcPr>
            <w:tcW w:w="605" w:type="dxa"/>
            <w:tcBorders>
              <w:top w:val="single" w:sz="8" w:space="0" w:color="000000"/>
            </w:tcBorders>
            <w:shd w:fill="2AD2C7" w:val="clear"/>
            <w:tcMar>
              <w:left w:w="0" w:type="dxa"/>
              <w:right w:w="0" w:type="dxa"/>
            </w:tcMar>
            <w:vAlign w:val="center"/>
          </w:tcPr>
          <w:p>
            <w:pPr>
              <w:pStyle w:val="TableContents"/>
              <w:bidi w:val="0"/>
              <w:spacing w:before="0" w:after="283"/>
              <w:jc w:val="center"/>
              <w:rPr/>
            </w:pPr>
            <w:r>
              <w:rPr/>
              <w:t> </w:t>
            </w:r>
          </w:p>
        </w:tc>
        <w:tc>
          <w:tcPr>
            <w:tcW w:w="740" w:type="dxa"/>
            <w:tcBorders>
              <w:top w:val="single" w:sz="8" w:space="0" w:color="000000"/>
            </w:tcBorders>
            <w:shd w:fill="2A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740"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pPr>
            <w:r>
              <w:rPr/>
              <w:t> </w:t>
            </w:r>
          </w:p>
        </w:tc>
        <w:tc>
          <w:tcPr>
            <w:tcW w:w="124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48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60"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380" w:type="dxa"/>
            <w:tcBorders>
              <w:left w:val="single" w:sz="8" w:space="0" w:color="000000"/>
              <w:bottom w:val="single" w:sz="8" w:space="0" w:color="000000"/>
              <w:right w:val="single" w:sz="8" w:space="0" w:color="000000"/>
            </w:tcBorders>
            <w:shd w:fill="2A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605"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 </w:t>
            </w:r>
          </w:p>
        </w:tc>
        <w:tc>
          <w:tcPr>
            <w:tcW w:w="74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 </w:t>
            </w:r>
          </w:p>
        </w:tc>
        <w:tc>
          <w:tcPr>
            <w:tcW w:w="74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 </w:t>
            </w:r>
          </w:p>
        </w:tc>
        <w:tc>
          <w:tcPr>
            <w:tcW w:w="62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62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74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 </w:t>
            </w:r>
          </w:p>
        </w:tc>
        <w:tc>
          <w:tcPr>
            <w:tcW w:w="74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color w:val="FFFFFF"/>
              </w:rPr>
            </w:pPr>
            <w:r>
              <w:rPr>
                <w:color w:val="FFFFFF"/>
              </w:rPr>
              <w:t> </w:t>
            </w:r>
            <w:r>
              <w:rPr>
                <w:rFonts w:ascii="Times New Roman;Times;Serif" w:hAnsi="Times New Roman;Times;Serif"/>
                <w:b/>
                <w:color w:val="FFFFFF"/>
                <w:sz w:val="16"/>
              </w:rPr>
              <w:t>Jun 26</w:t>
            </w:r>
          </w:p>
        </w:tc>
        <w:tc>
          <w:tcPr>
            <w:tcW w:w="116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IT expenses and IT third-party services</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324,083</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392,131</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433,286</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10.5%</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33.7%</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626,112</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825,417</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31.8%</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Advertising and customer loyalty programs</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112,027</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122,989</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130,559</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6.2%</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16.5%</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197,417</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253,548</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28.4%</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Taxes and contributions</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86,321</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110,168</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103,586</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-6.0%</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20.0%</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169,668</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213,754</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26.0%</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Audit Services, Consulting and professional fees</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92,086</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87,825</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89,752</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2.2%</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-2.5%</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163,158</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177,577</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8.8%</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Transport and communications</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58,391</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48,515</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66,737</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37.6%</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14.3%</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111,201</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115,252</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3.6%</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Repair and maintenance</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37,886</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28,381</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36,933</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30.1%</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-2.5%</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69,521</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65,314</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-6.1%</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Agents’ Fees</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28,067</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24,074</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24,545</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2.0%</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-12.5%</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54,169</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48,619</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-10.2%</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Services by third-party</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26,634</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23,428</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29,484</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25.8%</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10.7%</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48,070</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52,912</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10.1%</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Leases of low value and short-term</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34,937</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41,329</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46,250</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11.9%</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32.4%</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68,114</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87,579</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28.6%</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Miscellaneous supplies</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18,192</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16,772</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18,984</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13.2%</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4.4%</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37,575</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35,756</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-4.8%</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Security and protection</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16,940</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18,007</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17,586</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-2.3%</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3.8%</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33,886</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35,593</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5.0%</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Subscriptions and quotes</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19,773</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20,849</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21,542</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3.3%</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8.9%</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38,103</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42,391</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11.3%</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Electricity and water</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12,513</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10,177</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13,471</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32.4%</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7.7%</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22,788</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23,648</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3.8%</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Electronic processing</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7,762</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10,067</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10,903</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8.3%</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40.5%</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15,397</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20,970</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36.2%</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Insurance</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16,441</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23,102</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-3,152</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-113.6%</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-119.2%</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28,160</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19,950</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-29.2%</w:t>
            </w:r>
          </w:p>
        </w:tc>
      </w:tr>
      <w:tr>
        <w:trPr/>
        <w:tc>
          <w:tcPr>
            <w:tcW w:w="338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Cleaning</w:t>
            </w:r>
          </w:p>
        </w:tc>
        <w:tc>
          <w:tcPr>
            <w:tcW w:w="605" w:type="dxa"/>
            <w:tcBorders/>
            <w:tcMar>
              <w:top w:w="0" w:type="dxa"/>
              <w:left w:w="0" w:type="dxa"/>
              <w:right w:w="0" w:type="dxa"/>
            </w:tcMar>
            <w:vAlign w:val="center"/>
          </w:tcPr>
          <w:p>
            <w:pPr>
              <w:pStyle w:val="TableContents"/>
              <w:bidi w:val="0"/>
              <w:spacing w:before="0" w:after="283"/>
              <w:jc w:val="center"/>
              <w:rPr>
                <w:sz w:val="16"/>
              </w:rPr>
            </w:pPr>
            <w:r>
              <w:rPr>
                <w:sz w:val="16"/>
              </w:rPr>
              <w:t>7,014</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7,163</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7,604</w:t>
            </w:r>
          </w:p>
        </w:tc>
        <w:tc>
          <w:tcPr>
            <w:tcW w:w="620" w:type="dxa"/>
            <w:tcBorders/>
            <w:tcMar>
              <w:top w:w="0" w:type="dxa"/>
              <w:left w:w="0" w:type="dxa"/>
              <w:right w:w="0" w:type="dxa"/>
            </w:tcMar>
            <w:vAlign w:val="center"/>
          </w:tcPr>
          <w:p>
            <w:pPr>
              <w:pStyle w:val="TableContents"/>
              <w:bidi w:val="0"/>
              <w:spacing w:before="0" w:after="283"/>
              <w:jc w:val="center"/>
              <w:rPr>
                <w:sz w:val="16"/>
              </w:rPr>
            </w:pPr>
            <w:r>
              <w:rPr>
                <w:sz w:val="16"/>
              </w:rPr>
              <w:t>6.2%</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8.4%</w:t>
            </w:r>
          </w:p>
        </w:tc>
        <w:tc>
          <w:tcPr>
            <w:tcW w:w="740" w:type="dxa"/>
            <w:tcBorders/>
            <w:tcMar>
              <w:top w:w="0" w:type="dxa"/>
              <w:left w:w="0" w:type="dxa"/>
              <w:right w:w="0" w:type="dxa"/>
            </w:tcMar>
            <w:vAlign w:val="center"/>
          </w:tcPr>
          <w:p>
            <w:pPr>
              <w:pStyle w:val="TableContents"/>
              <w:bidi w:val="0"/>
              <w:spacing w:before="0" w:after="283"/>
              <w:jc w:val="right"/>
              <w:rPr>
                <w:sz w:val="16"/>
              </w:rPr>
            </w:pPr>
            <w:r>
              <w:rPr>
                <w:sz w:val="16"/>
              </w:rPr>
              <w:t>13,572</w:t>
            </w:r>
          </w:p>
        </w:tc>
        <w:tc>
          <w:tcPr>
            <w:tcW w:w="74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14,767</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8.8%</w:t>
            </w:r>
          </w:p>
        </w:tc>
      </w:tr>
      <w:tr>
        <w:trPr/>
        <w:tc>
          <w:tcPr>
            <w:tcW w:w="338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16"/>
              </w:rPr>
            </w:pPr>
            <w:r>
              <w:rPr>
                <w:sz w:val="16"/>
              </w:rPr>
              <w:t>Others</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66,927</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76,689</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66,862</w:t>
            </w:r>
          </w:p>
        </w:tc>
        <w:tc>
          <w:tcPr>
            <w:tcW w:w="6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-12.8%</w:t>
            </w:r>
          </w:p>
        </w:tc>
        <w:tc>
          <w:tcPr>
            <w:tcW w:w="6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-0.1%</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sz w:val="16"/>
              </w:rPr>
            </w:pPr>
            <w:r>
              <w:rPr>
                <w:sz w:val="16"/>
              </w:rPr>
              <w:t>138,917</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sz w:val="16"/>
              </w:rPr>
            </w:pPr>
            <w:r>
              <w:rPr>
                <w:sz w:val="16"/>
              </w:rPr>
              <w:t>143,551</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3.3%</w:t>
            </w:r>
          </w:p>
        </w:tc>
      </w:tr>
      <w:tr>
        <w:trPr/>
        <w:tc>
          <w:tcPr>
            <w:tcW w:w="338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b/>
                <w:sz w:val="16"/>
              </w:rPr>
            </w:pPr>
            <w:r>
              <w:rPr>
                <w:b/>
                <w:sz w:val="16"/>
              </w:rPr>
              <w:t>Total</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965,994</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1,061,666</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1,114,932</w:t>
            </w:r>
          </w:p>
        </w:tc>
        <w:tc>
          <w:tcPr>
            <w:tcW w:w="6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5.0%</w:t>
            </w:r>
          </w:p>
        </w:tc>
        <w:tc>
          <w:tcPr>
            <w:tcW w:w="6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15.4%</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1,835,828</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b/>
                <w:sz w:val="16"/>
              </w:rPr>
            </w:pPr>
            <w:r>
              <w:rPr>
                <w:b/>
                <w:sz w:val="16"/>
              </w:rPr>
              <w:t>2,176,598</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18.6%</w:t>
            </w:r>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administrative expenses rose 18.6%. This evolution was fueled mainly by BCP Stand-alone, which reported an increase in expenses for Advertising and Fidelity Programs. Mibanco and Pacifico also contributed to this growth, albeit to a lesser extent.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3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3" descr=""/>
                    <pic:cNvPicPr>
                      <a:picLocks noChangeAspect="1" noChangeArrowheads="1"/>
                    </pic:cNvPicPr>
                  </pic:nvPicPr>
                  <pic:blipFill>
                    <a:blip r:embed="rId122"/>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3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4" descr=""/>
                          <pic:cNvPicPr>
                            <a:picLocks noChangeAspect="1" noChangeArrowheads="1"/>
                          </pic:cNvPicPr>
                        </pic:nvPicPr>
                        <pic:blipFill>
                          <a:blip r:embed="rId123"/>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FF00FF"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08. Operating Expenses</w:t>
            </w:r>
          </w:p>
        </w:tc>
        <w:tc>
          <w:tcPr>
            <w:tcW w:w="2720" w:type="dxa"/>
            <w:tcBorders/>
            <w:shd w:fill="FF00FF"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operating expenses and the Innovation Portfolio</w:t>
      </w:r>
    </w:p>
    <w:p>
      <w:pPr>
        <w:pStyle w:val="TextBody"/>
        <w:bidi w:val="0"/>
        <w:spacing w:before="0" w:after="0"/>
        <w:ind w:left="0" w:right="0" w:hanging="0"/>
        <w:jc w:val="both"/>
        <w:rPr>
          <w:caps w:val="false"/>
          <w:smallCaps w:val="false"/>
        </w:rPr>
      </w:pPr>
      <w:r>
        <w:rPr>
          <w:caps w:val="false"/>
          <w:smallCaps w:val="false"/>
        </w:rPr>
        <w:t> </w:t>
      </w:r>
    </w:p>
    <w:tbl>
      <w:tblPr>
        <w:tblW w:w="8310" w:type="dxa"/>
        <w:jc w:val="left"/>
        <w:tblInd w:w="-10" w:type="dxa"/>
        <w:tblLayout w:type="fixed"/>
        <w:tblCellMar>
          <w:top w:w="28" w:type="dxa"/>
          <w:left w:w="60" w:type="dxa"/>
          <w:bottom w:w="0" w:type="dxa"/>
          <w:right w:w="60" w:type="dxa"/>
        </w:tblCellMar>
      </w:tblPr>
      <w:tblGrid>
        <w:gridCol w:w="2510"/>
        <w:gridCol w:w="740"/>
        <w:gridCol w:w="740"/>
        <w:gridCol w:w="740"/>
        <w:gridCol w:w="425"/>
        <w:gridCol w:w="515"/>
        <w:gridCol w:w="740"/>
        <w:gridCol w:w="740"/>
        <w:gridCol w:w="1160"/>
      </w:tblGrid>
      <w:tr>
        <w:trPr/>
        <w:tc>
          <w:tcPr>
            <w:tcW w:w="2510" w:type="dxa"/>
            <w:tcBorders>
              <w:top w:val="single" w:sz="8" w:space="0" w:color="000000"/>
              <w:left w:val="single" w:sz="8" w:space="0" w:color="000000"/>
              <w:right w:val="single" w:sz="8" w:space="0" w:color="000000"/>
            </w:tcBorders>
            <w:shd w:fill="2AD2C7" w:val="clear"/>
            <w:vAlign w:val="center"/>
          </w:tcPr>
          <w:p>
            <w:pPr>
              <w:pStyle w:val="TableContents"/>
              <w:bidi w:val="0"/>
              <w:spacing w:lineRule="auto" w:line="240" w:before="0" w:after="283"/>
              <w:jc w:val="left"/>
              <w:rPr>
                <w:b/>
                <w:color w:val="FFFFFF"/>
                <w:sz w:val="16"/>
              </w:rPr>
            </w:pPr>
            <w:r>
              <w:rPr>
                <w:b/>
                <w:color w:val="FFFFFF"/>
                <w:sz w:val="16"/>
              </w:rPr>
              <w:t>Operating Expenses (1)</w:t>
            </w:r>
          </w:p>
        </w:tc>
        <w:tc>
          <w:tcPr>
            <w:tcW w:w="740" w:type="dxa"/>
            <w:tcBorders>
              <w:top w:val="single" w:sz="8" w:space="0" w:color="000000"/>
            </w:tcBorders>
            <w:shd w:fill="2AD2C7" w:val="clear"/>
            <w:tcMar>
              <w:left w:w="0" w:type="dxa"/>
              <w:right w:w="0" w:type="dxa"/>
            </w:tcMar>
            <w:vAlign w:val="center"/>
          </w:tcPr>
          <w:p>
            <w:pPr>
              <w:pStyle w:val="TableContents"/>
              <w:bidi w:val="0"/>
              <w:spacing w:before="0" w:after="283"/>
              <w:jc w:val="center"/>
              <w:rPr/>
            </w:pPr>
            <w:r>
              <w:rPr/>
              <w:t> </w:t>
            </w:r>
          </w:p>
        </w:tc>
        <w:tc>
          <w:tcPr>
            <w:tcW w:w="740" w:type="dxa"/>
            <w:tcBorders>
              <w:top w:val="single" w:sz="8" w:space="0" w:color="000000"/>
            </w:tcBorders>
            <w:shd w:fill="2A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740"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pPr>
            <w:r>
              <w:rPr/>
              <w:t> </w:t>
            </w:r>
          </w:p>
        </w:tc>
        <w:tc>
          <w:tcPr>
            <w:tcW w:w="94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48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60"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2510" w:type="dxa"/>
            <w:tcBorders>
              <w:left w:val="single" w:sz="8" w:space="0" w:color="000000"/>
              <w:bottom w:val="single" w:sz="8" w:space="0" w:color="000000"/>
              <w:right w:val="single" w:sz="8" w:space="0" w:color="000000"/>
            </w:tcBorders>
            <w:shd w:fill="2A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000</w:t>
            </w:r>
          </w:p>
        </w:tc>
        <w:tc>
          <w:tcPr>
            <w:tcW w:w="74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 </w:t>
            </w:r>
          </w:p>
        </w:tc>
        <w:tc>
          <w:tcPr>
            <w:tcW w:w="74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 </w:t>
            </w:r>
          </w:p>
        </w:tc>
        <w:tc>
          <w:tcPr>
            <w:tcW w:w="74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 </w:t>
            </w:r>
          </w:p>
        </w:tc>
        <w:tc>
          <w:tcPr>
            <w:tcW w:w="425"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15"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74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 </w:t>
            </w:r>
          </w:p>
        </w:tc>
        <w:tc>
          <w:tcPr>
            <w:tcW w:w="74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color w:val="FFFFFF"/>
              </w:rPr>
            </w:pPr>
            <w:r>
              <w:rPr>
                <w:color w:val="FFFFFF"/>
              </w:rPr>
              <w:t> </w:t>
            </w:r>
            <w:r>
              <w:rPr>
                <w:rFonts w:ascii="Times New Roman;Times;Serif" w:hAnsi="Times New Roman;Times;Serif"/>
                <w:b/>
                <w:color w:val="FFFFFF"/>
                <w:sz w:val="16"/>
              </w:rPr>
              <w:t>Jun 26</w:t>
            </w:r>
          </w:p>
        </w:tc>
        <w:tc>
          <w:tcPr>
            <w:tcW w:w="116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25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Expenses Ex Innovation </w:t>
            </w:r>
          </w:p>
          <w:p>
            <w:pPr>
              <w:pStyle w:val="TableContents"/>
              <w:bidi w:val="0"/>
              <w:spacing w:lineRule="auto" w:line="240"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Innovation Portafolio (2) </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2,158,669</w:t>
            </w:r>
          </w:p>
          <w:p>
            <w:pPr>
              <w:pStyle w:val="TableContents"/>
              <w:bidi w:val="0"/>
              <w:spacing w:before="0" w:after="0"/>
              <w:ind w:left="0" w:right="0" w:hanging="0"/>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324,824</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2,331,072</w:t>
            </w:r>
          </w:p>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431,556</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2,366,959</w:t>
            </w:r>
          </w:p>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459,036</w:t>
            </w:r>
          </w:p>
        </w:tc>
        <w:tc>
          <w:tcPr>
            <w:tcW w:w="425" w:type="dxa"/>
            <w:tcBorders>
              <w:bottom w:val="single" w:sz="8" w:space="0" w:color="000000"/>
            </w:tcBorders>
            <w:tcMar>
              <w:top w:w="0" w:type="dxa"/>
              <w:left w:w="0" w:type="dxa"/>
              <w:bottom w:w="28" w:type="dxa"/>
              <w:righ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 </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 </w:t>
            </w:r>
          </w:p>
        </w:tc>
        <w:tc>
          <w:tcPr>
            <w:tcW w:w="5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 </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41.3% </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4,256,497</w:t>
            </w:r>
          </w:p>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669,085</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4,698,031</w:t>
            </w:r>
          </w:p>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890,592</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 </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33.1%</w:t>
            </w:r>
          </w:p>
        </w:tc>
      </w:tr>
      <w:tr>
        <w:trPr/>
        <w:tc>
          <w:tcPr>
            <w:tcW w:w="25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b/>
                <w:sz w:val="16"/>
              </w:rPr>
            </w:pPr>
            <w:r>
              <w:rPr>
                <w:b/>
                <w:sz w:val="16"/>
              </w:rPr>
              <w:t>Total Operating Expenses</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2,483,493</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2,762,628</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b/>
                <w:sz w:val="16"/>
              </w:rPr>
            </w:pPr>
            <w:r>
              <w:rPr>
                <w:b/>
                <w:sz w:val="16"/>
              </w:rPr>
              <w:t>2,825,995</w:t>
            </w:r>
          </w:p>
        </w:tc>
        <w:tc>
          <w:tcPr>
            <w:tcW w:w="4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2.3%</w:t>
            </w:r>
          </w:p>
        </w:tc>
        <w:tc>
          <w:tcPr>
            <w:tcW w:w="5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13.8%</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4,925,582</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b/>
                <w:sz w:val="16"/>
              </w:rPr>
            </w:pPr>
            <w:r>
              <w:rPr>
                <w:b/>
                <w:sz w:val="16"/>
              </w:rPr>
              <w:t>5,588,623</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13.5%</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Management figures. (2) Includes innovation portfolio initiatives in subsidiaries and Krealo.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YoY, the 13.5% increase in operating expenses was primarily driven by core business at BCP Stand-alone and by innovation initiatives at the Credicorp level. Disruption expenses represented 15.9% of total expenses and rose 33.1% YoY. Yape, Tenpo and Culqi were the main drivers of disruption expenses, and represented 84% of total expenses for disruptive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uptick in core expenses at BCP Stand-alone was fueled by:</w:t>
      </w:r>
    </w:p>
    <w:p>
      <w:pPr>
        <w:pStyle w:val="TextBody"/>
        <w:bidi w:val="0"/>
        <w:spacing w:before="0" w:after="0"/>
        <w:ind w:left="0" w:right="0" w:hanging="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left"/>
              <w:rPr/>
            </w:pPr>
            <w:r>
              <w:rPr/>
              <w:t>Technology expenses (IT)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Due to an increase in expenses for licenses and IT-related, third party services, in line with efforts to hire more specialized personnel.</w:t>
            </w:r>
          </w:p>
        </w:tc>
      </w:tr>
    </w:tbl>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pPr>
            <w:r>
              <w:rPr/>
              <w:t>Core business expenses excluding IT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Employee salaries and Benefits were up due to (i) hiring of more personnel for initiatives related to commercial, technological and transactional capacity development, and (ii) growth in provisions for variable compensation, in line with higher results.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3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5" descr=""/>
                    <pic:cNvPicPr>
                      <a:picLocks noChangeAspect="1" noChangeArrowheads="1"/>
                    </pic:cNvPicPr>
                  </pic:nvPicPr>
                  <pic:blipFill>
                    <a:blip r:embed="rId124"/>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3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6" descr=""/>
                          <pic:cNvPicPr>
                            <a:picLocks noChangeAspect="1" noChangeArrowheads="1"/>
                          </pic:cNvPicPr>
                        </pic:nvPicPr>
                        <pic:blipFill>
                          <a:blip r:embed="rId125"/>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3625" w:type="dxa"/>
        <w:jc w:val="left"/>
        <w:tblInd w:w="0" w:type="dxa"/>
        <w:tblLayout w:type="fixed"/>
        <w:tblCellMar>
          <w:top w:w="0" w:type="dxa"/>
          <w:left w:w="0" w:type="dxa"/>
          <w:bottom w:w="0" w:type="dxa"/>
          <w:right w:w="0" w:type="dxa"/>
        </w:tblCellMar>
      </w:tblPr>
      <w:tblGrid>
        <w:gridCol w:w="515"/>
        <w:gridCol w:w="3110"/>
      </w:tblGrid>
      <w:tr>
        <w:trPr/>
        <w:tc>
          <w:tcPr>
            <w:tcW w:w="515" w:type="dxa"/>
            <w:tcBorders/>
            <w:vAlign w:val="center"/>
          </w:tcPr>
          <w:p>
            <w:pPr>
              <w:pStyle w:val="TableContents"/>
              <w:bidi w:val="0"/>
              <w:spacing w:before="0" w:after="283"/>
              <w:jc w:val="left"/>
              <w:rPr>
                <w:b/>
                <w:sz w:val="48"/>
              </w:rPr>
            </w:pPr>
            <w:r>
              <w:rPr>
                <w:b/>
                <w:sz w:val="48"/>
              </w:rPr>
              <w:t>09</w:t>
            </w:r>
          </w:p>
        </w:tc>
        <w:tc>
          <w:tcPr>
            <w:tcW w:w="3110" w:type="dxa"/>
            <w:tcBorders/>
            <w:vAlign w:val="center"/>
          </w:tcPr>
          <w:p>
            <w:pPr>
              <w:pStyle w:val="TableContents"/>
              <w:bidi w:val="0"/>
              <w:spacing w:before="0" w:after="283"/>
              <w:jc w:val="left"/>
              <w:rPr>
                <w:sz w:val="36"/>
              </w:rPr>
            </w:pPr>
            <w:r>
              <w:rPr>
                <w:sz w:val="36"/>
              </w:rPr>
              <w:t>Operating Efficiency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AAC"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The efficiency ratio evolved in line with expectations and remained in the projected range. YTD, the efficiency ratio rose 27 bps, after growth in operating expenses outpaced expansion in operating loans. This evolution reflects growth in expenses in core businesses at BCP Stand-alone and innovation initiatives at the Credicorp level to stregthen capacities, drive future efficiency and secure sutainable competitive advantages in the long-term.</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Efficiency ratio (1) reported by subsidiary</w:t>
      </w:r>
    </w:p>
    <w:p>
      <w:pPr>
        <w:pStyle w:val="TextBody"/>
        <w:bidi w:val="0"/>
        <w:spacing w:before="0" w:after="0"/>
        <w:ind w:left="175" w:right="0" w:hanging="0"/>
        <w:jc w:val="left"/>
        <w:rPr>
          <w:caps w:val="false"/>
          <w:smallCaps w:val="false"/>
        </w:rPr>
      </w:pPr>
      <w:r>
        <w:rPr>
          <w:caps w:val="false"/>
          <w:smallCaps w:val="false"/>
        </w:rPr>
        <w:t> </w:t>
      </w:r>
    </w:p>
    <w:tbl>
      <w:tblPr>
        <w:tblW w:w="8850" w:type="dxa"/>
        <w:jc w:val="left"/>
        <w:tblInd w:w="-10" w:type="dxa"/>
        <w:tblLayout w:type="fixed"/>
        <w:tblCellMar>
          <w:top w:w="28" w:type="dxa"/>
          <w:left w:w="60" w:type="dxa"/>
          <w:bottom w:w="0" w:type="dxa"/>
          <w:right w:w="60" w:type="dxa"/>
        </w:tblCellMar>
      </w:tblPr>
      <w:tblGrid>
        <w:gridCol w:w="1865"/>
        <w:gridCol w:w="680"/>
        <w:gridCol w:w="680"/>
        <w:gridCol w:w="680"/>
        <w:gridCol w:w="845"/>
        <w:gridCol w:w="965"/>
        <w:gridCol w:w="770"/>
        <w:gridCol w:w="770"/>
        <w:gridCol w:w="1595"/>
      </w:tblGrid>
      <w:tr>
        <w:trPr/>
        <w:tc>
          <w:tcPr>
            <w:tcW w:w="1865" w:type="dxa"/>
            <w:tcBorders>
              <w:top w:val="single" w:sz="8" w:space="0" w:color="000000"/>
              <w:left w:val="single" w:sz="8" w:space="0" w:color="000000"/>
              <w:right w:val="single" w:sz="8" w:space="0" w:color="000000"/>
            </w:tcBorders>
            <w:shd w:fill="2AD2C7" w:val="cle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Subsidiary</w:t>
            </w:r>
          </w:p>
        </w:tc>
        <w:tc>
          <w:tcPr>
            <w:tcW w:w="680" w:type="dxa"/>
            <w:tcBorders>
              <w:top w:val="single" w:sz="8" w:space="0" w:color="000000"/>
            </w:tcBorders>
            <w:shd w:fill="2AD2C7" w:val="clear"/>
            <w:tcMar>
              <w:left w:w="0" w:type="dxa"/>
              <w:right w:w="0" w:type="dxa"/>
            </w:tcMar>
            <w:vAlign w:val="center"/>
          </w:tcPr>
          <w:p>
            <w:pPr>
              <w:pStyle w:val="TableContents"/>
              <w:bidi w:val="0"/>
              <w:spacing w:before="0" w:after="283"/>
              <w:jc w:val="center"/>
              <w:rPr/>
            </w:pPr>
            <w:r>
              <w:rPr/>
              <w:t> </w:t>
            </w:r>
          </w:p>
        </w:tc>
        <w:tc>
          <w:tcPr>
            <w:tcW w:w="680" w:type="dxa"/>
            <w:tcBorders>
              <w:top w:val="single" w:sz="8" w:space="0" w:color="000000"/>
            </w:tcBorders>
            <w:shd w:fill="2A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680"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pPr>
            <w:r>
              <w:rPr/>
              <w:t> </w:t>
            </w:r>
          </w:p>
        </w:tc>
        <w:tc>
          <w:tcPr>
            <w:tcW w:w="181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w:t>
            </w:r>
          </w:p>
        </w:tc>
        <w:tc>
          <w:tcPr>
            <w:tcW w:w="154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595"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1865" w:type="dxa"/>
            <w:tcBorders>
              <w:left w:val="single" w:sz="8" w:space="0" w:color="000000"/>
              <w:bottom w:val="single" w:sz="8" w:space="0" w:color="000000"/>
              <w:right w:val="single" w:sz="8" w:space="0" w:color="000000"/>
            </w:tcBorders>
            <w:shd w:fill="2AD2C7" w:val="clear"/>
            <w:tcMar>
              <w:top w:w="0" w:type="dxa"/>
              <w:bottom w:w="28" w:type="dxa"/>
            </w:tcMar>
            <w:vAlign w:val="center"/>
          </w:tcPr>
          <w:p>
            <w:pPr>
              <w:pStyle w:val="TableContents"/>
              <w:bidi w:val="0"/>
              <w:spacing w:before="0" w:after="283"/>
              <w:jc w:val="center"/>
              <w:rPr/>
            </w:pPr>
            <w:r>
              <w:rPr/>
              <w:t> </w:t>
            </w:r>
          </w:p>
        </w:tc>
        <w:tc>
          <w:tcPr>
            <w:tcW w:w="68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2Q25 </w:t>
            </w:r>
          </w:p>
        </w:tc>
        <w:tc>
          <w:tcPr>
            <w:tcW w:w="68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1Q26 </w:t>
            </w:r>
          </w:p>
        </w:tc>
        <w:tc>
          <w:tcPr>
            <w:tcW w:w="68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2Q26 </w:t>
            </w:r>
          </w:p>
        </w:tc>
        <w:tc>
          <w:tcPr>
            <w:tcW w:w="845"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QoQ</w:t>
            </w:r>
          </w:p>
        </w:tc>
        <w:tc>
          <w:tcPr>
            <w:tcW w:w="965"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YoY</w:t>
            </w:r>
          </w:p>
        </w:tc>
        <w:tc>
          <w:tcPr>
            <w:tcW w:w="77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Jun 25 </w:t>
            </w:r>
          </w:p>
        </w:tc>
        <w:tc>
          <w:tcPr>
            <w:tcW w:w="77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color w:val="FFFFFF"/>
              </w:rPr>
            </w:pPr>
            <w:r>
              <w:rPr>
                <w:color w:val="FFFFFF"/>
              </w:rPr>
              <w:t> </w:t>
            </w:r>
            <w:r>
              <w:rPr>
                <w:rFonts w:ascii="Times New Roman;Times;Serif" w:hAnsi="Times New Roman;Times;Serif"/>
                <w:b/>
                <w:color w:val="FFFFFF"/>
              </w:rPr>
              <w:t>Jun 26</w:t>
            </w:r>
          </w:p>
        </w:tc>
        <w:tc>
          <w:tcPr>
            <w:tcW w:w="1595"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rPr>
            </w:pPr>
            <w:r>
              <w:rPr>
                <w:rFonts w:ascii="Times New Roman;Times;Serif" w:hAnsi="Times New Roman;Times;Serif"/>
                <w:b/>
                <w:color w:val="FFFFFF"/>
              </w:rPr>
              <w:t>Jun 26 / Jun 25</w:t>
            </w:r>
          </w:p>
        </w:tc>
      </w:tr>
      <w:tr>
        <w:trPr/>
        <w:tc>
          <w:tcPr>
            <w:tcW w:w="18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BCP Stand-alone</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38.3%</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38.6%</w:t>
            </w:r>
          </w:p>
        </w:tc>
        <w:tc>
          <w:tcPr>
            <w:tcW w:w="68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38.5%</w:t>
            </w:r>
          </w:p>
        </w:tc>
        <w:tc>
          <w:tcPr>
            <w:tcW w:w="8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 bps</w:t>
            </w:r>
          </w:p>
        </w:tc>
        <w:tc>
          <w:tcPr>
            <w:tcW w:w="9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 bps</w:t>
            </w:r>
          </w:p>
        </w:tc>
        <w:tc>
          <w:tcPr>
            <w:tcW w:w="77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77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w:t>
            </w:r>
          </w:p>
        </w:tc>
        <w:tc>
          <w:tcPr>
            <w:tcW w:w="159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56 bps</w:t>
            </w:r>
          </w:p>
        </w:tc>
      </w:tr>
      <w:tr>
        <w:trPr/>
        <w:tc>
          <w:tcPr>
            <w:tcW w:w="18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BCP Bolivia</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67.3%</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65.2%</w:t>
            </w:r>
          </w:p>
        </w:tc>
        <w:tc>
          <w:tcPr>
            <w:tcW w:w="68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57.1%</w:t>
            </w:r>
          </w:p>
        </w:tc>
        <w:tc>
          <w:tcPr>
            <w:tcW w:w="8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-814 bps</w:t>
            </w:r>
          </w:p>
        </w:tc>
        <w:tc>
          <w:tcPr>
            <w:tcW w:w="9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-1021 bps</w:t>
            </w:r>
          </w:p>
        </w:tc>
        <w:tc>
          <w:tcPr>
            <w:tcW w:w="77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w:t>
            </w:r>
          </w:p>
        </w:tc>
        <w:tc>
          <w:tcPr>
            <w:tcW w:w="77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159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-793 bps</w:t>
            </w:r>
          </w:p>
        </w:tc>
      </w:tr>
      <w:tr>
        <w:trPr/>
        <w:tc>
          <w:tcPr>
            <w:tcW w:w="18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Mibanco Peru</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52.0%</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49.2%</w:t>
            </w:r>
          </w:p>
        </w:tc>
        <w:tc>
          <w:tcPr>
            <w:tcW w:w="68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46.8%</w:t>
            </w:r>
          </w:p>
        </w:tc>
        <w:tc>
          <w:tcPr>
            <w:tcW w:w="8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-243 bps</w:t>
            </w:r>
          </w:p>
        </w:tc>
        <w:tc>
          <w:tcPr>
            <w:tcW w:w="9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-521 bps</w:t>
            </w:r>
          </w:p>
        </w:tc>
        <w:tc>
          <w:tcPr>
            <w:tcW w:w="77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w:t>
            </w:r>
          </w:p>
        </w:tc>
        <w:tc>
          <w:tcPr>
            <w:tcW w:w="77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w:t>
            </w:r>
          </w:p>
        </w:tc>
        <w:tc>
          <w:tcPr>
            <w:tcW w:w="159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-445 bps</w:t>
            </w:r>
          </w:p>
        </w:tc>
      </w:tr>
      <w:tr>
        <w:trPr/>
        <w:tc>
          <w:tcPr>
            <w:tcW w:w="18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Mibanco Colombia</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65.5%</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64.5%</w:t>
            </w:r>
          </w:p>
        </w:tc>
        <w:tc>
          <w:tcPr>
            <w:tcW w:w="68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58.0%</w:t>
            </w:r>
          </w:p>
        </w:tc>
        <w:tc>
          <w:tcPr>
            <w:tcW w:w="8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-655 bps</w:t>
            </w:r>
          </w:p>
        </w:tc>
        <w:tc>
          <w:tcPr>
            <w:tcW w:w="9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-751 bps</w:t>
            </w:r>
          </w:p>
        </w:tc>
        <w:tc>
          <w:tcPr>
            <w:tcW w:w="77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77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w:t>
            </w:r>
          </w:p>
        </w:tc>
        <w:tc>
          <w:tcPr>
            <w:tcW w:w="159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-690 bps</w:t>
            </w:r>
          </w:p>
        </w:tc>
      </w:tr>
      <w:tr>
        <w:trPr/>
        <w:tc>
          <w:tcPr>
            <w:tcW w:w="186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Pacifico</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37.5%</w:t>
            </w:r>
          </w:p>
        </w:tc>
        <w:tc>
          <w:tcPr>
            <w:tcW w:w="68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39.4%</w:t>
            </w:r>
          </w:p>
        </w:tc>
        <w:tc>
          <w:tcPr>
            <w:tcW w:w="68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40.2%</w:t>
            </w:r>
          </w:p>
        </w:tc>
        <w:tc>
          <w:tcPr>
            <w:tcW w:w="84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84 bps</w:t>
            </w:r>
          </w:p>
        </w:tc>
        <w:tc>
          <w:tcPr>
            <w:tcW w:w="9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269 bps</w:t>
            </w:r>
          </w:p>
        </w:tc>
        <w:tc>
          <w:tcPr>
            <w:tcW w:w="77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770" w:type="dxa"/>
            <w:tcBorders>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159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487 bps</w:t>
            </w:r>
          </w:p>
        </w:tc>
      </w:tr>
      <w:tr>
        <w:trPr/>
        <w:tc>
          <w:tcPr>
            <w:tcW w:w="18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Prima AFP</w:t>
            </w:r>
          </w:p>
        </w:tc>
        <w:tc>
          <w:tcPr>
            <w:tcW w:w="68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51.4%</w:t>
            </w:r>
          </w:p>
        </w:tc>
        <w:tc>
          <w:tcPr>
            <w:tcW w:w="68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57.2%</w:t>
            </w:r>
          </w:p>
        </w:tc>
        <w:tc>
          <w:tcPr>
            <w:tcW w:w="6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51.2%</w:t>
            </w:r>
          </w:p>
        </w:tc>
        <w:tc>
          <w:tcPr>
            <w:tcW w:w="8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-604 bps</w:t>
            </w:r>
          </w:p>
        </w:tc>
        <w:tc>
          <w:tcPr>
            <w:tcW w:w="9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 bps</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w:t>
            </w:r>
          </w:p>
        </w:tc>
        <w:tc>
          <w:tcPr>
            <w:tcW w:w="7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w:t>
            </w:r>
          </w:p>
        </w:tc>
        <w:tc>
          <w:tcPr>
            <w:tcW w:w="159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126 bps</w:t>
            </w:r>
          </w:p>
        </w:tc>
      </w:tr>
      <w:tr>
        <w:trPr/>
        <w:tc>
          <w:tcPr>
            <w:tcW w:w="18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Credicorp</w:t>
            </w:r>
          </w:p>
        </w:tc>
        <w:tc>
          <w:tcPr>
            <w:tcW w:w="68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44.9%</w:t>
            </w:r>
          </w:p>
        </w:tc>
        <w:tc>
          <w:tcPr>
            <w:tcW w:w="68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45.8%</w:t>
            </w:r>
          </w:p>
        </w:tc>
        <w:tc>
          <w:tcPr>
            <w:tcW w:w="6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45.4%</w:t>
            </w:r>
          </w:p>
        </w:tc>
        <w:tc>
          <w:tcPr>
            <w:tcW w:w="84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-47 bps</w:t>
            </w:r>
          </w:p>
        </w:tc>
        <w:tc>
          <w:tcPr>
            <w:tcW w:w="9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44 bps</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45.3%</w:t>
            </w:r>
          </w:p>
        </w:tc>
        <w:tc>
          <w:tcPr>
            <w:tcW w:w="7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45.6%</w:t>
            </w:r>
          </w:p>
        </w:tc>
        <w:tc>
          <w:tcPr>
            <w:tcW w:w="159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27 bps</w:t>
            </w:r>
          </w:p>
        </w:tc>
      </w:tr>
    </w:tbl>
    <w:p>
      <w:pPr>
        <w:pStyle w:val="TextBody"/>
        <w:bidi w:val="0"/>
        <w:ind w:left="17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Gastos operativos / Ingresos operativos (bajo NIIF 17). Gastos operativos = Remuneraciones y beneficios sociales + Gastos administrativos + Depreciación y amortización + Asociación en participación. Ingresos operativos = Intereses, rendimientos y gastos similares, neto + Ingreso neto por comisiones + Ganancia neta en operaciones de cambio + Ganancia netas por inversión en asociadas + Ganancia neta en derivados especulativos + Ganancia neta por diferencia en cambio + Resultado técnico de seguros + Resultados por Servicios Médicos.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analysis will use YTD movements to eliminate seasonal effects between quarters.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efficiency ratio evolved as expected and remains within the projected range. The YTD print was up 27 bps, fueled mainly by higher operating expenses through (i) core business at BCP, in line with growth in Administrative Expenses and Employee Salaries and Benefits, and (ii) portfolio initiatives at the Credicorp level. It is important to note that growth in Operating Expenses has been accompanied by an uptick in Operating Income.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3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7" descr=""/>
                    <pic:cNvPicPr>
                      <a:picLocks noChangeAspect="1" noChangeArrowheads="1"/>
                    </pic:cNvPicPr>
                  </pic:nvPicPr>
                  <pic:blipFill>
                    <a:blip r:embed="rId126"/>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4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8" descr=""/>
                          <pic:cNvPicPr>
                            <a:picLocks noChangeAspect="1" noChangeArrowheads="1"/>
                          </pic:cNvPicPr>
                        </pic:nvPicPr>
                        <pic:blipFill>
                          <a:blip r:embed="rId127"/>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515"/>
        <w:gridCol w:w="2810"/>
      </w:tblGrid>
      <w:tr>
        <w:trPr/>
        <w:tc>
          <w:tcPr>
            <w:tcW w:w="515" w:type="dxa"/>
            <w:tcBorders/>
            <w:vAlign w:val="center"/>
          </w:tcPr>
          <w:p>
            <w:pPr>
              <w:pStyle w:val="TableContents"/>
              <w:bidi w:val="0"/>
              <w:spacing w:before="0" w:after="283"/>
              <w:jc w:val="left"/>
              <w:rPr>
                <w:b/>
                <w:sz w:val="48"/>
              </w:rPr>
            </w:pPr>
            <w:r>
              <w:rPr>
                <w:b/>
                <w:sz w:val="48"/>
              </w:rPr>
              <w:t>10</w:t>
            </w:r>
          </w:p>
        </w:tc>
        <w:tc>
          <w:tcPr>
            <w:tcW w:w="2810" w:type="dxa"/>
            <w:tcBorders/>
            <w:vAlign w:val="center"/>
          </w:tcPr>
          <w:p>
            <w:pPr>
              <w:pStyle w:val="TableContents"/>
              <w:bidi w:val="0"/>
              <w:spacing w:before="0" w:after="283"/>
              <w:jc w:val="left"/>
              <w:rPr>
                <w:sz w:val="36"/>
              </w:rPr>
            </w:pPr>
            <w:r>
              <w:rPr>
                <w:sz w:val="36"/>
              </w:rPr>
              <w:t>Regulatory Capital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AAC"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At the end of 2Q26, the regulatory ratio stood at 126%, which exceeds the regulatory requirement.</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18" w:right="18"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The IFRS CET1 ratio at BCP Stand-alone dropped 86 bps YoY to stand at 11.70%, above our internal appetite of 11%. This decrease was attributable to an increase in credit risk-weighted assets (RWAs) due to loan growth, which was offset by an increase in Retained Earnings on the back of business expansion.</w:t>
            </w:r>
          </w:p>
          <w:p>
            <w:pPr>
              <w:pStyle w:val="TableContents"/>
              <w:bidi w:val="0"/>
              <w:spacing w:before="0" w:after="0"/>
              <w:ind w:left="18" w:right="18"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left"/>
              <w:rPr>
                <w:color w:val="FFFFFF"/>
              </w:rPr>
            </w:pPr>
            <w:r>
              <w:rPr>
                <w:color w:val="FFFFFF"/>
              </w:rPr>
              <w:t>The IFRS CET1 ratio at Mibanco dropped 83pbs YoY to stand at 15.90%, above our internal appetite of 15%. This decline was fueled by an increase in RWAs due to loan expansion, which was partially offset by an uptick in Retained Earnings associated with business growth.</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Regulatory Capital at Credicorp</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Analysis of Financial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end of 2Q26, Credicorp’s Regulatory Capital Ratio stood 126% above the regulatory minimum. This attests to the Group’s financial solidity and stability. The ratio decreased by 940 bps </w:t>
      </w:r>
      <w:r>
        <w:rPr>
          <w:rFonts w:ascii="Times New Roman;Times;Serif" w:hAnsi="Times New Roman;Times;Serif"/>
          <w:b/>
          <w:i w:val="false"/>
          <w:caps w:val="false"/>
          <w:smallCaps w:val="false"/>
          <w:sz w:val="20"/>
        </w:rPr>
        <w:t>QoQ</w:t>
      </w:r>
      <w:r>
        <w:rPr>
          <w:rFonts w:ascii="Times New Roman;Times;Serif" w:hAnsi="Times New Roman;Times;Serif"/>
          <w:b w:val="false"/>
          <w:i w:val="false"/>
          <w:caps w:val="false"/>
          <w:smallCaps w:val="false"/>
          <w:sz w:val="20"/>
        </w:rPr>
        <w:t xml:space="preserve"> mainly due to growth in capital requirements which rose alongside portfolio growth in </w:t>
      </w:r>
      <w:r>
        <w:rPr>
          <w:rFonts w:ascii="Times New Roman;Times;Serif" w:hAnsi="Times New Roman;Times;Serif"/>
          <w:b/>
          <w:i w:val="false"/>
          <w:caps w:val="false"/>
          <w:smallCaps w:val="false"/>
          <w:sz w:val="20"/>
        </w:rPr>
        <w:t xml:space="preserve">BCP Stand-alone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Mibanco, </w:t>
      </w:r>
      <w:r>
        <w:rPr>
          <w:rFonts w:ascii="Times New Roman;Times;Serif" w:hAnsi="Times New Roman;Times;Serif"/>
          <w:b w:val="false"/>
          <w:i w:val="false"/>
          <w:caps w:val="false"/>
          <w:smallCaps w:val="false"/>
          <w:sz w:val="20"/>
        </w:rPr>
        <w:t>as well as a decrease in Legal and Other Capital Reserves driven by dividend payments. This decrease was partially offset by a higher balance in Current and Accumulated Earnings driven by growth in both businesses.</w:t>
      </w:r>
      <w:r>
        <mc:AlternateContent>
          <mc:Choice Requires="wps">
            <w:drawing>
              <wp:anchor behindDoc="0" distT="0" distB="0" distL="0" distR="101600" simplePos="0" locked="0" layoutInCell="1" allowOverlap="1" relativeHeight="5">
                <wp:simplePos x="0" y="0"/>
                <wp:positionH relativeFrom="column">
                  <wp:align>right</wp:align>
                </wp:positionH>
                <wp:positionV relativeFrom="line">
                  <wp:posOffset>635</wp:posOffset>
                </wp:positionV>
                <wp:extent cx="3239770" cy="1851660"/>
                <wp:effectExtent l="0" t="0" r="0" b="0"/>
                <wp:wrapSquare wrapText="left"/>
                <wp:docPr id="141" name="Frame15"/>
                <a:graphic xmlns:a="http://schemas.openxmlformats.org/drawingml/2006/main">
                  <a:graphicData uri="http://schemas.microsoft.com/office/word/2010/wordprocessingShape">
                    <wps:wsp>
                      <wps:cNvSpPr txBox="1"/>
                      <wps:spPr>
                        <a:xfrm>
                          <a:off x="0" y="0"/>
                          <a:ext cx="3239770" cy="1851660"/>
                        </a:xfrm>
                        <a:prstGeom prst="rect"/>
                        <a:solidFill>
                          <a:srgbClr val="FFFFFF"/>
                        </a:solidFill>
                      </wps:spPr>
                      <wps:txbx>
                        <w:txbxContent>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Coverage Ratios</w:t>
                            </w:r>
                          </w:p>
                          <w:p>
                            <w:pPr>
                              <w:pStyle w:val="TextBody"/>
                              <w:bidi w:val="0"/>
                              <w:spacing w:before="0" w:after="0"/>
                              <w:jc w:val="center"/>
                              <w:rPr>
                                <w:caps w:val="false"/>
                                <w:smallCaps w:val="false"/>
                              </w:rPr>
                            </w:pPr>
                            <w:r>
                              <w:rPr>
                                <w:caps w:val="false"/>
                                <w:smallCaps w:val="false"/>
                              </w:rPr>
                              <w:drawing>
                                <wp:inline distT="0" distB="0" distL="0" distR="0">
                                  <wp:extent cx="3810000" cy="1704975"/>
                                  <wp:effectExtent l="0" t="0" r="0" b="0"/>
                                  <wp:docPr id="14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9" descr=""/>
                                          <pic:cNvPicPr>
                                            <a:picLocks noChangeAspect="1" noChangeArrowheads="1"/>
                                          </pic:cNvPicPr>
                                        </pic:nvPicPr>
                                        <pic:blipFill>
                                          <a:blip r:embed="rId128"/>
                                          <a:stretch>
                                            <a:fillRect/>
                                          </a:stretch>
                                        </pic:blipFill>
                                        <pic:spPr bwMode="auto">
                                          <a:xfrm>
                                            <a:off x="0" y="0"/>
                                            <a:ext cx="3810000" cy="1704975"/>
                                          </a:xfrm>
                                          <a:prstGeom prst="rect">
                                            <a:avLst/>
                                          </a:prstGeom>
                                        </pic:spPr>
                                      </pic:pic>
                                    </a:graphicData>
                                  </a:graphic>
                                </wp:inline>
                              </w:drawing>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145.8pt;mso-wrap-distance-left:0pt;mso-wrap-distance-right:8pt;mso-wrap-distance-top:0pt;mso-wrap-distance-bottom:0pt;margin-top:0pt;mso-position-vertical:top;mso-position-vertical-relative:text;margin-left:247.15pt;mso-position-horizontal:right;mso-position-horizontal-relative:text">
                <v:textbox inset="0in,0in,0in,0in">
                  <w:txbxContent>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Coverage Ratios</w:t>
                      </w:r>
                    </w:p>
                    <w:p>
                      <w:pPr>
                        <w:pStyle w:val="TextBody"/>
                        <w:bidi w:val="0"/>
                        <w:spacing w:before="0" w:after="0"/>
                        <w:jc w:val="center"/>
                        <w:rPr>
                          <w:caps w:val="false"/>
                          <w:smallCaps w:val="false"/>
                        </w:rPr>
                      </w:pPr>
                      <w:r>
                        <w:rPr>
                          <w:caps w:val="false"/>
                          <w:smallCaps w:val="false"/>
                        </w:rPr>
                        <w:drawing>
                          <wp:inline distT="0" distB="0" distL="0" distR="0">
                            <wp:extent cx="3810000" cy="1704975"/>
                            <wp:effectExtent l="0" t="0" r="0" b="0"/>
                            <wp:docPr id="14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9" descr=""/>
                                    <pic:cNvPicPr>
                                      <a:picLocks noChangeAspect="1" noChangeArrowheads="1"/>
                                    </pic:cNvPicPr>
                                  </pic:nvPicPr>
                                  <pic:blipFill>
                                    <a:blip r:embed="rId129"/>
                                    <a:stretch>
                                      <a:fillRect/>
                                    </a:stretch>
                                  </pic:blipFill>
                                  <pic:spPr bwMode="auto">
                                    <a:xfrm>
                                      <a:off x="0" y="0"/>
                                      <a:ext cx="3810000" cy="1704975"/>
                                    </a:xfrm>
                                    <a:prstGeom prst="rect">
                                      <a:avLst/>
                                    </a:prstGeom>
                                  </pic:spPr>
                                </pic:pic>
                              </a:graphicData>
                            </a:graphic>
                          </wp:inline>
                        </w:drawing>
                      </w:r>
                    </w:p>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YoY</w:t>
      </w:r>
      <w:r>
        <w:rPr>
          <w:rFonts w:ascii="Times New Roman;Times;Serif" w:hAnsi="Times New Roman;Times;Serif"/>
          <w:b w:val="false"/>
          <w:i w:val="false"/>
          <w:caps w:val="false"/>
          <w:smallCaps w:val="false"/>
          <w:sz w:val="20"/>
        </w:rPr>
        <w:t>, the ratio declined 888 bps, mainly due to higher capital requirements driven by the same dynamics observed QoQ. This decline was partially offset by higher Other Capital Reserves from the capitalization of 2025 profits, as well as increased Subordinated Debt following issuances by subsidiaries.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Tier 1 Ratio stood at 146% (-1,545 bps QoQ, -2,335bps YoY), while the Regulatory CET1 ratio was situated at 175% (-1,861 bps QoQ, -2,984 bps YoY), both above the regulatory minimum. The decrease in both ratios was driven by the same dynamics that fueled the Regulatory Capital Ratio, with the exception of Subordinated Debt, which had no impact on either the Regulatory Tier 1 or CET1 ratios.</w:t>
      </w:r>
    </w:p>
    <w:p>
      <w:pPr>
        <w:pStyle w:val="TextBody"/>
        <w:bidi w:val="0"/>
        <w:spacing w:before="0" w:after="0"/>
        <w:ind w:left="175" w:right="594"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Analysis of Capital at BCP Stand-alone</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IFRS CET 1 ratio at BCP Stand-alone increased 40 bps QoQ to stand at 11.70% at the end of 2Q26, above our internal appetite of 11%. The uptick in this ratio was driven mainly by a rise in Retained Earnings in a dynamic business environment, which was partially offset by an increase in RWAs (mainly credit RWAs) due to growth in retail loans. YoY, the ratio dropped 86 bps, driven by an increase in RWA due to the same drivers seen QoQ.</w:t>
      </w:r>
      <w:r>
        <mc:AlternateContent>
          <mc:Choice Requires="wps">
            <w:drawing>
              <wp:anchor behindDoc="0" distT="0" distB="0" distL="0" distR="101600" simplePos="0" locked="0" layoutInCell="1" allowOverlap="1" relativeHeight="7">
                <wp:simplePos x="0" y="0"/>
                <wp:positionH relativeFrom="column">
                  <wp:align>left</wp:align>
                </wp:positionH>
                <wp:positionV relativeFrom="line">
                  <wp:posOffset>635</wp:posOffset>
                </wp:positionV>
                <wp:extent cx="3239770" cy="1952625"/>
                <wp:effectExtent l="0" t="0" r="0" b="0"/>
                <wp:wrapSquare wrapText="right"/>
                <wp:docPr id="144" name="Frame16"/>
                <a:graphic xmlns:a="http://schemas.openxmlformats.org/drawingml/2006/main">
                  <a:graphicData uri="http://schemas.microsoft.com/office/word/2010/wordprocessingShape">
                    <wps:wsp>
                      <wps:cNvSpPr txBox="1"/>
                      <wps:spPr>
                        <a:xfrm>
                          <a:off x="0" y="0"/>
                          <a:ext cx="3239770" cy="1952625"/>
                        </a:xfrm>
                        <a:prstGeom prst="rect"/>
                        <a:solidFill>
                          <a:srgbClr val="FFFFFF"/>
                        </a:solidFill>
                      </wps:spPr>
                      <wps:txbx>
                        <w:txbxContent>
                          <w:p>
                            <w:pPr>
                              <w:pStyle w:val="TextBody"/>
                              <w:bidi w:val="0"/>
                              <w:spacing w:before="0" w:after="283"/>
                              <w:jc w:val="center"/>
                              <w:rPr>
                                <w:caps w:val="false"/>
                                <w:smallCaps w:val="false"/>
                              </w:rPr>
                            </w:pPr>
                            <w:r>
                              <w:rPr>
                                <w:caps w:val="false"/>
                                <w:smallCaps w:val="false"/>
                              </w:rPr>
                              <w:drawing>
                                <wp:inline distT="0" distB="0" distL="0" distR="0">
                                  <wp:extent cx="3333750" cy="1952625"/>
                                  <wp:effectExtent l="0" t="0" r="0" b="0"/>
                                  <wp:docPr id="14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0" descr=""/>
                                          <pic:cNvPicPr>
                                            <a:picLocks noChangeAspect="1" noChangeArrowheads="1"/>
                                          </pic:cNvPicPr>
                                        </pic:nvPicPr>
                                        <pic:blipFill>
                                          <a:blip r:embed="rId130"/>
                                          <a:stretch>
                                            <a:fillRect/>
                                          </a:stretch>
                                        </pic:blipFill>
                                        <pic:spPr bwMode="auto">
                                          <a:xfrm>
                                            <a:off x="0" y="0"/>
                                            <a:ext cx="3333750" cy="1952625"/>
                                          </a:xfrm>
                                          <a:prstGeom prst="rect">
                                            <a:avLst/>
                                          </a:prstGeom>
                                        </pic:spPr>
                                      </pic:pic>
                                    </a:graphicData>
                                  </a:graphic>
                                </wp:inline>
                              </w:drawing>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153.75pt;mso-wrap-distance-left:0pt;mso-wrap-distance-right:8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center"/>
                        <w:rPr>
                          <w:caps w:val="false"/>
                          <w:smallCaps w:val="false"/>
                        </w:rPr>
                      </w:pPr>
                      <w:r>
                        <w:rPr>
                          <w:caps w:val="false"/>
                          <w:smallCaps w:val="false"/>
                        </w:rPr>
                        <w:drawing>
                          <wp:inline distT="0" distB="0" distL="0" distR="0">
                            <wp:extent cx="3333750" cy="1952625"/>
                            <wp:effectExtent l="0" t="0" r="0" b="0"/>
                            <wp:docPr id="14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0" descr=""/>
                                    <pic:cNvPicPr>
                                      <a:picLocks noChangeAspect="1" noChangeArrowheads="1"/>
                                    </pic:cNvPicPr>
                                  </pic:nvPicPr>
                                  <pic:blipFill>
                                    <a:blip r:embed="rId131"/>
                                    <a:stretch>
                                      <a:fillRect/>
                                    </a:stretch>
                                  </pic:blipFill>
                                  <pic:spPr bwMode="auto">
                                    <a:xfrm>
                                      <a:off x="0" y="0"/>
                                      <a:ext cx="3333750" cy="1952625"/>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under current regulatory parameters, the local CET1 ratio stood at 11.40%, which compares favorably with the 9.88% minimum requirement at the end of June 2026. The Regulatory Global Capital Ratio stood at 17.27% (+57 bps QoQ), which topped the 15.00% required by the regulator at the end of June 2026. The QoQ variations for both these ratios were driven by the same dynamics in play in the evolution of IFRS CET1. YoY, the variation in local CET 1 was driven by the same factors that drove IFRS CET1 over the period ; the yearly evolution of Regulatory Global Capital Ratio, in turn, was fueled by the same drivers seen for IFRS CET1 and by an increase in the Subordinated Debt level following an issuance.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638175"/>
            <wp:effectExtent l="0" t="0" r="0" b="0"/>
            <wp:docPr id="14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1" descr=""/>
                    <pic:cNvPicPr>
                      <a:picLocks noChangeAspect="1" noChangeArrowheads="1"/>
                    </pic:cNvPicPr>
                  </pic:nvPicPr>
                  <pic:blipFill>
                    <a:blip r:embed="rId132"/>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4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2" descr=""/>
                          <pic:cNvPicPr>
                            <a:picLocks noChangeAspect="1" noChangeArrowheads="1"/>
                          </pic:cNvPicPr>
                        </pic:nvPicPr>
                        <pic:blipFill>
                          <a:blip r:embed="rId133"/>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FF00FF"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10. Regulatory Capital</w:t>
            </w:r>
          </w:p>
        </w:tc>
        <w:tc>
          <w:tcPr>
            <w:tcW w:w="2720" w:type="dxa"/>
            <w:tcBorders/>
            <w:shd w:fill="FF00FF" w:val="clear"/>
            <w:vAlign w:val="center"/>
          </w:tcPr>
          <w:p>
            <w:pPr>
              <w:pStyle w:val="TableContents"/>
              <w:bidi w:val="0"/>
              <w:spacing w:before="0" w:after="283"/>
              <w:jc w:val="left"/>
              <w:rPr>
                <w:color w:val="FFFFFF"/>
              </w:rPr>
            </w:pPr>
            <w:r>
              <w:rPr>
                <w:color w:val="FFFFFF"/>
              </w:rPr>
              <w:t> </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 Analysis of Capital at Mibanco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2Q26, the IFRS CET1 ratio at Mibanco stood at 15.90% (+21 bps QoQ), which was above our internal appetite of 15%. QoQ, this increase was driven mainly by a rise in Retained Earnings due to business expansion, which was partially offset by an uptick in credit RWAs in a context of loan growth. YoY, the ratio dropped 83 bps due to growth in RWAs, which rose through the same dynamics seen QoQ.</w:t>
      </w:r>
      <w:r>
        <mc:AlternateContent>
          <mc:Choice Requires="wps">
            <w:drawing>
              <wp:anchor behindDoc="0" distT="0" distB="0" distL="0" distR="101600" simplePos="0" locked="0" layoutInCell="1" allowOverlap="1" relativeHeight="11">
                <wp:simplePos x="0" y="0"/>
                <wp:positionH relativeFrom="column">
                  <wp:align>left</wp:align>
                </wp:positionH>
                <wp:positionV relativeFrom="line">
                  <wp:posOffset>635</wp:posOffset>
                </wp:positionV>
                <wp:extent cx="3239770" cy="1885950"/>
                <wp:effectExtent l="0" t="0" r="0" b="0"/>
                <wp:wrapSquare wrapText="right"/>
                <wp:docPr id="149" name="Frame17"/>
                <a:graphic xmlns:a="http://schemas.openxmlformats.org/drawingml/2006/main">
                  <a:graphicData uri="http://schemas.microsoft.com/office/word/2010/wordprocessingShape">
                    <wps:wsp>
                      <wps:cNvSpPr txBox="1"/>
                      <wps:spPr>
                        <a:xfrm>
                          <a:off x="0" y="0"/>
                          <a:ext cx="3239770" cy="1885950"/>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571875" cy="1885950"/>
                                  <wp:effectExtent l="0" t="0" r="0" b="0"/>
                                  <wp:docPr id="15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3" descr=""/>
                                          <pic:cNvPicPr>
                                            <a:picLocks noChangeAspect="1" noChangeArrowheads="1"/>
                                          </pic:cNvPicPr>
                                        </pic:nvPicPr>
                                        <pic:blipFill>
                                          <a:blip r:embed="rId134"/>
                                          <a:stretch>
                                            <a:fillRect/>
                                          </a:stretch>
                                        </pic:blipFill>
                                        <pic:spPr bwMode="auto">
                                          <a:xfrm>
                                            <a:off x="0" y="0"/>
                                            <a:ext cx="3571875" cy="1885950"/>
                                          </a:xfrm>
                                          <a:prstGeom prst="rect">
                                            <a:avLst/>
                                          </a:prstGeom>
                                        </pic:spPr>
                                      </pic:pic>
                                    </a:graphicData>
                                  </a:graphic>
                                </wp:inline>
                              </w:drawing>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148.5pt;mso-wrap-distance-left:0pt;mso-wrap-distance-right:8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caps w:val="false"/>
                          <w:smallCaps w:val="false"/>
                        </w:rPr>
                      </w:pPr>
                      <w:r>
                        <w:rPr>
                          <w:caps w:val="false"/>
                          <w:smallCaps w:val="false"/>
                        </w:rPr>
                        <w:drawing>
                          <wp:inline distT="0" distB="0" distL="0" distR="0">
                            <wp:extent cx="3571875" cy="1885950"/>
                            <wp:effectExtent l="0" t="0" r="0" b="0"/>
                            <wp:docPr id="15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3" descr=""/>
                                    <pic:cNvPicPr>
                                      <a:picLocks noChangeAspect="1" noChangeArrowheads="1"/>
                                    </pic:cNvPicPr>
                                  </pic:nvPicPr>
                                  <pic:blipFill>
                                    <a:blip r:embed="rId135"/>
                                    <a:stretch>
                                      <a:fillRect/>
                                    </a:stretch>
                                  </pic:blipFill>
                                  <pic:spPr bwMode="auto">
                                    <a:xfrm>
                                      <a:off x="0" y="0"/>
                                      <a:ext cx="3571875" cy="1885950"/>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parameters of current regulation, the local CET1 ratio stood at 16.32%, which compares favorably with the minimum requirement of 9.88% at the end of June 2026. The QoQ and YoY variations were driven by the same factors that drove the evolution of IFRS CET 1. The Regulatory Global Capital Ratio, in turn, stood at 20.61% (+30 bps QoQ), remaining comfortably above the minimum of 15.26% required by the regulator. This variation was driven by the same factors that drove IFRS CET 1. YoY, the ratio rose 100 bps, fueled by a Subordinated Debt issuance and growth in Retained Earnings, which offset growth in RWAs in a context of loan growth.</w:t>
      </w:r>
    </w:p>
    <w:p>
      <w:pPr>
        <w:pStyle w:val="TextBody"/>
        <w:bidi w:val="0"/>
        <w:ind w:left="0" w:right="0" w:hanging="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638175"/>
            <wp:effectExtent l="0" t="0" r="0" b="0"/>
            <wp:docPr id="15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4" descr=""/>
                    <pic:cNvPicPr>
                      <a:picLocks noChangeAspect="1" noChangeArrowheads="1"/>
                    </pic:cNvPicPr>
                  </pic:nvPicPr>
                  <pic:blipFill>
                    <a:blip r:embed="rId136"/>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5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5" descr=""/>
                          <pic:cNvPicPr>
                            <a:picLocks noChangeAspect="1" noChangeArrowheads="1"/>
                          </pic:cNvPicPr>
                        </pic:nvPicPr>
                        <pic:blipFill>
                          <a:blip r:embed="rId137"/>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3310" w:type="dxa"/>
        <w:jc w:val="left"/>
        <w:tblInd w:w="0" w:type="dxa"/>
        <w:tblLayout w:type="fixed"/>
        <w:tblCellMar>
          <w:top w:w="0" w:type="dxa"/>
          <w:left w:w="0" w:type="dxa"/>
          <w:bottom w:w="0" w:type="dxa"/>
          <w:right w:w="0" w:type="dxa"/>
        </w:tblCellMar>
      </w:tblPr>
      <w:tblGrid>
        <w:gridCol w:w="515"/>
        <w:gridCol w:w="2795"/>
      </w:tblGrid>
      <w:tr>
        <w:trPr/>
        <w:tc>
          <w:tcPr>
            <w:tcW w:w="515" w:type="dxa"/>
            <w:tcBorders/>
            <w:vAlign w:val="center"/>
          </w:tcPr>
          <w:p>
            <w:pPr>
              <w:pStyle w:val="TableContents"/>
              <w:bidi w:val="0"/>
              <w:spacing w:before="0" w:after="283"/>
              <w:jc w:val="left"/>
              <w:rPr>
                <w:b/>
                <w:sz w:val="48"/>
              </w:rPr>
            </w:pPr>
            <w:r>
              <w:rPr>
                <w:b/>
                <w:sz w:val="48"/>
              </w:rPr>
              <w:t>11</w:t>
            </w:r>
          </w:p>
        </w:tc>
        <w:tc>
          <w:tcPr>
            <w:tcW w:w="2795" w:type="dxa"/>
            <w:tcBorders/>
            <w:vAlign w:val="center"/>
          </w:tcPr>
          <w:p>
            <w:pPr>
              <w:pStyle w:val="TableContents"/>
              <w:bidi w:val="0"/>
              <w:spacing w:before="0" w:after="283"/>
              <w:jc w:val="left"/>
              <w:rPr>
                <w:sz w:val="36"/>
              </w:rPr>
            </w:pPr>
            <w:r>
              <w:rPr>
                <w:sz w:val="36"/>
              </w:rPr>
              <w:t>Economic Outlook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AAC" w:val="clear"/>
            <w:vAlign w:val="center"/>
          </w:tcPr>
          <w:p>
            <w:pPr>
              <w:pStyle w:val="TableContents"/>
              <w:bidi w:val="0"/>
              <w:spacing w:before="0" w:after="0"/>
              <w:ind w:left="18" w:right="18" w:hanging="0"/>
              <w:jc w:val="both"/>
              <w:rPr>
                <w:rFonts w:ascii="Times New Roman;Times;Serif" w:hAnsi="Times New Roman;Times;Serif"/>
                <w:b w:val="false"/>
                <w:i w:val="false"/>
                <w:caps w:val="false"/>
                <w:smallCaps w:val="false"/>
                <w:color w:val="FFFFFF"/>
                <w:sz w:val="20"/>
              </w:rPr>
            </w:pPr>
            <w:r>
              <w:rPr>
                <w:rFonts w:ascii="Times New Roman;Times;Serif" w:hAnsi="Times New Roman;Times;Serif"/>
                <w:b w:val="false"/>
                <w:i w:val="false"/>
                <w:caps w:val="false"/>
                <w:smallCaps w:val="false"/>
                <w:color w:val="FFFFFF"/>
                <w:sz w:val="20"/>
              </w:rPr>
              <w:t>In 2Q26, GDP is estimated to have grown around 3.0% YoY, slightly below 1Q26 (3.5%). Primary sectors contracted by about 5%, their sharpest decline since 2014, excluding the pandemic period, due to disruptions associated with the El Niño phenomenon. Meanwhile, non-primary sectors continued to expand at a solid pace of above 5% YoY.</w:t>
            </w:r>
          </w:p>
          <w:p>
            <w:pPr>
              <w:pStyle w:val="TableContents"/>
              <w:bidi w:val="0"/>
              <w:spacing w:before="0" w:after="0"/>
              <w:ind w:left="0" w:right="0" w:hanging="0"/>
              <w:jc w:val="both"/>
              <w:rPr>
                <w:color w:val="FFFFFF"/>
              </w:rPr>
            </w:pPr>
            <w:r>
              <w:rPr>
                <w:color w:val="FFFFFF"/>
              </w:rPr>
              <w:t>Inflation closed 2Q26 at 4.0% YoY (3.8% YoY in 1Q26), highest since October 2023 and above the upper bound of the BCRP’s target range (1%-3%) for the 4th consecutive month. Core inflation (exc. food and energy) ended at 4.5%, highest since June 2023; excluding transportation it stood at 1.6% YoY. As of July 2026, the BCRP holds its policy rate at 4.25% since October 2025. According to the BCRP, the exchange rate closed 1Q26 at PEN/USD 3.410, a 2.2% apreciation relative to the end of 2Q26.</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Peru: Economic Forecasts </w:t>
      </w:r>
    </w:p>
    <w:tbl>
      <w:tblPr>
        <w:tblW w:w="7230" w:type="dxa"/>
        <w:jc w:val="left"/>
        <w:tblInd w:w="0" w:type="dxa"/>
        <w:tblLayout w:type="fixed"/>
        <w:tblCellMar>
          <w:top w:w="0" w:type="dxa"/>
          <w:left w:w="0" w:type="dxa"/>
          <w:bottom w:w="0" w:type="dxa"/>
          <w:right w:w="0" w:type="dxa"/>
        </w:tblCellMar>
      </w:tblPr>
      <w:tblGrid>
        <w:gridCol w:w="4805"/>
        <w:gridCol w:w="440"/>
        <w:gridCol w:w="425"/>
        <w:gridCol w:w="440"/>
        <w:gridCol w:w="470"/>
        <w:gridCol w:w="650"/>
      </w:tblGrid>
      <w:tr>
        <w:trPr/>
        <w:tc>
          <w:tcPr>
            <w:tcW w:w="4805" w:type="dxa"/>
            <w:tcBorders/>
            <w:shd w:fill="2AD2C7" w:val="clear"/>
            <w:vAlign w:val="center"/>
          </w:tcPr>
          <w:p>
            <w:pPr>
              <w:pStyle w:val="TableContents"/>
              <w:bidi w:val="0"/>
              <w:spacing w:before="0" w:after="283"/>
              <w:jc w:val="center"/>
              <w:rPr>
                <w:b/>
                <w:color w:val="FFFFFF"/>
                <w:sz w:val="16"/>
              </w:rPr>
            </w:pPr>
            <w:r>
              <w:rPr>
                <w:b/>
                <w:color w:val="FFFFFF"/>
                <w:sz w:val="16"/>
              </w:rPr>
              <w:t>Peru</w:t>
            </w:r>
          </w:p>
        </w:tc>
        <w:tc>
          <w:tcPr>
            <w:tcW w:w="440" w:type="dxa"/>
            <w:tcBorders/>
            <w:shd w:fill="2AD2C7" w:val="clear"/>
            <w:vAlign w:val="center"/>
          </w:tcPr>
          <w:p>
            <w:pPr>
              <w:pStyle w:val="TableContents"/>
              <w:bidi w:val="0"/>
              <w:spacing w:before="0" w:after="283"/>
              <w:jc w:val="center"/>
              <w:rPr>
                <w:b/>
                <w:color w:val="FFFFFF"/>
                <w:sz w:val="16"/>
              </w:rPr>
            </w:pPr>
            <w:r>
              <w:rPr>
                <w:b/>
                <w:color w:val="FFFFFF"/>
                <w:sz w:val="16"/>
              </w:rPr>
              <w:t>2022</w:t>
            </w:r>
          </w:p>
        </w:tc>
        <w:tc>
          <w:tcPr>
            <w:tcW w:w="425" w:type="dxa"/>
            <w:tcBorders/>
            <w:shd w:fill="2AD2C7" w:val="clear"/>
            <w:vAlign w:val="center"/>
          </w:tcPr>
          <w:p>
            <w:pPr>
              <w:pStyle w:val="TableContents"/>
              <w:bidi w:val="0"/>
              <w:spacing w:before="0" w:after="283"/>
              <w:jc w:val="center"/>
              <w:rPr>
                <w:b/>
                <w:color w:val="FFFFFF"/>
                <w:sz w:val="16"/>
              </w:rPr>
            </w:pPr>
            <w:r>
              <w:rPr>
                <w:b/>
                <w:color w:val="FFFFFF"/>
                <w:sz w:val="16"/>
              </w:rPr>
              <w:t>2023</w:t>
            </w:r>
          </w:p>
        </w:tc>
        <w:tc>
          <w:tcPr>
            <w:tcW w:w="440" w:type="dxa"/>
            <w:tcBorders/>
            <w:shd w:fill="2AD2C7" w:val="clear"/>
            <w:vAlign w:val="center"/>
          </w:tcPr>
          <w:p>
            <w:pPr>
              <w:pStyle w:val="TableContents"/>
              <w:bidi w:val="0"/>
              <w:spacing w:before="0" w:after="283"/>
              <w:jc w:val="center"/>
              <w:rPr>
                <w:b/>
                <w:color w:val="FFFFFF"/>
                <w:sz w:val="16"/>
              </w:rPr>
            </w:pPr>
            <w:r>
              <w:rPr>
                <w:b/>
                <w:color w:val="FFFFFF"/>
                <w:sz w:val="16"/>
              </w:rPr>
              <w:t>2024</w:t>
            </w:r>
          </w:p>
        </w:tc>
        <w:tc>
          <w:tcPr>
            <w:tcW w:w="470" w:type="dxa"/>
            <w:tcBorders>
              <w:right w:val="single" w:sz="8" w:space="0" w:color="FFFFFF"/>
            </w:tcBorders>
            <w:shd w:fill="2AD2C7" w:val="clear"/>
            <w:tcMar>
              <w:right w:w="28" w:type="dxa"/>
            </w:tcMar>
            <w:vAlign w:val="center"/>
          </w:tcPr>
          <w:p>
            <w:pPr>
              <w:pStyle w:val="TableContents"/>
              <w:bidi w:val="0"/>
              <w:spacing w:before="0" w:after="283"/>
              <w:jc w:val="center"/>
              <w:rPr>
                <w:b/>
                <w:color w:val="FFFFFF"/>
                <w:sz w:val="16"/>
              </w:rPr>
            </w:pPr>
            <w:r>
              <w:rPr>
                <w:b/>
                <w:color w:val="FFFFFF"/>
                <w:sz w:val="16"/>
              </w:rPr>
              <w:t>2025</w:t>
            </w:r>
          </w:p>
        </w:tc>
        <w:tc>
          <w:tcPr>
            <w:tcW w:w="650" w:type="dxa"/>
            <w:tcBorders/>
            <w:shd w:fill="2AD2C7" w:val="clear"/>
            <w:vAlign w:val="center"/>
          </w:tcPr>
          <w:p>
            <w:pPr>
              <w:pStyle w:val="TableContents"/>
              <w:bidi w:val="0"/>
              <w:spacing w:lineRule="auto" w:line="240" w:before="0" w:after="283"/>
              <w:jc w:val="center"/>
              <w:rPr>
                <w:b/>
                <w:color w:val="FFFFFF"/>
                <w:sz w:val="16"/>
              </w:rPr>
            </w:pPr>
            <w:r>
              <w:rPr>
                <w:b/>
                <w:color w:val="FFFFFF"/>
                <w:sz w:val="16"/>
              </w:rPr>
              <w:t>2026 (4)</w:t>
            </w:r>
          </w:p>
        </w:tc>
      </w:tr>
      <w:tr>
        <w:trPr/>
        <w:tc>
          <w:tcPr>
            <w:tcW w:w="4805" w:type="dxa"/>
            <w:tcBorders/>
            <w:vAlign w:val="center"/>
          </w:tcPr>
          <w:p>
            <w:pPr>
              <w:pStyle w:val="TableContents"/>
              <w:bidi w:val="0"/>
              <w:spacing w:before="0" w:after="283"/>
              <w:jc w:val="left"/>
              <w:rPr>
                <w:sz w:val="16"/>
              </w:rPr>
            </w:pPr>
            <w:r>
              <w:rPr>
                <w:sz w:val="16"/>
              </w:rPr>
              <w:t>GDP (US$ bn)</w:t>
            </w:r>
          </w:p>
        </w:tc>
        <w:tc>
          <w:tcPr>
            <w:tcW w:w="440" w:type="dxa"/>
            <w:tcBorders/>
            <w:vAlign w:val="center"/>
          </w:tcPr>
          <w:p>
            <w:pPr>
              <w:pStyle w:val="TableContents"/>
              <w:bidi w:val="0"/>
              <w:spacing w:before="0" w:after="283"/>
              <w:jc w:val="center"/>
              <w:rPr>
                <w:sz w:val="16"/>
              </w:rPr>
            </w:pPr>
            <w:r>
              <w:rPr>
                <w:sz w:val="16"/>
              </w:rPr>
              <w:t>249</w:t>
            </w:r>
          </w:p>
        </w:tc>
        <w:tc>
          <w:tcPr>
            <w:tcW w:w="425" w:type="dxa"/>
            <w:tcBorders/>
            <w:vAlign w:val="center"/>
          </w:tcPr>
          <w:p>
            <w:pPr>
              <w:pStyle w:val="TableContents"/>
              <w:bidi w:val="0"/>
              <w:spacing w:before="0" w:after="283"/>
              <w:jc w:val="center"/>
              <w:rPr>
                <w:sz w:val="16"/>
              </w:rPr>
            </w:pPr>
            <w:r>
              <w:rPr>
                <w:sz w:val="16"/>
              </w:rPr>
              <w:t>272</w:t>
            </w:r>
          </w:p>
        </w:tc>
        <w:tc>
          <w:tcPr>
            <w:tcW w:w="440" w:type="dxa"/>
            <w:tcBorders/>
            <w:vAlign w:val="center"/>
          </w:tcPr>
          <w:p>
            <w:pPr>
              <w:pStyle w:val="TableContents"/>
              <w:bidi w:val="0"/>
              <w:spacing w:before="0" w:after="283"/>
              <w:jc w:val="center"/>
              <w:rPr>
                <w:sz w:val="16"/>
              </w:rPr>
            </w:pPr>
            <w:r>
              <w:rPr>
                <w:sz w:val="16"/>
              </w:rPr>
              <w:t>296</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341</w:t>
            </w:r>
          </w:p>
        </w:tc>
        <w:tc>
          <w:tcPr>
            <w:tcW w:w="650" w:type="dxa"/>
            <w:tcBorders/>
            <w:shd w:fill="D9D9D9" w:val="clear"/>
            <w:vAlign w:val="center"/>
          </w:tcPr>
          <w:p>
            <w:pPr>
              <w:pStyle w:val="TableContents"/>
              <w:bidi w:val="0"/>
              <w:spacing w:before="0" w:after="283"/>
              <w:jc w:val="center"/>
              <w:rPr>
                <w:sz w:val="16"/>
              </w:rPr>
            </w:pPr>
            <w:r>
              <w:rPr>
                <w:sz w:val="16"/>
              </w:rPr>
              <w:t>391</w:t>
            </w:r>
          </w:p>
        </w:tc>
      </w:tr>
      <w:tr>
        <w:trPr/>
        <w:tc>
          <w:tcPr>
            <w:tcW w:w="4805" w:type="dxa"/>
            <w:tcBorders/>
            <w:vAlign w:val="center"/>
          </w:tcPr>
          <w:p>
            <w:pPr>
              <w:pStyle w:val="TableContents"/>
              <w:bidi w:val="0"/>
              <w:spacing w:before="0" w:after="283"/>
              <w:jc w:val="left"/>
              <w:rPr>
                <w:sz w:val="16"/>
              </w:rPr>
            </w:pPr>
            <w:r>
              <w:rPr>
                <w:sz w:val="16"/>
              </w:rPr>
              <w:t>Real GDP (% change)</w:t>
            </w:r>
          </w:p>
        </w:tc>
        <w:tc>
          <w:tcPr>
            <w:tcW w:w="440" w:type="dxa"/>
            <w:tcBorders/>
            <w:vAlign w:val="center"/>
          </w:tcPr>
          <w:p>
            <w:pPr>
              <w:pStyle w:val="TableContents"/>
              <w:bidi w:val="0"/>
              <w:spacing w:before="0" w:after="283"/>
              <w:jc w:val="center"/>
              <w:rPr>
                <w:sz w:val="16"/>
              </w:rPr>
            </w:pPr>
            <w:r>
              <w:rPr>
                <w:sz w:val="16"/>
              </w:rPr>
              <w:t>2.8</w:t>
            </w:r>
          </w:p>
        </w:tc>
        <w:tc>
          <w:tcPr>
            <w:tcW w:w="425" w:type="dxa"/>
            <w:tcBorders/>
            <w:vAlign w:val="center"/>
          </w:tcPr>
          <w:p>
            <w:pPr>
              <w:pStyle w:val="TableContents"/>
              <w:bidi w:val="0"/>
              <w:spacing w:before="0" w:after="283"/>
              <w:jc w:val="center"/>
              <w:rPr>
                <w:sz w:val="16"/>
              </w:rPr>
            </w:pPr>
            <w:r>
              <w:rPr>
                <w:sz w:val="16"/>
              </w:rPr>
              <w:t>-0.4</w:t>
            </w:r>
          </w:p>
        </w:tc>
        <w:tc>
          <w:tcPr>
            <w:tcW w:w="440" w:type="dxa"/>
            <w:tcBorders/>
            <w:vAlign w:val="center"/>
          </w:tcPr>
          <w:p>
            <w:pPr>
              <w:pStyle w:val="TableContents"/>
              <w:bidi w:val="0"/>
              <w:spacing w:before="0" w:after="283"/>
              <w:jc w:val="center"/>
              <w:rPr>
                <w:sz w:val="16"/>
              </w:rPr>
            </w:pPr>
            <w:r>
              <w:rPr>
                <w:sz w:val="16"/>
              </w:rPr>
              <w:t>3.5</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3.4</w:t>
            </w:r>
          </w:p>
        </w:tc>
        <w:tc>
          <w:tcPr>
            <w:tcW w:w="650" w:type="dxa"/>
            <w:tcBorders/>
            <w:shd w:fill="D9D9D9" w:val="clear"/>
            <w:vAlign w:val="center"/>
          </w:tcPr>
          <w:p>
            <w:pPr>
              <w:pStyle w:val="TableContents"/>
              <w:bidi w:val="0"/>
              <w:spacing w:before="0" w:after="283"/>
              <w:jc w:val="center"/>
              <w:rPr>
                <w:sz w:val="16"/>
              </w:rPr>
            </w:pPr>
            <w:r>
              <w:rPr>
                <w:sz w:val="16"/>
              </w:rPr>
              <w:t>3.2</w:t>
            </w:r>
          </w:p>
        </w:tc>
      </w:tr>
      <w:tr>
        <w:trPr/>
        <w:tc>
          <w:tcPr>
            <w:tcW w:w="4805" w:type="dxa"/>
            <w:tcBorders/>
            <w:vAlign w:val="center"/>
          </w:tcPr>
          <w:p>
            <w:pPr>
              <w:pStyle w:val="TableContents"/>
              <w:bidi w:val="0"/>
              <w:spacing w:before="0" w:after="283"/>
              <w:jc w:val="left"/>
              <w:rPr>
                <w:sz w:val="16"/>
              </w:rPr>
            </w:pPr>
            <w:r>
              <w:rPr>
                <w:sz w:val="16"/>
              </w:rPr>
              <w:t>GDP per capita (US$)</w:t>
            </w:r>
          </w:p>
        </w:tc>
        <w:tc>
          <w:tcPr>
            <w:tcW w:w="440" w:type="dxa"/>
            <w:tcBorders/>
            <w:vAlign w:val="center"/>
          </w:tcPr>
          <w:p>
            <w:pPr>
              <w:pStyle w:val="TableContents"/>
              <w:bidi w:val="0"/>
              <w:spacing w:before="0" w:after="283"/>
              <w:jc w:val="center"/>
              <w:rPr>
                <w:sz w:val="16"/>
              </w:rPr>
            </w:pPr>
            <w:r>
              <w:rPr>
                <w:sz w:val="16"/>
              </w:rPr>
              <w:t>7,442</w:t>
            </w:r>
          </w:p>
        </w:tc>
        <w:tc>
          <w:tcPr>
            <w:tcW w:w="425" w:type="dxa"/>
            <w:tcBorders/>
            <w:vAlign w:val="center"/>
          </w:tcPr>
          <w:p>
            <w:pPr>
              <w:pStyle w:val="TableContents"/>
              <w:bidi w:val="0"/>
              <w:spacing w:before="0" w:after="283"/>
              <w:jc w:val="center"/>
              <w:rPr>
                <w:sz w:val="16"/>
              </w:rPr>
            </w:pPr>
            <w:r>
              <w:rPr>
                <w:sz w:val="16"/>
              </w:rPr>
              <w:t>8,159</w:t>
            </w:r>
          </w:p>
        </w:tc>
        <w:tc>
          <w:tcPr>
            <w:tcW w:w="440" w:type="dxa"/>
            <w:tcBorders/>
            <w:vAlign w:val="center"/>
          </w:tcPr>
          <w:p>
            <w:pPr>
              <w:pStyle w:val="TableContents"/>
              <w:bidi w:val="0"/>
              <w:spacing w:before="0" w:after="283"/>
              <w:jc w:val="center"/>
              <w:rPr>
                <w:sz w:val="16"/>
              </w:rPr>
            </w:pPr>
            <w:r>
              <w:rPr>
                <w:sz w:val="16"/>
              </w:rPr>
              <w:t>8,673</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9,926</w:t>
            </w:r>
          </w:p>
        </w:tc>
        <w:tc>
          <w:tcPr>
            <w:tcW w:w="650" w:type="dxa"/>
            <w:tcBorders/>
            <w:shd w:fill="D9D9D9" w:val="clear"/>
            <w:vAlign w:val="center"/>
          </w:tcPr>
          <w:p>
            <w:pPr>
              <w:pStyle w:val="TableContents"/>
              <w:bidi w:val="0"/>
              <w:spacing w:before="0" w:after="283"/>
              <w:jc w:val="center"/>
              <w:rPr>
                <w:sz w:val="16"/>
              </w:rPr>
            </w:pPr>
            <w:r>
              <w:rPr>
                <w:sz w:val="16"/>
              </w:rPr>
              <w:t>11,254</w:t>
            </w:r>
          </w:p>
        </w:tc>
      </w:tr>
      <w:tr>
        <w:trPr/>
        <w:tc>
          <w:tcPr>
            <w:tcW w:w="4805" w:type="dxa"/>
            <w:tcBorders>
              <w:bottom w:val="single" w:sz="8" w:space="0" w:color="2AD2C7"/>
            </w:tcBorders>
            <w:tcMar>
              <w:bottom w:w="28" w:type="dxa"/>
            </w:tcMar>
            <w:vAlign w:val="center"/>
          </w:tcPr>
          <w:p>
            <w:pPr>
              <w:pStyle w:val="TableContents"/>
              <w:bidi w:val="0"/>
              <w:spacing w:before="0" w:after="283"/>
              <w:jc w:val="left"/>
              <w:rPr>
                <w:sz w:val="16"/>
              </w:rPr>
            </w:pPr>
            <w:r>
              <w:rPr>
                <w:sz w:val="16"/>
              </w:rPr>
              <w:t>Domestic demand (% change)</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2.4</w:t>
            </w:r>
          </w:p>
        </w:tc>
        <w:tc>
          <w:tcPr>
            <w:tcW w:w="425" w:type="dxa"/>
            <w:tcBorders>
              <w:bottom w:val="single" w:sz="8" w:space="0" w:color="2AD2C7"/>
            </w:tcBorders>
            <w:tcMar>
              <w:bottom w:w="28" w:type="dxa"/>
            </w:tcMar>
            <w:vAlign w:val="center"/>
          </w:tcPr>
          <w:p>
            <w:pPr>
              <w:pStyle w:val="TableContents"/>
              <w:bidi w:val="0"/>
              <w:spacing w:before="0" w:after="283"/>
              <w:jc w:val="center"/>
              <w:rPr>
                <w:sz w:val="16"/>
              </w:rPr>
            </w:pPr>
            <w:r>
              <w:rPr>
                <w:sz w:val="16"/>
              </w:rPr>
              <w:t>-1.0</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4.0</w:t>
            </w:r>
          </w:p>
        </w:tc>
        <w:tc>
          <w:tcPr>
            <w:tcW w:w="470" w:type="dxa"/>
            <w:tcBorders>
              <w:bottom w:val="single" w:sz="8" w:space="0" w:color="2AD2C7"/>
              <w:right w:val="single" w:sz="8" w:space="0" w:color="FFFFFF"/>
            </w:tcBorders>
            <w:tcMar>
              <w:bottom w:w="28" w:type="dxa"/>
              <w:right w:w="28" w:type="dxa"/>
            </w:tcMar>
            <w:vAlign w:val="center"/>
          </w:tcPr>
          <w:p>
            <w:pPr>
              <w:pStyle w:val="TableContents"/>
              <w:bidi w:val="0"/>
              <w:spacing w:before="0" w:after="283"/>
              <w:jc w:val="center"/>
              <w:rPr>
                <w:sz w:val="16"/>
              </w:rPr>
            </w:pPr>
            <w:r>
              <w:rPr>
                <w:sz w:val="16"/>
              </w:rPr>
              <w:t>5.8</w:t>
            </w:r>
          </w:p>
        </w:tc>
        <w:tc>
          <w:tcPr>
            <w:tcW w:w="650" w:type="dxa"/>
            <w:tcBorders>
              <w:bottom w:val="single" w:sz="8" w:space="0" w:color="2AD2C7"/>
            </w:tcBorders>
            <w:shd w:fill="D9D9D9" w:val="clear"/>
            <w:tcMar>
              <w:bottom w:w="28" w:type="dxa"/>
            </w:tcMar>
            <w:vAlign w:val="center"/>
          </w:tcPr>
          <w:p>
            <w:pPr>
              <w:pStyle w:val="TableContents"/>
              <w:bidi w:val="0"/>
              <w:spacing w:before="0" w:after="283"/>
              <w:jc w:val="center"/>
              <w:rPr>
                <w:sz w:val="16"/>
              </w:rPr>
            </w:pPr>
            <w:r>
              <w:rPr>
                <w:sz w:val="16"/>
              </w:rPr>
              <w:t>5.3</w:t>
            </w:r>
          </w:p>
        </w:tc>
      </w:tr>
      <w:tr>
        <w:trPr/>
        <w:tc>
          <w:tcPr>
            <w:tcW w:w="4805" w:type="dxa"/>
            <w:tcBorders/>
            <w:vAlign w:val="center"/>
          </w:tcPr>
          <w:p>
            <w:pPr>
              <w:pStyle w:val="TableContents"/>
              <w:bidi w:val="0"/>
              <w:spacing w:lineRule="auto" w:line="240" w:before="0" w:after="283"/>
              <w:jc w:val="left"/>
              <w:rPr>
                <w:sz w:val="16"/>
              </w:rPr>
            </w:pPr>
            <w:r>
              <w:rPr>
                <w:sz w:val="16"/>
              </w:rPr>
              <w:t>Financial system loan excluding Reactiva (% change) (1)</w:t>
            </w:r>
          </w:p>
        </w:tc>
        <w:tc>
          <w:tcPr>
            <w:tcW w:w="440" w:type="dxa"/>
            <w:tcBorders/>
            <w:vAlign w:val="center"/>
          </w:tcPr>
          <w:p>
            <w:pPr>
              <w:pStyle w:val="TableContents"/>
              <w:bidi w:val="0"/>
              <w:spacing w:before="0" w:after="283"/>
              <w:jc w:val="center"/>
              <w:rPr>
                <w:sz w:val="16"/>
              </w:rPr>
            </w:pPr>
            <w:r>
              <w:rPr>
                <w:sz w:val="16"/>
              </w:rPr>
              <w:t>9.7</w:t>
            </w:r>
          </w:p>
        </w:tc>
        <w:tc>
          <w:tcPr>
            <w:tcW w:w="425" w:type="dxa"/>
            <w:tcBorders/>
            <w:vAlign w:val="center"/>
          </w:tcPr>
          <w:p>
            <w:pPr>
              <w:pStyle w:val="TableContents"/>
              <w:bidi w:val="0"/>
              <w:spacing w:before="0" w:after="283"/>
              <w:jc w:val="center"/>
              <w:rPr>
                <w:sz w:val="16"/>
              </w:rPr>
            </w:pPr>
            <w:r>
              <w:rPr>
                <w:sz w:val="16"/>
              </w:rPr>
              <w:t>2.8</w:t>
            </w:r>
          </w:p>
        </w:tc>
        <w:tc>
          <w:tcPr>
            <w:tcW w:w="440" w:type="dxa"/>
            <w:tcBorders/>
            <w:vAlign w:val="center"/>
          </w:tcPr>
          <w:p>
            <w:pPr>
              <w:pStyle w:val="TableContents"/>
              <w:bidi w:val="0"/>
              <w:spacing w:before="0" w:after="283"/>
              <w:jc w:val="center"/>
              <w:rPr>
                <w:sz w:val="16"/>
              </w:rPr>
            </w:pPr>
            <w:r>
              <w:rPr>
                <w:sz w:val="16"/>
              </w:rPr>
              <w:t>1.3</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4.4</w:t>
            </w:r>
          </w:p>
        </w:tc>
        <w:tc>
          <w:tcPr>
            <w:tcW w:w="650" w:type="dxa"/>
            <w:tcBorders/>
            <w:shd w:fill="D9D9D9" w:val="clear"/>
            <w:vAlign w:val="center"/>
          </w:tcPr>
          <w:p>
            <w:pPr>
              <w:pStyle w:val="TableContents"/>
              <w:bidi w:val="0"/>
              <w:spacing w:before="0" w:after="283"/>
              <w:jc w:val="center"/>
              <w:rPr>
                <w:sz w:val="16"/>
              </w:rPr>
            </w:pPr>
            <w:r>
              <w:rPr>
                <w:sz w:val="16"/>
              </w:rPr>
              <w:t>8.2</w:t>
            </w:r>
          </w:p>
        </w:tc>
      </w:tr>
      <w:tr>
        <w:trPr/>
        <w:tc>
          <w:tcPr>
            <w:tcW w:w="4805" w:type="dxa"/>
            <w:tcBorders>
              <w:bottom w:val="single" w:sz="8" w:space="0" w:color="2AD2C7"/>
            </w:tcBorders>
            <w:tcMar>
              <w:bottom w:w="28" w:type="dxa"/>
            </w:tcMar>
            <w:vAlign w:val="center"/>
          </w:tcPr>
          <w:p>
            <w:pPr>
              <w:pStyle w:val="TableContents"/>
              <w:bidi w:val="0"/>
              <w:spacing w:lineRule="auto" w:line="240" w:before="0" w:after="283"/>
              <w:jc w:val="left"/>
              <w:rPr>
                <w:sz w:val="16"/>
              </w:rPr>
            </w:pPr>
            <w:r>
              <w:rPr>
                <w:sz w:val="16"/>
              </w:rPr>
              <w:t>Financial system loan excluding Reactiva, FX neutral (% change) (1)</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10.9</w:t>
            </w:r>
          </w:p>
        </w:tc>
        <w:tc>
          <w:tcPr>
            <w:tcW w:w="425" w:type="dxa"/>
            <w:tcBorders>
              <w:bottom w:val="single" w:sz="8" w:space="0" w:color="2AD2C7"/>
            </w:tcBorders>
            <w:tcMar>
              <w:bottom w:w="28" w:type="dxa"/>
            </w:tcMar>
            <w:vAlign w:val="center"/>
          </w:tcPr>
          <w:p>
            <w:pPr>
              <w:pStyle w:val="TableContents"/>
              <w:bidi w:val="0"/>
              <w:spacing w:before="0" w:after="283"/>
              <w:jc w:val="center"/>
              <w:rPr>
                <w:sz w:val="16"/>
              </w:rPr>
            </w:pPr>
            <w:r>
              <w:rPr>
                <w:sz w:val="16"/>
              </w:rPr>
              <w:t>3.6</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0.9</w:t>
            </w:r>
          </w:p>
        </w:tc>
        <w:tc>
          <w:tcPr>
            <w:tcW w:w="470" w:type="dxa"/>
            <w:tcBorders>
              <w:bottom w:val="single" w:sz="8" w:space="0" w:color="2AD2C7"/>
              <w:right w:val="single" w:sz="8" w:space="0" w:color="FFFFFF"/>
            </w:tcBorders>
            <w:tcMar>
              <w:bottom w:w="28" w:type="dxa"/>
              <w:right w:w="28" w:type="dxa"/>
            </w:tcMar>
            <w:vAlign w:val="center"/>
          </w:tcPr>
          <w:p>
            <w:pPr>
              <w:pStyle w:val="TableContents"/>
              <w:bidi w:val="0"/>
              <w:spacing w:before="0" w:after="283"/>
              <w:jc w:val="center"/>
              <w:rPr>
                <w:sz w:val="16"/>
              </w:rPr>
            </w:pPr>
            <w:r>
              <w:rPr>
                <w:sz w:val="16"/>
              </w:rPr>
              <w:t>7.3</w:t>
            </w:r>
          </w:p>
        </w:tc>
        <w:tc>
          <w:tcPr>
            <w:tcW w:w="650" w:type="dxa"/>
            <w:tcBorders>
              <w:bottom w:val="single" w:sz="8" w:space="0" w:color="2AD2C7"/>
            </w:tcBorders>
            <w:shd w:fill="D9D9D9" w:val="clear"/>
            <w:tcMar>
              <w:bottom w:w="28" w:type="dxa"/>
            </w:tcMar>
            <w:vAlign w:val="center"/>
          </w:tcPr>
          <w:p>
            <w:pPr>
              <w:pStyle w:val="TableContents"/>
              <w:bidi w:val="0"/>
              <w:spacing w:before="0" w:after="283"/>
              <w:jc w:val="center"/>
              <w:rPr>
                <w:sz w:val="16"/>
              </w:rPr>
            </w:pPr>
            <w:r>
              <w:rPr>
                <w:sz w:val="16"/>
              </w:rPr>
              <w:t>9.0</w:t>
            </w:r>
          </w:p>
        </w:tc>
      </w:tr>
      <w:tr>
        <w:trPr/>
        <w:tc>
          <w:tcPr>
            <w:tcW w:w="4805" w:type="dxa"/>
            <w:tcBorders>
              <w:bottom w:val="single" w:sz="8" w:space="0" w:color="2AD2C7"/>
            </w:tcBorders>
            <w:tcMar>
              <w:bottom w:w="28" w:type="dxa"/>
            </w:tcMar>
            <w:vAlign w:val="center"/>
          </w:tcPr>
          <w:p>
            <w:pPr>
              <w:pStyle w:val="TableContents"/>
              <w:bidi w:val="0"/>
              <w:spacing w:lineRule="auto" w:line="240" w:before="0" w:after="283"/>
              <w:jc w:val="left"/>
              <w:rPr>
                <w:sz w:val="16"/>
              </w:rPr>
            </w:pPr>
            <w:r>
              <w:rPr>
                <w:sz w:val="16"/>
              </w:rPr>
              <w:t>Inflation, end of period (2)</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8.5</w:t>
            </w:r>
          </w:p>
        </w:tc>
        <w:tc>
          <w:tcPr>
            <w:tcW w:w="425" w:type="dxa"/>
            <w:tcBorders>
              <w:bottom w:val="single" w:sz="8" w:space="0" w:color="2AD2C7"/>
            </w:tcBorders>
            <w:tcMar>
              <w:bottom w:w="28" w:type="dxa"/>
            </w:tcMar>
            <w:vAlign w:val="center"/>
          </w:tcPr>
          <w:p>
            <w:pPr>
              <w:pStyle w:val="TableContents"/>
              <w:bidi w:val="0"/>
              <w:spacing w:before="0" w:after="283"/>
              <w:jc w:val="center"/>
              <w:rPr>
                <w:sz w:val="16"/>
              </w:rPr>
            </w:pPr>
            <w:r>
              <w:rPr>
                <w:sz w:val="16"/>
              </w:rPr>
              <w:t>3.2</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2.0</w:t>
            </w:r>
          </w:p>
        </w:tc>
        <w:tc>
          <w:tcPr>
            <w:tcW w:w="470" w:type="dxa"/>
            <w:tcBorders>
              <w:bottom w:val="single" w:sz="8" w:space="0" w:color="2AD2C7"/>
              <w:right w:val="single" w:sz="8" w:space="0" w:color="FFFFFF"/>
            </w:tcBorders>
            <w:tcMar>
              <w:bottom w:w="28" w:type="dxa"/>
              <w:right w:w="28" w:type="dxa"/>
            </w:tcMar>
            <w:vAlign w:val="center"/>
          </w:tcPr>
          <w:p>
            <w:pPr>
              <w:pStyle w:val="TableContents"/>
              <w:bidi w:val="0"/>
              <w:spacing w:before="0" w:after="283"/>
              <w:jc w:val="center"/>
              <w:rPr>
                <w:sz w:val="16"/>
              </w:rPr>
            </w:pPr>
            <w:r>
              <w:rPr>
                <w:sz w:val="16"/>
              </w:rPr>
              <w:t>1.5</w:t>
            </w:r>
          </w:p>
        </w:tc>
        <w:tc>
          <w:tcPr>
            <w:tcW w:w="650" w:type="dxa"/>
            <w:tcBorders>
              <w:bottom w:val="single" w:sz="8" w:space="0" w:color="2AD2C7"/>
            </w:tcBorders>
            <w:shd w:fill="D9D9D9" w:val="clear"/>
            <w:tcMar>
              <w:bottom w:w="28" w:type="dxa"/>
            </w:tcMar>
            <w:vAlign w:val="center"/>
          </w:tcPr>
          <w:p>
            <w:pPr>
              <w:pStyle w:val="TableContents"/>
              <w:bidi w:val="0"/>
              <w:spacing w:before="0" w:after="283"/>
              <w:jc w:val="center"/>
              <w:rPr>
                <w:sz w:val="16"/>
              </w:rPr>
            </w:pPr>
            <w:r>
              <w:rPr>
                <w:sz w:val="16"/>
              </w:rPr>
              <w:t>4.2</w:t>
            </w:r>
          </w:p>
        </w:tc>
      </w:tr>
      <w:tr>
        <w:trPr/>
        <w:tc>
          <w:tcPr>
            <w:tcW w:w="4805" w:type="dxa"/>
            <w:tcBorders>
              <w:bottom w:val="single" w:sz="8" w:space="0" w:color="2AD2C7"/>
            </w:tcBorders>
            <w:tcMar>
              <w:bottom w:w="28" w:type="dxa"/>
            </w:tcMar>
            <w:vAlign w:val="center"/>
          </w:tcPr>
          <w:p>
            <w:pPr>
              <w:pStyle w:val="TableContents"/>
              <w:bidi w:val="0"/>
              <w:spacing w:before="0" w:after="283"/>
              <w:jc w:val="left"/>
              <w:rPr>
                <w:sz w:val="16"/>
              </w:rPr>
            </w:pPr>
            <w:r>
              <w:rPr>
                <w:sz w:val="16"/>
              </w:rPr>
              <w:t>Reference Rate, end of period</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7.50</w:t>
            </w:r>
          </w:p>
        </w:tc>
        <w:tc>
          <w:tcPr>
            <w:tcW w:w="425" w:type="dxa"/>
            <w:tcBorders>
              <w:bottom w:val="single" w:sz="8" w:space="0" w:color="2AD2C7"/>
            </w:tcBorders>
            <w:tcMar>
              <w:bottom w:w="28" w:type="dxa"/>
            </w:tcMar>
            <w:vAlign w:val="center"/>
          </w:tcPr>
          <w:p>
            <w:pPr>
              <w:pStyle w:val="TableContents"/>
              <w:bidi w:val="0"/>
              <w:spacing w:before="0" w:after="283"/>
              <w:jc w:val="center"/>
              <w:rPr>
                <w:sz w:val="16"/>
              </w:rPr>
            </w:pPr>
            <w:r>
              <w:rPr>
                <w:sz w:val="16"/>
              </w:rPr>
              <w:t>6.75</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5.00</w:t>
            </w:r>
          </w:p>
        </w:tc>
        <w:tc>
          <w:tcPr>
            <w:tcW w:w="470" w:type="dxa"/>
            <w:tcBorders>
              <w:bottom w:val="single" w:sz="8" w:space="0" w:color="2AD2C7"/>
              <w:right w:val="single" w:sz="8" w:space="0" w:color="FFFFFF"/>
            </w:tcBorders>
            <w:tcMar>
              <w:bottom w:w="28" w:type="dxa"/>
              <w:right w:w="28" w:type="dxa"/>
            </w:tcMar>
            <w:vAlign w:val="center"/>
          </w:tcPr>
          <w:p>
            <w:pPr>
              <w:pStyle w:val="TableContents"/>
              <w:bidi w:val="0"/>
              <w:spacing w:before="0" w:after="283"/>
              <w:jc w:val="center"/>
              <w:rPr>
                <w:sz w:val="16"/>
              </w:rPr>
            </w:pPr>
            <w:r>
              <w:rPr>
                <w:sz w:val="16"/>
              </w:rPr>
              <w:t>4.25</w:t>
            </w:r>
          </w:p>
        </w:tc>
        <w:tc>
          <w:tcPr>
            <w:tcW w:w="650" w:type="dxa"/>
            <w:tcBorders>
              <w:bottom w:val="single" w:sz="8" w:space="0" w:color="2AD2C7"/>
            </w:tcBorders>
            <w:shd w:fill="D9D9D9" w:val="clear"/>
            <w:tcMar>
              <w:bottom w:w="28" w:type="dxa"/>
            </w:tcMar>
            <w:vAlign w:val="center"/>
          </w:tcPr>
          <w:p>
            <w:pPr>
              <w:pStyle w:val="TableContents"/>
              <w:bidi w:val="0"/>
              <w:spacing w:before="0" w:after="283"/>
              <w:jc w:val="center"/>
              <w:rPr>
                <w:sz w:val="16"/>
              </w:rPr>
            </w:pPr>
            <w:r>
              <w:rPr>
                <w:sz w:val="16"/>
              </w:rPr>
              <w:t>4.25</w:t>
            </w:r>
          </w:p>
        </w:tc>
      </w:tr>
      <w:tr>
        <w:trPr/>
        <w:tc>
          <w:tcPr>
            <w:tcW w:w="4805" w:type="dxa"/>
            <w:tcBorders/>
            <w:vAlign w:val="center"/>
          </w:tcPr>
          <w:p>
            <w:pPr>
              <w:pStyle w:val="TableContents"/>
              <w:bidi w:val="0"/>
              <w:spacing w:before="0" w:after="283"/>
              <w:jc w:val="left"/>
              <w:rPr>
                <w:sz w:val="16"/>
              </w:rPr>
            </w:pPr>
            <w:r>
              <w:rPr>
                <w:sz w:val="16"/>
              </w:rPr>
              <w:t>Exchange rate, end of period</w:t>
            </w:r>
          </w:p>
        </w:tc>
        <w:tc>
          <w:tcPr>
            <w:tcW w:w="440" w:type="dxa"/>
            <w:tcBorders/>
            <w:vAlign w:val="center"/>
          </w:tcPr>
          <w:p>
            <w:pPr>
              <w:pStyle w:val="TableContents"/>
              <w:bidi w:val="0"/>
              <w:spacing w:before="0" w:after="283"/>
              <w:jc w:val="center"/>
              <w:rPr>
                <w:sz w:val="16"/>
              </w:rPr>
            </w:pPr>
            <w:r>
              <w:rPr>
                <w:sz w:val="16"/>
              </w:rPr>
              <w:t>3.81</w:t>
            </w:r>
          </w:p>
        </w:tc>
        <w:tc>
          <w:tcPr>
            <w:tcW w:w="425" w:type="dxa"/>
            <w:tcBorders/>
            <w:vAlign w:val="center"/>
          </w:tcPr>
          <w:p>
            <w:pPr>
              <w:pStyle w:val="TableContents"/>
              <w:bidi w:val="0"/>
              <w:spacing w:before="0" w:after="283"/>
              <w:jc w:val="center"/>
              <w:rPr>
                <w:sz w:val="16"/>
              </w:rPr>
            </w:pPr>
            <w:r>
              <w:rPr>
                <w:sz w:val="16"/>
              </w:rPr>
              <w:t>3.71</w:t>
            </w:r>
          </w:p>
        </w:tc>
        <w:tc>
          <w:tcPr>
            <w:tcW w:w="440" w:type="dxa"/>
            <w:tcBorders/>
            <w:vAlign w:val="center"/>
          </w:tcPr>
          <w:p>
            <w:pPr>
              <w:pStyle w:val="TableContents"/>
              <w:bidi w:val="0"/>
              <w:spacing w:before="0" w:after="283"/>
              <w:jc w:val="center"/>
              <w:rPr>
                <w:sz w:val="16"/>
              </w:rPr>
            </w:pPr>
            <w:r>
              <w:rPr>
                <w:sz w:val="16"/>
              </w:rPr>
              <w:t>3.76</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3.36</w:t>
            </w:r>
          </w:p>
        </w:tc>
        <w:tc>
          <w:tcPr>
            <w:tcW w:w="650" w:type="dxa"/>
            <w:tcBorders/>
            <w:shd w:fill="D9D9D9" w:val="clear"/>
            <w:vAlign w:val="center"/>
          </w:tcPr>
          <w:p>
            <w:pPr>
              <w:pStyle w:val="TableContents"/>
              <w:bidi w:val="0"/>
              <w:spacing w:before="0" w:after="283"/>
              <w:jc w:val="center"/>
              <w:rPr>
                <w:sz w:val="16"/>
              </w:rPr>
            </w:pPr>
            <w:r>
              <w:rPr>
                <w:sz w:val="16"/>
              </w:rPr>
              <w:t>3.25</w:t>
            </w:r>
          </w:p>
        </w:tc>
      </w:tr>
      <w:tr>
        <w:trPr/>
        <w:tc>
          <w:tcPr>
            <w:tcW w:w="4805" w:type="dxa"/>
            <w:tcBorders>
              <w:bottom w:val="single" w:sz="8" w:space="0" w:color="2AD2C7"/>
            </w:tcBorders>
            <w:tcMar>
              <w:bottom w:w="28" w:type="dxa"/>
            </w:tcMar>
            <w:vAlign w:val="center"/>
          </w:tcPr>
          <w:p>
            <w:pPr>
              <w:pStyle w:val="TableContents"/>
              <w:bidi w:val="0"/>
              <w:spacing w:lineRule="auto" w:line="240" w:before="0" w:after="283"/>
              <w:jc w:val="left"/>
              <w:rPr>
                <w:sz w:val="16"/>
              </w:rPr>
            </w:pPr>
            <w:r>
              <w:rPr>
                <w:sz w:val="16"/>
              </w:rPr>
              <w:t>Exchange rate, (% change) (3)</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4.5%</w:t>
            </w:r>
          </w:p>
        </w:tc>
        <w:tc>
          <w:tcPr>
            <w:tcW w:w="425" w:type="dxa"/>
            <w:tcBorders>
              <w:bottom w:val="single" w:sz="8" w:space="0" w:color="2AD2C7"/>
            </w:tcBorders>
            <w:tcMar>
              <w:bottom w:w="28" w:type="dxa"/>
            </w:tcMar>
            <w:vAlign w:val="center"/>
          </w:tcPr>
          <w:p>
            <w:pPr>
              <w:pStyle w:val="TableContents"/>
              <w:bidi w:val="0"/>
              <w:spacing w:before="0" w:after="283"/>
              <w:jc w:val="center"/>
              <w:rPr>
                <w:sz w:val="16"/>
              </w:rPr>
            </w:pPr>
            <w:r>
              <w:rPr>
                <w:sz w:val="16"/>
              </w:rPr>
              <w:t>2.7%</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-1.3%</w:t>
            </w:r>
          </w:p>
        </w:tc>
        <w:tc>
          <w:tcPr>
            <w:tcW w:w="470" w:type="dxa"/>
            <w:tcBorders>
              <w:bottom w:val="single" w:sz="8" w:space="0" w:color="2AD2C7"/>
              <w:right w:val="single" w:sz="8" w:space="0" w:color="FFFFFF"/>
            </w:tcBorders>
            <w:tcMar>
              <w:bottom w:w="28" w:type="dxa"/>
              <w:right w:w="28" w:type="dxa"/>
            </w:tcMar>
            <w:vAlign w:val="center"/>
          </w:tcPr>
          <w:p>
            <w:pPr>
              <w:pStyle w:val="TableContents"/>
              <w:bidi w:val="0"/>
              <w:spacing w:before="0" w:after="283"/>
              <w:jc w:val="center"/>
              <w:rPr>
                <w:sz w:val="16"/>
              </w:rPr>
            </w:pPr>
            <w:r>
              <w:rPr>
                <w:sz w:val="16"/>
              </w:rPr>
              <w:t>10.6%</w:t>
            </w:r>
          </w:p>
        </w:tc>
        <w:tc>
          <w:tcPr>
            <w:tcW w:w="650" w:type="dxa"/>
            <w:tcBorders>
              <w:bottom w:val="single" w:sz="8" w:space="0" w:color="2AD2C7"/>
            </w:tcBorders>
            <w:shd w:fill="D9D9D9" w:val="clear"/>
            <w:tcMar>
              <w:bottom w:w="28" w:type="dxa"/>
            </w:tcMar>
            <w:vAlign w:val="center"/>
          </w:tcPr>
          <w:p>
            <w:pPr>
              <w:pStyle w:val="TableContents"/>
              <w:bidi w:val="0"/>
              <w:spacing w:before="0" w:after="283"/>
              <w:jc w:val="center"/>
              <w:rPr>
                <w:sz w:val="16"/>
              </w:rPr>
            </w:pPr>
            <w:r>
              <w:rPr>
                <w:sz w:val="16"/>
              </w:rPr>
              <w:t>3.3%</w:t>
            </w:r>
          </w:p>
        </w:tc>
      </w:tr>
      <w:tr>
        <w:trPr/>
        <w:tc>
          <w:tcPr>
            <w:tcW w:w="4805" w:type="dxa"/>
            <w:tcBorders/>
            <w:vAlign w:val="center"/>
          </w:tcPr>
          <w:p>
            <w:pPr>
              <w:pStyle w:val="TableContents"/>
              <w:bidi w:val="0"/>
              <w:spacing w:before="0" w:after="283"/>
              <w:jc w:val="left"/>
              <w:rPr>
                <w:sz w:val="16"/>
              </w:rPr>
            </w:pPr>
            <w:r>
              <w:rPr>
                <w:sz w:val="16"/>
              </w:rPr>
              <w:t>Fiscal balance (% GDP)</w:t>
            </w:r>
          </w:p>
        </w:tc>
        <w:tc>
          <w:tcPr>
            <w:tcW w:w="440" w:type="dxa"/>
            <w:tcBorders/>
            <w:vAlign w:val="center"/>
          </w:tcPr>
          <w:p>
            <w:pPr>
              <w:pStyle w:val="TableContents"/>
              <w:bidi w:val="0"/>
              <w:spacing w:before="0" w:after="283"/>
              <w:jc w:val="center"/>
              <w:rPr>
                <w:sz w:val="16"/>
              </w:rPr>
            </w:pPr>
            <w:r>
              <w:rPr>
                <w:sz w:val="16"/>
              </w:rPr>
              <w:t>-1.7</w:t>
            </w:r>
          </w:p>
        </w:tc>
        <w:tc>
          <w:tcPr>
            <w:tcW w:w="425" w:type="dxa"/>
            <w:tcBorders/>
            <w:vAlign w:val="center"/>
          </w:tcPr>
          <w:p>
            <w:pPr>
              <w:pStyle w:val="TableContents"/>
              <w:bidi w:val="0"/>
              <w:spacing w:before="0" w:after="283"/>
              <w:jc w:val="center"/>
              <w:rPr>
                <w:sz w:val="16"/>
              </w:rPr>
            </w:pPr>
            <w:r>
              <w:rPr>
                <w:sz w:val="16"/>
              </w:rPr>
              <w:t>-2.7</w:t>
            </w:r>
          </w:p>
        </w:tc>
        <w:tc>
          <w:tcPr>
            <w:tcW w:w="440" w:type="dxa"/>
            <w:tcBorders/>
            <w:vAlign w:val="center"/>
          </w:tcPr>
          <w:p>
            <w:pPr>
              <w:pStyle w:val="TableContents"/>
              <w:bidi w:val="0"/>
              <w:spacing w:before="0" w:after="283"/>
              <w:jc w:val="center"/>
              <w:rPr>
                <w:sz w:val="16"/>
              </w:rPr>
            </w:pPr>
            <w:r>
              <w:rPr>
                <w:sz w:val="16"/>
              </w:rPr>
              <w:t>-3.4</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-2.2</w:t>
            </w:r>
          </w:p>
        </w:tc>
        <w:tc>
          <w:tcPr>
            <w:tcW w:w="650" w:type="dxa"/>
            <w:tcBorders/>
            <w:shd w:fill="D9D9D9" w:val="clear"/>
            <w:vAlign w:val="center"/>
          </w:tcPr>
          <w:p>
            <w:pPr>
              <w:pStyle w:val="TableContents"/>
              <w:bidi w:val="0"/>
              <w:spacing w:before="0" w:after="283"/>
              <w:jc w:val="center"/>
              <w:rPr>
                <w:sz w:val="16"/>
              </w:rPr>
            </w:pPr>
            <w:r>
              <w:rPr>
                <w:sz w:val="16"/>
              </w:rPr>
              <w:t>-2.0</w:t>
            </w:r>
          </w:p>
        </w:tc>
      </w:tr>
      <w:tr>
        <w:trPr/>
        <w:tc>
          <w:tcPr>
            <w:tcW w:w="4805" w:type="dxa"/>
            <w:tcBorders>
              <w:bottom w:val="single" w:sz="8" w:space="0" w:color="2AD2C7"/>
            </w:tcBorders>
            <w:tcMar>
              <w:bottom w:w="28" w:type="dxa"/>
            </w:tcMar>
            <w:vAlign w:val="center"/>
          </w:tcPr>
          <w:p>
            <w:pPr>
              <w:pStyle w:val="TableContents"/>
              <w:bidi w:val="0"/>
              <w:spacing w:before="0" w:after="283"/>
              <w:jc w:val="left"/>
              <w:rPr>
                <w:sz w:val="16"/>
              </w:rPr>
            </w:pPr>
            <w:r>
              <w:rPr>
                <w:sz w:val="16"/>
              </w:rPr>
              <w:t>Public Debt (as % GDP)</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33</w:t>
            </w:r>
          </w:p>
        </w:tc>
        <w:tc>
          <w:tcPr>
            <w:tcW w:w="425" w:type="dxa"/>
            <w:tcBorders>
              <w:bottom w:val="single" w:sz="8" w:space="0" w:color="2AD2C7"/>
            </w:tcBorders>
            <w:tcMar>
              <w:bottom w:w="28" w:type="dxa"/>
            </w:tcMar>
            <w:vAlign w:val="center"/>
          </w:tcPr>
          <w:p>
            <w:pPr>
              <w:pStyle w:val="TableContents"/>
              <w:bidi w:val="0"/>
              <w:spacing w:before="0" w:after="283"/>
              <w:jc w:val="center"/>
              <w:rPr>
                <w:sz w:val="16"/>
              </w:rPr>
            </w:pPr>
            <w:r>
              <w:rPr>
                <w:sz w:val="16"/>
              </w:rPr>
              <w:t>32</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32</w:t>
            </w:r>
          </w:p>
        </w:tc>
        <w:tc>
          <w:tcPr>
            <w:tcW w:w="470" w:type="dxa"/>
            <w:tcBorders>
              <w:bottom w:val="single" w:sz="8" w:space="0" w:color="2AD2C7"/>
              <w:right w:val="single" w:sz="8" w:space="0" w:color="FFFFFF"/>
            </w:tcBorders>
            <w:tcMar>
              <w:bottom w:w="28" w:type="dxa"/>
              <w:right w:w="28" w:type="dxa"/>
            </w:tcMar>
            <w:vAlign w:val="center"/>
          </w:tcPr>
          <w:p>
            <w:pPr>
              <w:pStyle w:val="TableContents"/>
              <w:bidi w:val="0"/>
              <w:spacing w:before="0" w:after="283"/>
              <w:jc w:val="center"/>
              <w:rPr>
                <w:sz w:val="16"/>
              </w:rPr>
            </w:pPr>
            <w:r>
              <w:rPr>
                <w:sz w:val="16"/>
              </w:rPr>
              <w:t>30</w:t>
            </w:r>
          </w:p>
        </w:tc>
        <w:tc>
          <w:tcPr>
            <w:tcW w:w="650" w:type="dxa"/>
            <w:tcBorders>
              <w:bottom w:val="single" w:sz="8" w:space="0" w:color="2AD2C7"/>
            </w:tcBorders>
            <w:shd w:fill="D9D9D9" w:val="clear"/>
            <w:tcMar>
              <w:bottom w:w="28" w:type="dxa"/>
            </w:tcMar>
            <w:vAlign w:val="center"/>
          </w:tcPr>
          <w:p>
            <w:pPr>
              <w:pStyle w:val="TableContents"/>
              <w:bidi w:val="0"/>
              <w:spacing w:before="0" w:after="283"/>
              <w:jc w:val="center"/>
              <w:rPr>
                <w:sz w:val="16"/>
              </w:rPr>
            </w:pPr>
            <w:r>
              <w:rPr>
                <w:sz w:val="16"/>
              </w:rPr>
              <w:t>30</w:t>
            </w:r>
          </w:p>
        </w:tc>
      </w:tr>
      <w:tr>
        <w:trPr/>
        <w:tc>
          <w:tcPr>
            <w:tcW w:w="4805" w:type="dxa"/>
            <w:tcBorders/>
            <w:vAlign w:val="center"/>
          </w:tcPr>
          <w:p>
            <w:pPr>
              <w:pStyle w:val="TableContents"/>
              <w:bidi w:val="0"/>
              <w:spacing w:before="0" w:after="283"/>
              <w:jc w:val="left"/>
              <w:rPr>
                <w:sz w:val="16"/>
              </w:rPr>
            </w:pPr>
            <w:r>
              <w:rPr>
                <w:sz w:val="16"/>
              </w:rPr>
              <w:t>Trade balance (US$ bn)</w:t>
            </w:r>
          </w:p>
        </w:tc>
        <w:tc>
          <w:tcPr>
            <w:tcW w:w="440" w:type="dxa"/>
            <w:tcBorders/>
            <w:vAlign w:val="center"/>
          </w:tcPr>
          <w:p>
            <w:pPr>
              <w:pStyle w:val="TableContents"/>
              <w:bidi w:val="0"/>
              <w:spacing w:before="0" w:after="283"/>
              <w:jc w:val="center"/>
              <w:rPr>
                <w:sz w:val="16"/>
              </w:rPr>
            </w:pPr>
            <w:r>
              <w:rPr>
                <w:sz w:val="16"/>
              </w:rPr>
              <w:t>10</w:t>
            </w:r>
          </w:p>
        </w:tc>
        <w:tc>
          <w:tcPr>
            <w:tcW w:w="425" w:type="dxa"/>
            <w:tcBorders/>
            <w:vAlign w:val="center"/>
          </w:tcPr>
          <w:p>
            <w:pPr>
              <w:pStyle w:val="TableContents"/>
              <w:bidi w:val="0"/>
              <w:spacing w:before="0" w:after="283"/>
              <w:jc w:val="center"/>
              <w:rPr>
                <w:sz w:val="16"/>
              </w:rPr>
            </w:pPr>
            <w:r>
              <w:rPr>
                <w:sz w:val="16"/>
              </w:rPr>
              <w:t>17</w:t>
            </w:r>
          </w:p>
        </w:tc>
        <w:tc>
          <w:tcPr>
            <w:tcW w:w="440" w:type="dxa"/>
            <w:tcBorders/>
            <w:vAlign w:val="center"/>
          </w:tcPr>
          <w:p>
            <w:pPr>
              <w:pStyle w:val="TableContents"/>
              <w:bidi w:val="0"/>
              <w:spacing w:before="0" w:after="283"/>
              <w:jc w:val="center"/>
              <w:rPr>
                <w:sz w:val="16"/>
              </w:rPr>
            </w:pPr>
            <w:r>
              <w:rPr>
                <w:sz w:val="16"/>
              </w:rPr>
              <w:t>24</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35</w:t>
            </w:r>
          </w:p>
        </w:tc>
        <w:tc>
          <w:tcPr>
            <w:tcW w:w="650" w:type="dxa"/>
            <w:tcBorders/>
            <w:shd w:fill="D9D9D9" w:val="clear"/>
            <w:vAlign w:val="center"/>
          </w:tcPr>
          <w:p>
            <w:pPr>
              <w:pStyle w:val="TableContents"/>
              <w:bidi w:val="0"/>
              <w:spacing w:before="0" w:after="283"/>
              <w:jc w:val="center"/>
              <w:rPr>
                <w:sz w:val="16"/>
              </w:rPr>
            </w:pPr>
            <w:r>
              <w:rPr>
                <w:sz w:val="16"/>
              </w:rPr>
              <w:t>45</w:t>
            </w:r>
          </w:p>
        </w:tc>
      </w:tr>
      <w:tr>
        <w:trPr/>
        <w:tc>
          <w:tcPr>
            <w:tcW w:w="4805" w:type="dxa"/>
            <w:tcBorders/>
            <w:vAlign w:val="center"/>
          </w:tcPr>
          <w:p>
            <w:pPr>
              <w:pStyle w:val="TableContents"/>
              <w:bidi w:val="0"/>
              <w:spacing w:before="0" w:after="283"/>
              <w:jc w:val="left"/>
              <w:rPr>
                <w:sz w:val="16"/>
              </w:rPr>
            </w:pPr>
            <w:r>
              <w:rPr>
                <w:sz w:val="16"/>
              </w:rPr>
              <w:t>(As % GDP)</w:t>
            </w:r>
          </w:p>
        </w:tc>
        <w:tc>
          <w:tcPr>
            <w:tcW w:w="440" w:type="dxa"/>
            <w:tcBorders/>
            <w:vAlign w:val="center"/>
          </w:tcPr>
          <w:p>
            <w:pPr>
              <w:pStyle w:val="TableContents"/>
              <w:bidi w:val="0"/>
              <w:spacing w:before="0" w:after="283"/>
              <w:jc w:val="center"/>
              <w:rPr>
                <w:sz w:val="16"/>
              </w:rPr>
            </w:pPr>
            <w:r>
              <w:rPr>
                <w:sz w:val="16"/>
              </w:rPr>
              <w:t>4.2%</w:t>
            </w:r>
          </w:p>
        </w:tc>
        <w:tc>
          <w:tcPr>
            <w:tcW w:w="425" w:type="dxa"/>
            <w:tcBorders/>
            <w:vAlign w:val="center"/>
          </w:tcPr>
          <w:p>
            <w:pPr>
              <w:pStyle w:val="TableContents"/>
              <w:bidi w:val="0"/>
              <w:spacing w:before="0" w:after="283"/>
              <w:jc w:val="center"/>
              <w:rPr>
                <w:sz w:val="16"/>
              </w:rPr>
            </w:pPr>
            <w:r>
              <w:rPr>
                <w:sz w:val="16"/>
              </w:rPr>
              <w:t>6.3%</w:t>
            </w:r>
          </w:p>
        </w:tc>
        <w:tc>
          <w:tcPr>
            <w:tcW w:w="440" w:type="dxa"/>
            <w:tcBorders/>
            <w:vAlign w:val="center"/>
          </w:tcPr>
          <w:p>
            <w:pPr>
              <w:pStyle w:val="TableContents"/>
              <w:bidi w:val="0"/>
              <w:spacing w:before="0" w:after="283"/>
              <w:jc w:val="center"/>
              <w:rPr>
                <w:sz w:val="16"/>
              </w:rPr>
            </w:pPr>
            <w:r>
              <w:rPr>
                <w:sz w:val="16"/>
              </w:rPr>
              <w:t>8.2%</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10.1%</w:t>
            </w:r>
          </w:p>
        </w:tc>
        <w:tc>
          <w:tcPr>
            <w:tcW w:w="650" w:type="dxa"/>
            <w:tcBorders/>
            <w:shd w:fill="D9D9D9" w:val="clear"/>
            <w:vAlign w:val="center"/>
          </w:tcPr>
          <w:p>
            <w:pPr>
              <w:pStyle w:val="TableContents"/>
              <w:bidi w:val="0"/>
              <w:spacing w:before="0" w:after="283"/>
              <w:jc w:val="center"/>
              <w:rPr>
                <w:sz w:val="16"/>
              </w:rPr>
            </w:pPr>
            <w:r>
              <w:rPr>
                <w:sz w:val="16"/>
              </w:rPr>
              <w:t>11.5%</w:t>
            </w:r>
          </w:p>
        </w:tc>
      </w:tr>
      <w:tr>
        <w:trPr/>
        <w:tc>
          <w:tcPr>
            <w:tcW w:w="4805" w:type="dxa"/>
            <w:tcBorders/>
            <w:vAlign w:val="center"/>
          </w:tcPr>
          <w:p>
            <w:pPr>
              <w:pStyle w:val="TableContents"/>
              <w:bidi w:val="0"/>
              <w:spacing w:before="0" w:after="283"/>
              <w:jc w:val="left"/>
              <w:rPr>
                <w:sz w:val="16"/>
              </w:rPr>
            </w:pPr>
            <w:r>
              <w:rPr>
                <w:sz w:val="16"/>
              </w:rPr>
              <w:t>Exports</w:t>
            </w:r>
          </w:p>
        </w:tc>
        <w:tc>
          <w:tcPr>
            <w:tcW w:w="440" w:type="dxa"/>
            <w:tcBorders/>
            <w:vAlign w:val="center"/>
          </w:tcPr>
          <w:p>
            <w:pPr>
              <w:pStyle w:val="TableContents"/>
              <w:bidi w:val="0"/>
              <w:spacing w:before="0" w:after="283"/>
              <w:jc w:val="center"/>
              <w:rPr>
                <w:sz w:val="16"/>
              </w:rPr>
            </w:pPr>
            <w:r>
              <w:rPr>
                <w:sz w:val="16"/>
              </w:rPr>
              <w:t>66</w:t>
            </w:r>
          </w:p>
        </w:tc>
        <w:tc>
          <w:tcPr>
            <w:tcW w:w="425" w:type="dxa"/>
            <w:tcBorders/>
            <w:vAlign w:val="center"/>
          </w:tcPr>
          <w:p>
            <w:pPr>
              <w:pStyle w:val="TableContents"/>
              <w:bidi w:val="0"/>
              <w:spacing w:before="0" w:after="283"/>
              <w:jc w:val="center"/>
              <w:rPr>
                <w:sz w:val="16"/>
              </w:rPr>
            </w:pPr>
            <w:r>
              <w:rPr>
                <w:sz w:val="16"/>
              </w:rPr>
              <w:t>67</w:t>
            </w:r>
          </w:p>
        </w:tc>
        <w:tc>
          <w:tcPr>
            <w:tcW w:w="440" w:type="dxa"/>
            <w:tcBorders/>
            <w:vAlign w:val="center"/>
          </w:tcPr>
          <w:p>
            <w:pPr>
              <w:pStyle w:val="TableContents"/>
              <w:bidi w:val="0"/>
              <w:spacing w:before="0" w:after="283"/>
              <w:jc w:val="center"/>
              <w:rPr>
                <w:sz w:val="16"/>
              </w:rPr>
            </w:pPr>
            <w:r>
              <w:rPr>
                <w:sz w:val="16"/>
              </w:rPr>
              <w:t>76</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93</w:t>
            </w:r>
          </w:p>
        </w:tc>
        <w:tc>
          <w:tcPr>
            <w:tcW w:w="650" w:type="dxa"/>
            <w:tcBorders/>
            <w:shd w:fill="D9D9D9" w:val="clear"/>
            <w:vAlign w:val="center"/>
          </w:tcPr>
          <w:p>
            <w:pPr>
              <w:pStyle w:val="TableContents"/>
              <w:bidi w:val="0"/>
              <w:spacing w:before="0" w:after="283"/>
              <w:jc w:val="center"/>
              <w:rPr>
                <w:sz w:val="16"/>
              </w:rPr>
            </w:pPr>
            <w:r>
              <w:rPr>
                <w:sz w:val="16"/>
              </w:rPr>
              <w:t>114</w:t>
            </w:r>
          </w:p>
        </w:tc>
      </w:tr>
      <w:tr>
        <w:trPr/>
        <w:tc>
          <w:tcPr>
            <w:tcW w:w="4805" w:type="dxa"/>
            <w:tcBorders/>
            <w:vAlign w:val="center"/>
          </w:tcPr>
          <w:p>
            <w:pPr>
              <w:pStyle w:val="TableContents"/>
              <w:bidi w:val="0"/>
              <w:spacing w:before="0" w:after="283"/>
              <w:jc w:val="left"/>
              <w:rPr>
                <w:sz w:val="16"/>
              </w:rPr>
            </w:pPr>
            <w:r>
              <w:rPr>
                <w:sz w:val="16"/>
              </w:rPr>
              <w:t>Imports</w:t>
            </w:r>
          </w:p>
        </w:tc>
        <w:tc>
          <w:tcPr>
            <w:tcW w:w="440" w:type="dxa"/>
            <w:tcBorders/>
            <w:vAlign w:val="center"/>
          </w:tcPr>
          <w:p>
            <w:pPr>
              <w:pStyle w:val="TableContents"/>
              <w:bidi w:val="0"/>
              <w:spacing w:before="0" w:after="283"/>
              <w:jc w:val="center"/>
              <w:rPr>
                <w:sz w:val="16"/>
              </w:rPr>
            </w:pPr>
            <w:r>
              <w:rPr>
                <w:sz w:val="16"/>
              </w:rPr>
              <w:t>56</w:t>
            </w:r>
          </w:p>
        </w:tc>
        <w:tc>
          <w:tcPr>
            <w:tcW w:w="425" w:type="dxa"/>
            <w:tcBorders/>
            <w:vAlign w:val="center"/>
          </w:tcPr>
          <w:p>
            <w:pPr>
              <w:pStyle w:val="TableContents"/>
              <w:bidi w:val="0"/>
              <w:spacing w:before="0" w:after="283"/>
              <w:jc w:val="center"/>
              <w:rPr>
                <w:sz w:val="16"/>
              </w:rPr>
            </w:pPr>
            <w:r>
              <w:rPr>
                <w:sz w:val="16"/>
              </w:rPr>
              <w:t>50</w:t>
            </w:r>
          </w:p>
        </w:tc>
        <w:tc>
          <w:tcPr>
            <w:tcW w:w="440" w:type="dxa"/>
            <w:tcBorders/>
            <w:vAlign w:val="center"/>
          </w:tcPr>
          <w:p>
            <w:pPr>
              <w:pStyle w:val="TableContents"/>
              <w:bidi w:val="0"/>
              <w:spacing w:before="0" w:after="283"/>
              <w:jc w:val="center"/>
              <w:rPr>
                <w:sz w:val="16"/>
              </w:rPr>
            </w:pPr>
            <w:r>
              <w:rPr>
                <w:sz w:val="16"/>
              </w:rPr>
              <w:t>52</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59</w:t>
            </w:r>
          </w:p>
        </w:tc>
        <w:tc>
          <w:tcPr>
            <w:tcW w:w="650" w:type="dxa"/>
            <w:tcBorders/>
            <w:shd w:fill="D9D9D9" w:val="clear"/>
            <w:vAlign w:val="center"/>
          </w:tcPr>
          <w:p>
            <w:pPr>
              <w:pStyle w:val="TableContents"/>
              <w:bidi w:val="0"/>
              <w:spacing w:before="0" w:after="283"/>
              <w:jc w:val="center"/>
              <w:rPr>
                <w:sz w:val="16"/>
              </w:rPr>
            </w:pPr>
            <w:r>
              <w:rPr>
                <w:sz w:val="16"/>
              </w:rPr>
              <w:t>69</w:t>
            </w:r>
          </w:p>
        </w:tc>
      </w:tr>
      <w:tr>
        <w:trPr/>
        <w:tc>
          <w:tcPr>
            <w:tcW w:w="4805" w:type="dxa"/>
            <w:tcBorders/>
            <w:vAlign w:val="center"/>
          </w:tcPr>
          <w:p>
            <w:pPr>
              <w:pStyle w:val="TableContents"/>
              <w:bidi w:val="0"/>
              <w:spacing w:before="0" w:after="283"/>
              <w:jc w:val="left"/>
              <w:rPr>
                <w:sz w:val="16"/>
              </w:rPr>
            </w:pPr>
            <w:r>
              <w:rPr>
                <w:sz w:val="16"/>
              </w:rPr>
              <w:t>Current account balance (As % GDP)</w:t>
            </w:r>
          </w:p>
        </w:tc>
        <w:tc>
          <w:tcPr>
            <w:tcW w:w="440" w:type="dxa"/>
            <w:tcBorders/>
            <w:vAlign w:val="center"/>
          </w:tcPr>
          <w:p>
            <w:pPr>
              <w:pStyle w:val="TableContents"/>
              <w:bidi w:val="0"/>
              <w:spacing w:before="0" w:after="283"/>
              <w:jc w:val="center"/>
              <w:rPr>
                <w:sz w:val="16"/>
              </w:rPr>
            </w:pPr>
            <w:r>
              <w:rPr>
                <w:sz w:val="16"/>
              </w:rPr>
              <w:t>-4.0%</w:t>
            </w:r>
          </w:p>
        </w:tc>
        <w:tc>
          <w:tcPr>
            <w:tcW w:w="425" w:type="dxa"/>
            <w:tcBorders/>
            <w:vAlign w:val="center"/>
          </w:tcPr>
          <w:p>
            <w:pPr>
              <w:pStyle w:val="TableContents"/>
              <w:bidi w:val="0"/>
              <w:spacing w:before="0" w:after="283"/>
              <w:jc w:val="center"/>
              <w:rPr>
                <w:sz w:val="16"/>
              </w:rPr>
            </w:pPr>
            <w:r>
              <w:rPr>
                <w:sz w:val="16"/>
              </w:rPr>
              <w:t>0.5%</w:t>
            </w:r>
          </w:p>
        </w:tc>
        <w:tc>
          <w:tcPr>
            <w:tcW w:w="440" w:type="dxa"/>
            <w:tcBorders/>
            <w:vAlign w:val="center"/>
          </w:tcPr>
          <w:p>
            <w:pPr>
              <w:pStyle w:val="TableContents"/>
              <w:bidi w:val="0"/>
              <w:spacing w:before="0" w:after="283"/>
              <w:jc w:val="center"/>
              <w:rPr>
                <w:sz w:val="16"/>
              </w:rPr>
            </w:pPr>
            <w:r>
              <w:rPr>
                <w:sz w:val="16"/>
              </w:rPr>
              <w:t>2.4%</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3.5%</w:t>
            </w:r>
          </w:p>
        </w:tc>
        <w:tc>
          <w:tcPr>
            <w:tcW w:w="650" w:type="dxa"/>
            <w:tcBorders/>
            <w:shd w:fill="D9D9D9" w:val="clear"/>
            <w:vAlign w:val="center"/>
          </w:tcPr>
          <w:p>
            <w:pPr>
              <w:pStyle w:val="TableContents"/>
              <w:bidi w:val="0"/>
              <w:spacing w:before="0" w:after="283"/>
              <w:jc w:val="center"/>
              <w:rPr>
                <w:sz w:val="16"/>
              </w:rPr>
            </w:pPr>
            <w:r>
              <w:rPr>
                <w:sz w:val="16"/>
              </w:rPr>
              <w:t>4.0%</w:t>
            </w:r>
          </w:p>
        </w:tc>
      </w:tr>
      <w:tr>
        <w:trPr/>
        <w:tc>
          <w:tcPr>
            <w:tcW w:w="4805" w:type="dxa"/>
            <w:tcBorders/>
            <w:vAlign w:val="center"/>
          </w:tcPr>
          <w:p>
            <w:pPr>
              <w:pStyle w:val="TableContents"/>
              <w:bidi w:val="0"/>
              <w:spacing w:before="0" w:after="283"/>
              <w:jc w:val="left"/>
              <w:rPr>
                <w:sz w:val="16"/>
              </w:rPr>
            </w:pPr>
            <w:r>
              <w:rPr>
                <w:sz w:val="16"/>
              </w:rPr>
              <w:t>Net international reserves (US$ bn)</w:t>
            </w:r>
          </w:p>
        </w:tc>
        <w:tc>
          <w:tcPr>
            <w:tcW w:w="440" w:type="dxa"/>
            <w:tcBorders/>
            <w:vAlign w:val="center"/>
          </w:tcPr>
          <w:p>
            <w:pPr>
              <w:pStyle w:val="TableContents"/>
              <w:bidi w:val="0"/>
              <w:spacing w:before="0" w:after="283"/>
              <w:jc w:val="center"/>
              <w:rPr>
                <w:sz w:val="16"/>
              </w:rPr>
            </w:pPr>
            <w:r>
              <w:rPr>
                <w:sz w:val="16"/>
              </w:rPr>
              <w:t>72</w:t>
            </w:r>
          </w:p>
        </w:tc>
        <w:tc>
          <w:tcPr>
            <w:tcW w:w="425" w:type="dxa"/>
            <w:tcBorders/>
            <w:vAlign w:val="center"/>
          </w:tcPr>
          <w:p>
            <w:pPr>
              <w:pStyle w:val="TableContents"/>
              <w:bidi w:val="0"/>
              <w:spacing w:before="0" w:after="283"/>
              <w:jc w:val="center"/>
              <w:rPr>
                <w:sz w:val="16"/>
              </w:rPr>
            </w:pPr>
            <w:r>
              <w:rPr>
                <w:sz w:val="16"/>
              </w:rPr>
              <w:t>71</w:t>
            </w:r>
          </w:p>
        </w:tc>
        <w:tc>
          <w:tcPr>
            <w:tcW w:w="440" w:type="dxa"/>
            <w:tcBorders/>
            <w:vAlign w:val="center"/>
          </w:tcPr>
          <w:p>
            <w:pPr>
              <w:pStyle w:val="TableContents"/>
              <w:bidi w:val="0"/>
              <w:spacing w:before="0" w:after="283"/>
              <w:jc w:val="center"/>
              <w:rPr>
                <w:sz w:val="16"/>
              </w:rPr>
            </w:pPr>
            <w:r>
              <w:rPr>
                <w:sz w:val="16"/>
              </w:rPr>
              <w:t>79</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90</w:t>
            </w:r>
          </w:p>
        </w:tc>
        <w:tc>
          <w:tcPr>
            <w:tcW w:w="650" w:type="dxa"/>
            <w:tcBorders/>
            <w:shd w:fill="D9D9D9" w:val="clear"/>
            <w:vAlign w:val="center"/>
          </w:tcPr>
          <w:p>
            <w:pPr>
              <w:pStyle w:val="TableContents"/>
              <w:bidi w:val="0"/>
              <w:spacing w:before="0" w:after="283"/>
              <w:jc w:val="center"/>
              <w:rPr>
                <w:sz w:val="16"/>
              </w:rPr>
            </w:pPr>
            <w:r>
              <w:rPr>
                <w:sz w:val="16"/>
              </w:rPr>
              <w:t>110</w:t>
            </w:r>
          </w:p>
        </w:tc>
      </w:tr>
      <w:tr>
        <w:trPr/>
        <w:tc>
          <w:tcPr>
            <w:tcW w:w="4805" w:type="dxa"/>
            <w:tcBorders/>
            <w:vAlign w:val="center"/>
          </w:tcPr>
          <w:p>
            <w:pPr>
              <w:pStyle w:val="TableContents"/>
              <w:bidi w:val="0"/>
              <w:spacing w:before="0" w:after="283"/>
              <w:jc w:val="left"/>
              <w:rPr>
                <w:sz w:val="16"/>
              </w:rPr>
            </w:pPr>
            <w:r>
              <w:rPr>
                <w:sz w:val="16"/>
              </w:rPr>
              <w:t>(As % GDP)</w:t>
            </w:r>
          </w:p>
        </w:tc>
        <w:tc>
          <w:tcPr>
            <w:tcW w:w="440" w:type="dxa"/>
            <w:tcBorders/>
            <w:vAlign w:val="center"/>
          </w:tcPr>
          <w:p>
            <w:pPr>
              <w:pStyle w:val="TableContents"/>
              <w:bidi w:val="0"/>
              <w:spacing w:before="0" w:after="283"/>
              <w:jc w:val="center"/>
              <w:rPr>
                <w:sz w:val="16"/>
              </w:rPr>
            </w:pPr>
            <w:r>
              <w:rPr>
                <w:sz w:val="16"/>
              </w:rPr>
              <w:t>29%</w:t>
            </w:r>
          </w:p>
        </w:tc>
        <w:tc>
          <w:tcPr>
            <w:tcW w:w="425" w:type="dxa"/>
            <w:tcBorders/>
            <w:vAlign w:val="center"/>
          </w:tcPr>
          <w:p>
            <w:pPr>
              <w:pStyle w:val="TableContents"/>
              <w:bidi w:val="0"/>
              <w:spacing w:before="0" w:after="283"/>
              <w:jc w:val="center"/>
              <w:rPr>
                <w:sz w:val="16"/>
              </w:rPr>
            </w:pPr>
            <w:r>
              <w:rPr>
                <w:sz w:val="16"/>
              </w:rPr>
              <w:t>26%</w:t>
            </w:r>
          </w:p>
        </w:tc>
        <w:tc>
          <w:tcPr>
            <w:tcW w:w="440" w:type="dxa"/>
            <w:tcBorders/>
            <w:vAlign w:val="center"/>
          </w:tcPr>
          <w:p>
            <w:pPr>
              <w:pStyle w:val="TableContents"/>
              <w:bidi w:val="0"/>
              <w:spacing w:before="0" w:after="283"/>
              <w:jc w:val="center"/>
              <w:rPr>
                <w:sz w:val="16"/>
              </w:rPr>
            </w:pPr>
            <w:r>
              <w:rPr>
                <w:sz w:val="16"/>
              </w:rPr>
              <w:t>27%</w:t>
            </w:r>
          </w:p>
        </w:tc>
        <w:tc>
          <w:tcPr>
            <w:tcW w:w="470" w:type="dxa"/>
            <w:tcBorders>
              <w:right w:val="single" w:sz="8" w:space="0" w:color="FFFFFF"/>
            </w:tcBorders>
            <w:tcMar>
              <w:right w:w="28" w:type="dxa"/>
            </w:tcMar>
            <w:vAlign w:val="center"/>
          </w:tcPr>
          <w:p>
            <w:pPr>
              <w:pStyle w:val="TableContents"/>
              <w:bidi w:val="0"/>
              <w:spacing w:before="0" w:after="283"/>
              <w:jc w:val="center"/>
              <w:rPr>
                <w:sz w:val="16"/>
              </w:rPr>
            </w:pPr>
            <w:r>
              <w:rPr>
                <w:sz w:val="16"/>
              </w:rPr>
              <w:t>26%</w:t>
            </w:r>
          </w:p>
        </w:tc>
        <w:tc>
          <w:tcPr>
            <w:tcW w:w="650" w:type="dxa"/>
            <w:tcBorders/>
            <w:shd w:fill="D9D9D9" w:val="clear"/>
            <w:vAlign w:val="center"/>
          </w:tcPr>
          <w:p>
            <w:pPr>
              <w:pStyle w:val="TableContents"/>
              <w:bidi w:val="0"/>
              <w:spacing w:before="0" w:after="283"/>
              <w:jc w:val="center"/>
              <w:rPr>
                <w:sz w:val="16"/>
              </w:rPr>
            </w:pPr>
            <w:r>
              <w:rPr>
                <w:sz w:val="16"/>
              </w:rPr>
              <w:t>28%</w:t>
            </w:r>
          </w:p>
        </w:tc>
      </w:tr>
      <w:tr>
        <w:trPr/>
        <w:tc>
          <w:tcPr>
            <w:tcW w:w="4805" w:type="dxa"/>
            <w:tcBorders>
              <w:bottom w:val="single" w:sz="8" w:space="0" w:color="2AD2C7"/>
            </w:tcBorders>
            <w:tcMar>
              <w:bottom w:w="28" w:type="dxa"/>
            </w:tcMar>
            <w:vAlign w:val="center"/>
          </w:tcPr>
          <w:p>
            <w:pPr>
              <w:pStyle w:val="TableContents"/>
              <w:bidi w:val="0"/>
              <w:spacing w:before="0" w:after="283"/>
              <w:jc w:val="left"/>
              <w:rPr>
                <w:sz w:val="16"/>
              </w:rPr>
            </w:pPr>
            <w:r>
              <w:rPr>
                <w:sz w:val="16"/>
              </w:rPr>
              <w:t>(As months of imports)</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15</w:t>
            </w:r>
          </w:p>
        </w:tc>
        <w:tc>
          <w:tcPr>
            <w:tcW w:w="425" w:type="dxa"/>
            <w:tcBorders>
              <w:bottom w:val="single" w:sz="8" w:space="0" w:color="2AD2C7"/>
            </w:tcBorders>
            <w:tcMar>
              <w:bottom w:w="28" w:type="dxa"/>
            </w:tcMar>
            <w:vAlign w:val="center"/>
          </w:tcPr>
          <w:p>
            <w:pPr>
              <w:pStyle w:val="TableContents"/>
              <w:bidi w:val="0"/>
              <w:spacing w:before="0" w:after="283"/>
              <w:jc w:val="center"/>
              <w:rPr>
                <w:sz w:val="16"/>
              </w:rPr>
            </w:pPr>
            <w:r>
              <w:rPr>
                <w:sz w:val="16"/>
              </w:rPr>
              <w:t>17</w:t>
            </w:r>
          </w:p>
        </w:tc>
        <w:tc>
          <w:tcPr>
            <w:tcW w:w="440" w:type="dxa"/>
            <w:tcBorders>
              <w:bottom w:val="single" w:sz="8" w:space="0" w:color="2AD2C7"/>
            </w:tcBorders>
            <w:tcMar>
              <w:bottom w:w="28" w:type="dxa"/>
            </w:tcMar>
            <w:vAlign w:val="center"/>
          </w:tcPr>
          <w:p>
            <w:pPr>
              <w:pStyle w:val="TableContents"/>
              <w:bidi w:val="0"/>
              <w:spacing w:before="0" w:after="283"/>
              <w:jc w:val="center"/>
              <w:rPr>
                <w:sz w:val="16"/>
              </w:rPr>
            </w:pPr>
            <w:r>
              <w:rPr>
                <w:sz w:val="16"/>
              </w:rPr>
              <w:t>18</w:t>
            </w:r>
          </w:p>
        </w:tc>
        <w:tc>
          <w:tcPr>
            <w:tcW w:w="470" w:type="dxa"/>
            <w:tcBorders>
              <w:bottom w:val="single" w:sz="8" w:space="0" w:color="2AD2C7"/>
              <w:right w:val="single" w:sz="8" w:space="0" w:color="FFFFFF"/>
            </w:tcBorders>
            <w:tcMar>
              <w:bottom w:w="28" w:type="dxa"/>
              <w:right w:w="28" w:type="dxa"/>
            </w:tcMar>
            <w:vAlign w:val="center"/>
          </w:tcPr>
          <w:p>
            <w:pPr>
              <w:pStyle w:val="TableContents"/>
              <w:bidi w:val="0"/>
              <w:spacing w:before="0" w:after="283"/>
              <w:jc w:val="center"/>
              <w:rPr>
                <w:sz w:val="16"/>
              </w:rPr>
            </w:pPr>
            <w:r>
              <w:rPr>
                <w:sz w:val="16"/>
              </w:rPr>
              <w:t>19</w:t>
            </w:r>
          </w:p>
        </w:tc>
        <w:tc>
          <w:tcPr>
            <w:tcW w:w="650" w:type="dxa"/>
            <w:tcBorders>
              <w:bottom w:val="single" w:sz="8" w:space="0" w:color="2AD2C7"/>
            </w:tcBorders>
            <w:shd w:fill="D9D9D9" w:val="clear"/>
            <w:tcMar>
              <w:bottom w:w="28" w:type="dxa"/>
            </w:tcMar>
            <w:vAlign w:val="center"/>
          </w:tcPr>
          <w:p>
            <w:pPr>
              <w:pStyle w:val="TableContents"/>
              <w:bidi w:val="0"/>
              <w:spacing w:before="0" w:after="283"/>
              <w:jc w:val="center"/>
              <w:rPr>
                <w:sz w:val="16"/>
              </w:rPr>
            </w:pPr>
            <w:r>
              <w:rPr>
                <w:sz w:val="16"/>
              </w:rPr>
              <w:t>19</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 INEI, BCRP y SBS. </w:t>
      </w:r>
    </w:p>
    <w:tbl>
      <w:tblPr>
        <w:tblW w:w="1278" w:type="dxa"/>
        <w:jc w:val="left"/>
        <w:tblInd w:w="0" w:type="dxa"/>
        <w:tblLayout w:type="fixed"/>
        <w:tblCellMar>
          <w:top w:w="0" w:type="dxa"/>
          <w:left w:w="0" w:type="dxa"/>
          <w:bottom w:w="0" w:type="dxa"/>
          <w:right w:w="0" w:type="dxa"/>
        </w:tblCellMar>
      </w:tblPr>
      <w:tblGrid>
        <w:gridCol w:w="38"/>
        <w:gridCol w:w="23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6"/>
              </w:rPr>
            </w:pPr>
            <w:r>
              <w:rPr>
                <w:sz w:val="16"/>
              </w:rPr>
              <w:t>(1)</w:t>
            </w:r>
          </w:p>
        </w:tc>
        <w:tc>
          <w:tcPr>
            <w:tcW w:w="1010" w:type="dxa"/>
            <w:tcBorders/>
            <w:vAlign w:val="center"/>
          </w:tcPr>
          <w:p>
            <w:pPr>
              <w:pStyle w:val="TableContents"/>
              <w:bidi w:val="0"/>
              <w:spacing w:before="0" w:after="283"/>
              <w:jc w:val="left"/>
              <w:rPr>
                <w:sz w:val="16"/>
              </w:rPr>
            </w:pPr>
            <w:r>
              <w:rPr>
                <w:sz w:val="16"/>
              </w:rPr>
              <w:t>End of period</w:t>
            </w:r>
          </w:p>
        </w:tc>
      </w:tr>
    </w:tbl>
    <w:tbl>
      <w:tblPr>
        <w:tblW w:w="1983" w:type="dxa"/>
        <w:jc w:val="left"/>
        <w:tblInd w:w="0" w:type="dxa"/>
        <w:tblLayout w:type="fixed"/>
        <w:tblCellMar>
          <w:top w:w="0" w:type="dxa"/>
          <w:left w:w="0" w:type="dxa"/>
          <w:bottom w:w="0" w:type="dxa"/>
          <w:right w:w="0" w:type="dxa"/>
        </w:tblCellMar>
      </w:tblPr>
      <w:tblGrid>
        <w:gridCol w:w="38"/>
        <w:gridCol w:w="23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6"/>
              </w:rPr>
            </w:pPr>
            <w:r>
              <w:rPr>
                <w:sz w:val="16"/>
              </w:rPr>
              <w:t>(2)</w:t>
            </w:r>
          </w:p>
        </w:tc>
        <w:tc>
          <w:tcPr>
            <w:tcW w:w="1715" w:type="dxa"/>
            <w:tcBorders/>
            <w:vAlign w:val="center"/>
          </w:tcPr>
          <w:p>
            <w:pPr>
              <w:pStyle w:val="TableContents"/>
              <w:bidi w:val="0"/>
              <w:spacing w:before="0" w:after="283"/>
              <w:jc w:val="left"/>
              <w:rPr>
                <w:sz w:val="16"/>
              </w:rPr>
            </w:pPr>
            <w:r>
              <w:rPr>
                <w:sz w:val="16"/>
              </w:rPr>
              <w:t>Inflation target 1% - 3%</w:t>
            </w:r>
          </w:p>
        </w:tc>
      </w:tr>
    </w:tbl>
    <w:tbl>
      <w:tblPr>
        <w:tblW w:w="3183" w:type="dxa"/>
        <w:jc w:val="left"/>
        <w:tblInd w:w="0" w:type="dxa"/>
        <w:tblLayout w:type="fixed"/>
        <w:tblCellMar>
          <w:top w:w="0" w:type="dxa"/>
          <w:left w:w="0" w:type="dxa"/>
          <w:bottom w:w="0" w:type="dxa"/>
          <w:right w:w="0" w:type="dxa"/>
        </w:tblCellMar>
      </w:tblPr>
      <w:tblGrid>
        <w:gridCol w:w="38"/>
        <w:gridCol w:w="23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6"/>
              </w:rPr>
            </w:pPr>
            <w:r>
              <w:rPr>
                <w:sz w:val="16"/>
              </w:rPr>
              <w:t>(3)</w:t>
            </w:r>
          </w:p>
        </w:tc>
        <w:tc>
          <w:tcPr>
            <w:tcW w:w="2915" w:type="dxa"/>
            <w:tcBorders/>
            <w:vAlign w:val="center"/>
          </w:tcPr>
          <w:p>
            <w:pPr>
              <w:pStyle w:val="TableContents"/>
              <w:bidi w:val="0"/>
              <w:spacing w:before="0" w:after="283"/>
              <w:jc w:val="left"/>
              <w:rPr>
                <w:sz w:val="16"/>
              </w:rPr>
            </w:pPr>
            <w:r>
              <w:rPr>
                <w:sz w:val="16"/>
              </w:rPr>
              <w:t>Negative % change indicates depreciation</w:t>
            </w:r>
          </w:p>
        </w:tc>
      </w:tr>
    </w:tbl>
    <w:tbl>
      <w:tblPr>
        <w:tblW w:w="5523" w:type="dxa"/>
        <w:jc w:val="left"/>
        <w:tblInd w:w="0" w:type="dxa"/>
        <w:tblLayout w:type="fixed"/>
        <w:tblCellMar>
          <w:top w:w="0" w:type="dxa"/>
          <w:left w:w="0" w:type="dxa"/>
          <w:bottom w:w="0" w:type="dxa"/>
          <w:right w:w="0" w:type="dxa"/>
        </w:tblCellMar>
      </w:tblPr>
      <w:tblGrid>
        <w:gridCol w:w="38"/>
        <w:gridCol w:w="23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6"/>
              </w:rPr>
            </w:pPr>
            <w:r>
              <w:rPr>
                <w:sz w:val="16"/>
              </w:rPr>
              <w:t>(4)</w:t>
            </w:r>
          </w:p>
        </w:tc>
        <w:tc>
          <w:tcPr>
            <w:tcW w:w="5255" w:type="dxa"/>
            <w:tcBorders/>
            <w:vAlign w:val="center"/>
          </w:tcPr>
          <w:p>
            <w:pPr>
              <w:pStyle w:val="TableContents"/>
              <w:bidi w:val="0"/>
              <w:spacing w:before="0" w:after="283"/>
              <w:jc w:val="left"/>
              <w:rPr>
                <w:sz w:val="16"/>
              </w:rPr>
            </w:pPr>
            <w:r>
              <w:rPr>
                <w:sz w:val="16"/>
              </w:rPr>
              <w:t>Grey área indicate estimates by BCP Economic Research as of August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 Macroeconomic Variables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2Q26, GDP is estimated to have expanded around 3.0% YoY, moderating slightly from 3.5% in 1Q26. Strong domestic demand, underpinned by historically favorable terms of trade, continued employment growth, and positive economic momentum, helped offset a sharp contraction in primary sectors. Primary GDP is estimated to have declined nearly 5% YoY, its steepest drop since 2014 excluding the pandemic period, reflecting disruptions caused by the El Niño phenomenon across the fishing, agricultural, and primary manufacturing sectors. Nevertheless, domestic demand is estimated to have grown approximately 5% YoY, marking its seventh consecutive quarter of robust expansion.</w:t>
      </w:r>
      <w:r>
        <mc:AlternateContent>
          <mc:Choice Requires="wps">
            <w:drawing>
              <wp:anchor behindDoc="0" distT="0" distB="0" distL="0" distR="101600" simplePos="0" locked="0" layoutInCell="1" allowOverlap="1" relativeHeight="15">
                <wp:simplePos x="0" y="0"/>
                <wp:positionH relativeFrom="column">
                  <wp:align>left</wp:align>
                </wp:positionH>
                <wp:positionV relativeFrom="line">
                  <wp:posOffset>635</wp:posOffset>
                </wp:positionV>
                <wp:extent cx="3239770" cy="2934335"/>
                <wp:effectExtent l="0" t="0" r="0" b="0"/>
                <wp:wrapSquare wrapText="right"/>
                <wp:docPr id="154" name="Frame18"/>
                <a:graphic xmlns:a="http://schemas.openxmlformats.org/drawingml/2006/main">
                  <a:graphicData uri="http://schemas.microsoft.com/office/word/2010/wordprocessingShape">
                    <wps:wsp>
                      <wps:cNvSpPr txBox="1"/>
                      <wps:spPr>
                        <a:xfrm>
                          <a:off x="0" y="0"/>
                          <a:ext cx="3239770" cy="2934335"/>
                        </a:xfrm>
                        <a:prstGeom prst="rect"/>
                        <a:solidFill>
                          <a:srgbClr val="FFFFFF"/>
                        </a:solidFill>
                      </wps:spPr>
                      <wps:txbx>
                        <w:txbxContent>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Gross Domestic Product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real percentage change, % YoY)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2257425"/>
                                  <wp:effectExtent l="0" t="0" r="0" b="0"/>
                                  <wp:docPr id="15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6" descr=""/>
                                          <pic:cNvPicPr>
                                            <a:picLocks noChangeAspect="1" noChangeArrowheads="1"/>
                                          </pic:cNvPicPr>
                                        </pic:nvPicPr>
                                        <pic:blipFill>
                                          <a:blip r:embed="rId138"/>
                                          <a:stretch>
                                            <a:fillRect/>
                                          </a:stretch>
                                        </pic:blipFill>
                                        <pic:spPr bwMode="auto">
                                          <a:xfrm>
                                            <a:off x="0" y="0"/>
                                            <a:ext cx="3810000" cy="2257425"/>
                                          </a:xfrm>
                                          <a:prstGeom prst="rect">
                                            <a:avLst/>
                                          </a:prstGeom>
                                        </pic:spPr>
                                      </pic:pic>
                                    </a:graphicData>
                                  </a:graphic>
                                </wp:inline>
                              </w:drawing>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231.05pt;mso-wrap-distance-left:0pt;mso-wrap-distance-right:8pt;mso-wrap-distance-top:0pt;mso-wrap-distance-bottom:0pt;margin-top:0pt;mso-position-vertical:top;mso-position-vertical-relative:text;margin-left:0pt;mso-position-horizontal:left;mso-position-horizontal-relative:text">
                <v:textbox inset="0in,0in,0in,0in">
                  <w:txbxContent>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Gross Domestic Product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real percentage change, % YoY)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2257425"/>
                            <wp:effectExtent l="0" t="0" r="0" b="0"/>
                            <wp:docPr id="15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6" descr=""/>
                                    <pic:cNvPicPr>
                                      <a:picLocks noChangeAspect="1" noChangeArrowheads="1"/>
                                    </pic:cNvPicPr>
                                  </pic:nvPicPr>
                                  <pic:blipFill>
                                    <a:blip r:embed="rId139"/>
                                    <a:stretch>
                                      <a:fillRect/>
                                    </a:stretch>
                                  </pic:blipFill>
                                  <pic:spPr bwMode="auto">
                                    <a:xfrm>
                                      <a:off x="0" y="0"/>
                                      <a:ext cx="3810000" cy="2257425"/>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political front, following the presidential runoff election, the National Jury of Elections (JNE) officially proclaimed Keiko Fujimori as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5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7" descr=""/>
                    <pic:cNvPicPr>
                      <a:picLocks noChangeAspect="1" noChangeArrowheads="1"/>
                    </pic:cNvPicPr>
                  </pic:nvPicPr>
                  <pic:blipFill>
                    <a:blip r:embed="rId140"/>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5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8" descr=""/>
                          <pic:cNvPicPr>
                            <a:picLocks noChangeAspect="1" noChangeArrowheads="1"/>
                          </pic:cNvPicPr>
                        </pic:nvPicPr>
                        <pic:blipFill>
                          <a:blip r:embed="rId141"/>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FF00FF"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11. Economic Outlook</w:t>
            </w:r>
          </w:p>
        </w:tc>
        <w:tc>
          <w:tcPr>
            <w:tcW w:w="2720" w:type="dxa"/>
            <w:tcBorders/>
            <w:shd w:fill="FF00FF"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president-elect after securing 50.1% of valid votes, compared with 49.9% for Roberto Sánchez. Fujimori has reaffirmed Julio Velarde’s continuation as Governor of the Central Reserve Bank of Peru (BCRP).</w:t>
      </w:r>
    </w:p>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inflation in Metropolitan Lima closed 2Q26 at 4.0% YoY, its highest level since October 2023, and remained around that level throughout the quarter. Since March 2026, inflation has stayed above the upper bound of the BCRP’s target range (1%-3%), driven mainly by higher transportation costs following the increase in international oil prices. Core inflation excluding food and energy (SAE) also increased, ending 2Q26 at 4.5%, its highest level since June 2023, after having closed 2025 at a seven-year low of 1.8%. However, excluding transportation, SAE inflation stood at 1.6% YoY, remaining below the midpoint of the target range. </w:t>
      </w:r>
      <w:r>
        <mc:AlternateContent>
          <mc:Choice Requires="wps">
            <w:drawing>
              <wp:anchor behindDoc="0" distT="0" distB="0" distL="0" distR="101600" simplePos="0" locked="0" layoutInCell="1" allowOverlap="1" relativeHeight="19">
                <wp:simplePos x="0" y="0"/>
                <wp:positionH relativeFrom="column">
                  <wp:align>left</wp:align>
                </wp:positionH>
                <wp:positionV relativeFrom="line">
                  <wp:posOffset>635</wp:posOffset>
                </wp:positionV>
                <wp:extent cx="3239770" cy="2647950"/>
                <wp:effectExtent l="0" t="0" r="0" b="0"/>
                <wp:wrapSquare wrapText="right"/>
                <wp:docPr id="159" name="Frame19"/>
                <a:graphic xmlns:a="http://schemas.openxmlformats.org/drawingml/2006/main">
                  <a:graphicData uri="http://schemas.microsoft.com/office/word/2010/wordprocessingShape">
                    <wps:wsp>
                      <wps:cNvSpPr txBox="1"/>
                      <wps:spPr>
                        <a:xfrm>
                          <a:off x="0" y="0"/>
                          <a:ext cx="3239770" cy="2647950"/>
                        </a:xfrm>
                        <a:prstGeom prst="rect"/>
                        <a:solidFill>
                          <a:srgbClr val="FFFFFF"/>
                        </a:solidFill>
                      </wps:spPr>
                      <wps:txbx>
                        <w:txbxContent>
                          <w:p>
                            <w:pPr>
                              <w:pStyle w:val="TextBody"/>
                              <w:bidi w:val="0"/>
                              <w:spacing w:before="0" w:after="0"/>
                              <w:ind w:left="0" w:right="0" w:hanging="0"/>
                              <w:jc w:val="center"/>
                              <w:rPr>
                                <w:caps w:val="false"/>
                                <w:smallCaps w:val="false"/>
                              </w:rPr>
                            </w:pPr>
                            <w:r>
                              <w:rPr>
                                <w:caps w:val="false"/>
                                <w:smallCaps w:val="false"/>
                              </w:rPr>
                              <w:drawing>
                                <wp:inline distT="0" distB="0" distL="0" distR="0">
                                  <wp:extent cx="3810000" cy="2647950"/>
                                  <wp:effectExtent l="0" t="0" r="0" b="0"/>
                                  <wp:docPr id="16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9" descr=""/>
                                          <pic:cNvPicPr>
                                            <a:picLocks noChangeAspect="1" noChangeArrowheads="1"/>
                                          </pic:cNvPicPr>
                                        </pic:nvPicPr>
                                        <pic:blipFill>
                                          <a:blip r:embed="rId142"/>
                                          <a:stretch>
                                            <a:fillRect/>
                                          </a:stretch>
                                        </pic:blipFill>
                                        <pic:spPr bwMode="auto">
                                          <a:xfrm>
                                            <a:off x="0" y="0"/>
                                            <a:ext cx="3810000" cy="2647950"/>
                                          </a:xfrm>
                                          <a:prstGeom prst="rect">
                                            <a:avLst/>
                                          </a:prstGeom>
                                        </pic:spPr>
                                      </pic:pic>
                                    </a:graphicData>
                                  </a:graphic>
                                </wp:inline>
                              </w:drawing>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208.5pt;mso-wrap-distance-left:0pt;mso-wrap-distance-right:8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0" w:right="0" w:hanging="0"/>
                        <w:jc w:val="center"/>
                        <w:rPr>
                          <w:caps w:val="false"/>
                          <w:smallCaps w:val="false"/>
                        </w:rPr>
                      </w:pPr>
                      <w:r>
                        <w:rPr>
                          <w:caps w:val="false"/>
                          <w:smallCaps w:val="false"/>
                        </w:rPr>
                        <w:drawing>
                          <wp:inline distT="0" distB="0" distL="0" distR="0">
                            <wp:extent cx="3810000" cy="2647950"/>
                            <wp:effectExtent l="0" t="0" r="0" b="0"/>
                            <wp:docPr id="16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9" descr=""/>
                                    <pic:cNvPicPr>
                                      <a:picLocks noChangeAspect="1" noChangeArrowheads="1"/>
                                    </pic:cNvPicPr>
                                  </pic:nvPicPr>
                                  <pic:blipFill>
                                    <a:blip r:embed="rId143"/>
                                    <a:stretch>
                                      <a:fillRect/>
                                    </a:stretch>
                                  </pic:blipFill>
                                  <pic:spPr bwMode="auto">
                                    <a:xfrm>
                                      <a:off x="0" y="0"/>
                                      <a:ext cx="3810000" cy="2647950"/>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2Q26, the BCRP kept the policy rate unchanged at 4.25%. The last adjustment took place in September 2025, when the central bank cut the rate by 25 basis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annualized fiscal deficit narrowed to 1.3% of GDP in June 2026, its lowest level since mid-2022. Fiscal revenues increased 23.1% YoY in 2Q26, supported by elevated metal prices and strong domestic demand growth, while public spending rose 8.0% YoY, with current expenditure up 13.5% and gross fixed capital formation broadly unchanged (0.0% growth).</w:t>
      </w:r>
      <w:r>
        <mc:AlternateContent>
          <mc:Choice Requires="wps">
            <w:drawing>
              <wp:anchor behindDoc="0" distT="0" distB="0" distL="0" distR="101600" simplePos="0" locked="0" layoutInCell="1" allowOverlap="1" relativeHeight="2">
                <wp:simplePos x="0" y="0"/>
                <wp:positionH relativeFrom="column">
                  <wp:align>left</wp:align>
                </wp:positionH>
                <wp:positionV relativeFrom="line">
                  <wp:posOffset>635</wp:posOffset>
                </wp:positionV>
                <wp:extent cx="3239770" cy="2652395"/>
                <wp:effectExtent l="0" t="0" r="0" b="0"/>
                <wp:wrapSquare wrapText="right"/>
                <wp:docPr id="162" name="Frame20"/>
                <a:graphic xmlns:a="http://schemas.openxmlformats.org/drawingml/2006/main">
                  <a:graphicData uri="http://schemas.microsoft.com/office/word/2010/wordprocessingShape">
                    <wps:wsp>
                      <wps:cNvSpPr txBox="1"/>
                      <wps:spPr>
                        <a:xfrm>
                          <a:off x="0" y="0"/>
                          <a:ext cx="3239770" cy="2652395"/>
                        </a:xfrm>
                        <a:prstGeom prst="rect"/>
                        <a:solidFill>
                          <a:srgbClr val="FFFFFF"/>
                        </a:solidFill>
                      </wps:spPr>
                      <wps:txbx>
                        <w:txbxContent>
                          <w:p>
                            <w:pPr>
                              <w:pStyle w:val="TextBody"/>
                              <w:bidi w:val="0"/>
                              <w:spacing w:before="0" w:after="0"/>
                              <w:jc w:val="center"/>
                              <w:rPr/>
                            </w:pPr>
                            <w:r>
                              <w:rPr/>
                              <w:drawing>
                                <wp:inline distT="0" distB="0" distL="0" distR="0">
                                  <wp:extent cx="3810000" cy="2619375"/>
                                  <wp:effectExtent l="0" t="0" r="0" b="0"/>
                                  <wp:docPr id="16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0" descr=""/>
                                          <pic:cNvPicPr>
                                            <a:picLocks noChangeAspect="1" noChangeArrowheads="1"/>
                                          </pic:cNvPicPr>
                                        </pic:nvPicPr>
                                        <pic:blipFill>
                                          <a:blip r:embed="rId144"/>
                                          <a:stretch>
                                            <a:fillRect/>
                                          </a:stretch>
                                        </pic:blipFill>
                                        <pic:spPr bwMode="auto">
                                          <a:xfrm>
                                            <a:off x="0" y="0"/>
                                            <a:ext cx="3810000" cy="2619375"/>
                                          </a:xfrm>
                                          <a:prstGeom prst="rect">
                                            <a:avLst/>
                                          </a:prstGeom>
                                        </pic:spPr>
                                      </pic:pic>
                                    </a:graphicData>
                                  </a:graphic>
                                </wp:inline>
                              </w:drawing>
                            </w:r>
                            <w:r>
                              <w:rPr/>
                              <w:t> </w:t>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208.85pt;mso-wrap-distance-left:0pt;mso-wrap-distance-right:8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pPr>
                      <w:r>
                        <w:rPr/>
                        <w:drawing>
                          <wp:inline distT="0" distB="0" distL="0" distR="0">
                            <wp:extent cx="3810000" cy="2619375"/>
                            <wp:effectExtent l="0" t="0" r="0" b="0"/>
                            <wp:docPr id="16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0" descr=""/>
                                    <pic:cNvPicPr>
                                      <a:picLocks noChangeAspect="1" noChangeArrowheads="1"/>
                                    </pic:cNvPicPr>
                                  </pic:nvPicPr>
                                  <pic:blipFill>
                                    <a:blip r:embed="rId145"/>
                                    <a:stretch>
                                      <a:fillRect/>
                                    </a:stretch>
                                  </pic:blipFill>
                                  <pic:spPr bwMode="auto">
                                    <a:xfrm>
                                      <a:off x="0" y="0"/>
                                      <a:ext cx="3810000" cy="2619375"/>
                                    </a:xfrm>
                                    <a:prstGeom prst="rect">
                                      <a:avLst/>
                                    </a:prstGeom>
                                  </pic:spPr>
                                </pic:pic>
                              </a:graphicData>
                            </a:graphic>
                          </wp:inline>
                        </w:drawing>
                      </w:r>
                      <w:r>
                        <w:rPr/>
                        <w:t> </w:t>
                      </w:r>
                    </w:p>
                  </w:txbxContent>
                </v:textbox>
                <w10:wrap type="square" side="right"/>
              </v:rect>
            </w:pict>
          </mc:Fallback>
        </mc:AlternateContent>
      </w:r>
    </w:p>
    <w:p>
      <w:pPr>
        <w:pStyle w:val="TextBody"/>
        <w:bidi w:val="0"/>
        <w:spacing w:before="0" w:after="0"/>
        <w:ind w:left="405" w:right="594"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rating agencies (Moody’s, Fitch, and S&amp;P) made no rating actions during 2Q26. As a result, they continue to assign Peru investment-grade status with a stable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12-month cumulative trade balance surplus increased to USD 44 billion in May 2026, a new all-time high, driven by a 31.0% growth in exports amid elevated copper, gold, and silver prices. Imports, in turn, rose 14.8%, reflecting the strength of domestic demand and investment activity.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BCRP, the exchange rate closed 2Q26 at PEN 3.410 per U.S. dollar, a 2.2% appreciation relative to the end of 1Q26 and a 1.4% depreciation compared with the end of 2025. The currency weakened to PEN 3.529 per U.S. dollar in late April, reflecting both domestic factors, including uncertainty following the first round of the presidential election, and external factors, notably the surge in oil prices above USD 100 per barrel amid geopolitical tensions between the United States and Iran. Following the presidential runoff election, the sol appreciated to PEN 3.363 per U.S. dollar. Throughout the year, the BCRP remained active in the foreign exchange market to prevent exchange rate movements from deviating significantly from underlying fundamentals.</w:t>
      </w:r>
      <w:r>
        <mc:AlternateContent>
          <mc:Choice Requires="wps">
            <w:drawing>
              <wp:anchor behindDoc="0" distT="0" distB="0" distL="0" distR="101600" simplePos="0" locked="0" layoutInCell="1" allowOverlap="1" relativeHeight="22">
                <wp:simplePos x="0" y="0"/>
                <wp:positionH relativeFrom="column">
                  <wp:align>left</wp:align>
                </wp:positionH>
                <wp:positionV relativeFrom="line">
                  <wp:posOffset>635</wp:posOffset>
                </wp:positionV>
                <wp:extent cx="3239770" cy="2505075"/>
                <wp:effectExtent l="0" t="0" r="0" b="0"/>
                <wp:wrapSquare wrapText="right"/>
                <wp:docPr id="165" name="Frame21"/>
                <a:graphic xmlns:a="http://schemas.openxmlformats.org/drawingml/2006/main">
                  <a:graphicData uri="http://schemas.microsoft.com/office/word/2010/wordprocessingShape">
                    <wps:wsp>
                      <wps:cNvSpPr txBox="1"/>
                      <wps:spPr>
                        <a:xfrm>
                          <a:off x="0" y="0"/>
                          <a:ext cx="3239770" cy="2505075"/>
                        </a:xfrm>
                        <a:prstGeom prst="rect"/>
                        <a:solidFill>
                          <a:srgbClr val="FFFFFF"/>
                        </a:solidFill>
                      </wps:spPr>
                      <wps:txbx>
                        <w:txbxContent>
                          <w:p>
                            <w:pPr>
                              <w:pStyle w:val="TextBody"/>
                              <w:bidi w:val="0"/>
                              <w:spacing w:before="0" w:after="0"/>
                              <w:jc w:val="center"/>
                              <w:rPr/>
                            </w:pPr>
                            <w:r>
                              <w:rPr/>
                              <w:drawing>
                                <wp:inline distT="0" distB="0" distL="0" distR="0">
                                  <wp:extent cx="3810000" cy="2505075"/>
                                  <wp:effectExtent l="0" t="0" r="0" b="0"/>
                                  <wp:docPr id="16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1" descr=""/>
                                          <pic:cNvPicPr>
                                            <a:picLocks noChangeAspect="1" noChangeArrowheads="1"/>
                                          </pic:cNvPicPr>
                                        </pic:nvPicPr>
                                        <pic:blipFill>
                                          <a:blip r:embed="rId146"/>
                                          <a:stretch>
                                            <a:fillRect/>
                                          </a:stretch>
                                        </pic:blipFill>
                                        <pic:spPr bwMode="auto">
                                          <a:xfrm>
                                            <a:off x="0" y="0"/>
                                            <a:ext cx="3810000" cy="2505075"/>
                                          </a:xfrm>
                                          <a:prstGeom prst="rect">
                                            <a:avLst/>
                                          </a:prstGeom>
                                        </pic:spPr>
                                      </pic:pic>
                                    </a:graphicData>
                                  </a:graphic>
                                </wp:inline>
                              </w:drawing>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197.25pt;mso-wrap-distance-left:0pt;mso-wrap-distance-right:8pt;mso-wrap-distance-top:0pt;mso-wrap-distance-bottom:0pt;margin-top:0pt;mso-position-vertical:top;mso-position-vertical-relative:text;margin-left:263.1pt;mso-position-horizontal:left;mso-position-horizontal-relative:text">
                <v:textbox inset="0in,0in,0in,0in">
                  <w:txbxContent>
                    <w:p>
                      <w:pPr>
                        <w:pStyle w:val="TextBody"/>
                        <w:bidi w:val="0"/>
                        <w:spacing w:before="0" w:after="0"/>
                        <w:jc w:val="center"/>
                        <w:rPr/>
                      </w:pPr>
                      <w:r>
                        <w:rPr/>
                        <w:drawing>
                          <wp:inline distT="0" distB="0" distL="0" distR="0">
                            <wp:extent cx="3810000" cy="2505075"/>
                            <wp:effectExtent l="0" t="0" r="0" b="0"/>
                            <wp:docPr id="16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31" descr=""/>
                                    <pic:cNvPicPr>
                                      <a:picLocks noChangeAspect="1" noChangeArrowheads="1"/>
                                    </pic:cNvPicPr>
                                  </pic:nvPicPr>
                                  <pic:blipFill>
                                    <a:blip r:embed="rId147"/>
                                    <a:stretch>
                                      <a:fillRect/>
                                    </a:stretch>
                                  </pic:blipFill>
                                  <pic:spPr bwMode="auto">
                                    <a:xfrm>
                                      <a:off x="0" y="0"/>
                                      <a:ext cx="3810000" cy="2505075"/>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International Reserves (NIR) closed 2Q26 at USD 95.6 billion, up from USD 94.7 billion at the end of 1Q26.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6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2" descr=""/>
                    <pic:cNvPicPr>
                      <a:picLocks noChangeAspect="1" noChangeArrowheads="1"/>
                    </pic:cNvPicPr>
                  </pic:nvPicPr>
                  <pic:blipFill>
                    <a:blip r:embed="rId148"/>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7449" w:type="dxa"/>
        <w:jc w:val="left"/>
        <w:tblInd w:w="0" w:type="dxa"/>
        <w:tblLayout w:type="fixed"/>
        <w:tblCellMar>
          <w:top w:w="0" w:type="dxa"/>
          <w:left w:w="0" w:type="dxa"/>
          <w:bottom w:w="0" w:type="dxa"/>
          <w:right w:w="0" w:type="dxa"/>
        </w:tblCellMar>
      </w:tblPr>
      <w:tblGrid>
        <w:gridCol w:w="2359"/>
        <w:gridCol w:w="76"/>
        <w:gridCol w:w="2294"/>
        <w:gridCol w:w="2720"/>
      </w:tblGrid>
      <w:tr>
        <w:trPr/>
        <w:tc>
          <w:tcPr>
            <w:tcW w:w="2359" w:type="dxa"/>
            <w:tcBorders/>
            <w:shd w:fill="000000" w:val="clear"/>
            <w:vAlign w:val="center"/>
          </w:tcPr>
          <w:p>
            <w:pPr>
              <w:pStyle w:val="TableContents"/>
              <w:bidi w:val="0"/>
              <w:spacing w:before="0" w:after="283"/>
              <w:jc w:val="left"/>
              <w:rPr/>
            </w:pPr>
            <w:r>
              <w:rPr/>
              <w:t> </w:t>
            </w:r>
          </w:p>
        </w:tc>
        <w:tc>
          <w:tcPr>
            <w:tcW w:w="76" w:type="dxa"/>
            <w:tcBorders/>
            <w:shd w:fill="000000" w:val="clear"/>
            <w:vAlign w:val="center"/>
          </w:tcPr>
          <w:p>
            <w:pPr>
              <w:pStyle w:val="TableContents"/>
              <w:bidi w:val="0"/>
              <w:spacing w:before="0" w:after="283"/>
              <w:jc w:val="left"/>
              <w:rPr/>
            </w:pPr>
            <w:r>
              <w:rPr/>
              <w:t> </w:t>
            </w:r>
          </w:p>
        </w:tc>
        <w:tc>
          <w:tcPr>
            <w:tcW w:w="2294"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2359"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6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3" descr=""/>
                          <pic:cNvPicPr>
                            <a:picLocks noChangeAspect="1" noChangeArrowheads="1"/>
                          </pic:cNvPicPr>
                        </pic:nvPicPr>
                        <pic:blipFill>
                          <a:blip r:embed="rId149"/>
                          <a:stretch>
                            <a:fillRect/>
                          </a:stretch>
                        </pic:blipFill>
                        <pic:spPr bwMode="auto">
                          <a:xfrm>
                            <a:off x="0" y="0"/>
                            <a:ext cx="1257300" cy="209550"/>
                          </a:xfrm>
                          <a:prstGeom prst="rect">
                            <a:avLst/>
                          </a:prstGeom>
                        </pic:spPr>
                      </pic:pic>
                    </a:graphicData>
                  </a:graphic>
                </wp:inline>
              </w:drawing>
            </w:r>
          </w:p>
        </w:tc>
        <w:tc>
          <w:tcPr>
            <w:tcW w:w="76"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2294"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2359" w:type="dxa"/>
            <w:tcBorders/>
            <w:shd w:fill="000000" w:val="clear"/>
            <w:vAlign w:val="center"/>
          </w:tcPr>
          <w:p>
            <w:pPr>
              <w:pStyle w:val="TableContents"/>
              <w:bidi w:val="0"/>
              <w:spacing w:before="0" w:after="283"/>
              <w:jc w:val="left"/>
              <w:rPr/>
            </w:pPr>
            <w:r>
              <w:rPr/>
              <w:t> </w:t>
            </w:r>
          </w:p>
        </w:tc>
        <w:tc>
          <w:tcPr>
            <w:tcW w:w="76" w:type="dxa"/>
            <w:tcBorders/>
            <w:shd w:fill="000000" w:val="clear"/>
            <w:vAlign w:val="center"/>
          </w:tcPr>
          <w:p>
            <w:pPr>
              <w:pStyle w:val="TableContents"/>
              <w:bidi w:val="0"/>
              <w:spacing w:before="0" w:after="283"/>
              <w:jc w:val="left"/>
              <w:rPr/>
            </w:pPr>
            <w:r>
              <w:rPr/>
              <w:t> </w:t>
            </w:r>
          </w:p>
        </w:tc>
        <w:tc>
          <w:tcPr>
            <w:tcW w:w="2294"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729" w:type="dxa"/>
            <w:gridSpan w:val="3"/>
            <w:tcBorders/>
            <w:shd w:fill="FF00FF"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Safe Harbor for Forward-Looking Statements</w:t>
            </w:r>
          </w:p>
        </w:tc>
        <w:tc>
          <w:tcPr>
            <w:tcW w:w="2720" w:type="dxa"/>
            <w:tcBorders/>
            <w:shd w:fill="FF00FF"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occurrence of natural disasters or political or social instability in Peru;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adequacy of the dividends that our subsidiaries are able to pay to us, which may affect our ability to pay dividends to shareholders and corporate expenses;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Performance of, and volatility in, financial markets, including Latin-American and other markets;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frequency, severity and types of insured loss events;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Fluctuations in interest rate levels;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Foreign currency exchange rates, including the Sol/US Dollar exchange rate;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Deterioration in the quality of our loan portfolio;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Increasing levels of competition in Peru and other markets in which we operate;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Developments and changes in laws and regulations affecting the financial sector and adoption of new international guidelines;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the policies of central banks and/or foreign governments;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Effectiveness of our risk management policies and of our operational and security systems;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Losses associated with counterparty exposures;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scope of the coronavirus (“COVID-19”) outbreak, actions taken to contain the COVID-19 and related economic effects from such actions and our ability to maintain adequate staffing; and </w:t>
      </w:r>
    </w:p>
    <w:p>
      <w:pPr>
        <w:pStyle w:val="TextBody"/>
        <w:bidi w:val="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Bermuda laws and regulations applicable to so-called non-resident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7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4" descr=""/>
                    <pic:cNvPicPr>
                      <a:picLocks noChangeAspect="1" noChangeArrowheads="1"/>
                    </pic:cNvPicPr>
                  </pic:nvPicPr>
                  <pic:blipFill>
                    <a:blip r:embed="rId150"/>
                    <a:stretch>
                      <a:fillRect/>
                    </a:stretch>
                  </pic:blipFill>
                  <pic:spPr bwMode="auto">
                    <a:xfrm>
                      <a:off x="0" y="0"/>
                      <a:ext cx="7620000" cy="638175"/>
                    </a:xfrm>
                    <a:prstGeom prst="rect">
                      <a:avLst/>
                    </a:prstGeom>
                  </pic:spPr>
                </pic:pic>
              </a:graphicData>
            </a:graphic>
          </wp:inline>
        </w:drawing>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7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5" descr=""/>
                          <pic:cNvPicPr>
                            <a:picLocks noChangeAspect="1" noChangeArrowheads="1"/>
                          </pic:cNvPicPr>
                        </pic:nvPicPr>
                        <pic:blipFill>
                          <a:blip r:embed="rId151"/>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35"/>
        <w:gridCol w:w="1460"/>
      </w:tblGrid>
      <w:tr>
        <w:trPr/>
        <w:tc>
          <w:tcPr>
            <w:tcW w:w="635" w:type="dxa"/>
            <w:tcBorders/>
            <w:vAlign w:val="center"/>
          </w:tcPr>
          <w:p>
            <w:pPr>
              <w:pStyle w:val="TableContents"/>
              <w:bidi w:val="0"/>
              <w:spacing w:before="0" w:after="283"/>
              <w:jc w:val="left"/>
              <w:rPr>
                <w:b/>
                <w:sz w:val="58"/>
              </w:rPr>
            </w:pPr>
            <w:r>
              <w:rPr>
                <w:b/>
                <w:sz w:val="58"/>
              </w:rPr>
              <w:t>12</w:t>
            </w:r>
          </w:p>
        </w:tc>
        <w:tc>
          <w:tcPr>
            <w:tcW w:w="1460" w:type="dxa"/>
            <w:tcBorders/>
            <w:vAlign w:val="center"/>
          </w:tcPr>
          <w:p>
            <w:pPr>
              <w:pStyle w:val="TableContents"/>
              <w:bidi w:val="0"/>
              <w:spacing w:before="0" w:after="283"/>
              <w:jc w:val="left"/>
              <w:rPr>
                <w:sz w:val="36"/>
              </w:rPr>
            </w:pPr>
            <w:r>
              <w:rPr>
                <w:sz w:val="36"/>
              </w:rPr>
              <w:t>Appendix</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5585"/>
        <w:gridCol w:w="275"/>
      </w:tblGrid>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12.1. Evolution of Loans in Average Daily Balances</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45</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12.2. Loan Portfolio Quality</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45</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12.3. Net Interest Income (NII)</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49</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12.4. Net Interest Margin (NIM) and Risk Adjusted NIM</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49</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12.5. Physical Point of Contact</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50</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12.6. Regulatory Capital</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50</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 Financial Statements and Ratios by Business</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54</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12.7.1. Credicorp Consolidated</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54</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12.7.2. Credicorp Stand-alone</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56</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12.7.3. BCP Consolidated</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57</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12.7.4. BCP Stand-alone</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59</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12.7.5. BCP Bolivia</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61</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12.7.6. Mibanco</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62</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12.7.7. Prima AFP</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63</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12.7.8. Grupo Pacifico</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64</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12.7.9. Investment Management and Advisory</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65</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12.8. Table of Calculations</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66</w:t>
            </w:r>
          </w:p>
        </w:tc>
      </w:tr>
      <w:tr>
        <w:trPr/>
        <w:tc>
          <w:tcPr>
            <w:tcW w:w="5585"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12.9. Glossary of terms</w:t>
            </w:r>
          </w:p>
        </w:tc>
        <w:tc>
          <w:tcPr>
            <w:tcW w:w="275" w:type="dxa"/>
            <w:tcBorders/>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67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17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6" descr=""/>
                    <pic:cNvPicPr>
                      <a:picLocks noChangeAspect="1" noChangeArrowheads="1"/>
                    </pic:cNvPicPr>
                  </pic:nvPicPr>
                  <pic:blipFill>
                    <a:blip r:embed="rId152"/>
                    <a:stretch>
                      <a:fillRect/>
                    </a:stretch>
                  </pic:blipFill>
                  <pic:spPr bwMode="auto">
                    <a:xfrm>
                      <a:off x="0" y="0"/>
                      <a:ext cx="762000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416"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7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7" descr=""/>
                          <pic:cNvPicPr>
                            <a:picLocks noChangeAspect="1" noChangeArrowheads="1"/>
                          </pic:cNvPicPr>
                        </pic:nvPicPr>
                        <pic:blipFill>
                          <a:blip r:embed="rId153"/>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12.1. Evolution of Loans in Average Daily Balances</w:t>
      </w:r>
    </w:p>
    <w:p>
      <w:pPr>
        <w:pStyle w:val="TextBody"/>
        <w:bidi w:val="0"/>
        <w:ind w:left="0" w:right="0" w:hanging="0"/>
        <w:jc w:val="both"/>
        <w:rPr>
          <w:caps w:val="false"/>
          <w:smallCaps w:val="false"/>
        </w:rPr>
      </w:pPr>
      <w:r>
        <w:rPr>
          <w:caps w:val="false"/>
          <w:smallCaps w:val="false"/>
        </w:rPr>
        <w:t> </w:t>
      </w:r>
    </w:p>
    <w:p>
      <w:pPr>
        <w:pStyle w:val="TextBody"/>
        <w:bidi w:val="0"/>
        <w:spacing w:lineRule="auto"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(in Average Daily Balances) (1)(2)</w:t>
      </w:r>
    </w:p>
    <w:p>
      <w:pPr>
        <w:pStyle w:val="TextBody"/>
        <w:bidi w:val="0"/>
        <w:jc w:val="center"/>
        <w:rPr>
          <w:caps w:val="false"/>
          <w:smallCaps w:val="false"/>
        </w:rPr>
      </w:pPr>
      <w:r>
        <w:rPr>
          <w:caps w:val="false"/>
          <w:smallCaps w:val="false"/>
        </w:rPr>
        <w:t> </w:t>
      </w:r>
    </w:p>
    <w:tbl>
      <w:tblPr>
        <w:tblW w:w="7219" w:type="dxa"/>
        <w:jc w:val="left"/>
        <w:tblInd w:w="-10" w:type="dxa"/>
        <w:tblLayout w:type="fixed"/>
        <w:tblCellMar>
          <w:top w:w="28" w:type="dxa"/>
          <w:left w:w="60" w:type="dxa"/>
          <w:bottom w:w="0" w:type="dxa"/>
          <w:right w:w="28" w:type="dxa"/>
        </w:tblCellMar>
      </w:tblPr>
      <w:tblGrid>
        <w:gridCol w:w="1415"/>
        <w:gridCol w:w="605"/>
        <w:gridCol w:w="605"/>
        <w:gridCol w:w="605"/>
        <w:gridCol w:w="510"/>
        <w:gridCol w:w="619"/>
        <w:gridCol w:w="500"/>
        <w:gridCol w:w="560"/>
        <w:gridCol w:w="590"/>
        <w:gridCol w:w="605"/>
        <w:gridCol w:w="605"/>
      </w:tblGrid>
      <w:tr>
        <w:trPr/>
        <w:tc>
          <w:tcPr>
            <w:tcW w:w="1415" w:type="dxa"/>
            <w:tcBorders>
              <w:top w:val="single" w:sz="8" w:space="0" w:color="000000"/>
              <w:left w:val="single" w:sz="8" w:space="0" w:color="000000"/>
              <w:right w:val="single" w:sz="8" w:space="0" w:color="000000"/>
            </w:tcBorders>
            <w:shd w:fill="2A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Total Loans </w:t>
            </w:r>
          </w:p>
        </w:tc>
        <w:tc>
          <w:tcPr>
            <w:tcW w:w="605" w:type="dxa"/>
            <w:tcBorders>
              <w:top w:val="single" w:sz="8" w:space="0" w:color="000000"/>
            </w:tcBorders>
            <w:shd w:fill="2AD2C7" w:val="clear"/>
            <w:tcMar>
              <w:left w:w="0" w:type="dxa"/>
              <w:right w:w="0" w:type="dxa"/>
            </w:tcMar>
            <w:vAlign w:val="center"/>
          </w:tcPr>
          <w:p>
            <w:pPr>
              <w:pStyle w:val="TableContents"/>
              <w:bidi w:val="0"/>
              <w:spacing w:before="0" w:after="283"/>
              <w:jc w:val="center"/>
              <w:rPr>
                <w:color w:val="FFFFFF"/>
              </w:rPr>
            </w:pPr>
            <w:r>
              <w:rPr>
                <w:color w:val="FFFFFF"/>
              </w:rPr>
              <w:t> </w:t>
            </w:r>
          </w:p>
        </w:tc>
        <w:tc>
          <w:tcPr>
            <w:tcW w:w="605" w:type="dxa"/>
            <w:tcBorders>
              <w:top w:val="single" w:sz="8" w:space="0" w:color="000000"/>
            </w:tcBorders>
            <w:shd w:fill="2A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605"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color w:val="FFFFFF"/>
              </w:rPr>
            </w:pPr>
            <w:r>
              <w:rPr>
                <w:color w:val="FFFFFF"/>
              </w:rPr>
              <w:t> </w:t>
            </w:r>
          </w:p>
        </w:tc>
        <w:tc>
          <w:tcPr>
            <w:tcW w:w="1129"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Volume change</w:t>
            </w:r>
          </w:p>
        </w:tc>
        <w:tc>
          <w:tcPr>
            <w:tcW w:w="106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 </w:t>
            </w:r>
          </w:p>
        </w:tc>
        <w:tc>
          <w:tcPr>
            <w:tcW w:w="1800" w:type="dxa"/>
            <w:gridSpan w:val="3"/>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Part. in total  loans</w:t>
            </w:r>
          </w:p>
        </w:tc>
      </w:tr>
      <w:tr>
        <w:trPr/>
        <w:tc>
          <w:tcPr>
            <w:tcW w:w="1415" w:type="dxa"/>
            <w:tcBorders>
              <w:left w:val="single" w:sz="8" w:space="0" w:color="000000"/>
              <w:bottom w:val="single" w:sz="8" w:space="0" w:color="000000"/>
              <w:right w:val="single" w:sz="8" w:space="0" w:color="000000"/>
            </w:tcBorders>
            <w:shd w:fill="2AD2C7" w:val="clear"/>
            <w:tcMar>
              <w:top w:w="0" w:type="dxa"/>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color w:val="FFFFFF"/>
                <w:sz w:val="16"/>
              </w:rPr>
            </w:pPr>
            <w:r>
              <w:rPr>
                <w:rFonts w:ascii="Times New Roman;Times;Serif" w:hAnsi="Times New Roman;Times;Serif"/>
                <w:b w:val="false"/>
                <w:i w:val="false"/>
                <w:caps w:val="false"/>
                <w:smallCaps w:val="false"/>
                <w:color w:val="FFFFFF"/>
                <w:sz w:val="16"/>
              </w:rPr>
              <w:t>(S/ millions) </w:t>
            </w:r>
          </w:p>
        </w:tc>
        <w:tc>
          <w:tcPr>
            <w:tcW w:w="605"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 </w:t>
            </w:r>
          </w:p>
        </w:tc>
        <w:tc>
          <w:tcPr>
            <w:tcW w:w="605"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605"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w:t>
            </w:r>
          </w:p>
        </w:tc>
        <w:tc>
          <w:tcPr>
            <w:tcW w:w="51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xml:space="preserve">QoQ </w:t>
            </w:r>
          </w:p>
        </w:tc>
        <w:tc>
          <w:tcPr>
            <w:tcW w:w="619"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50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w:t>
            </w:r>
          </w:p>
        </w:tc>
        <w:tc>
          <w:tcPr>
            <w:tcW w:w="56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YoY </w:t>
            </w:r>
          </w:p>
        </w:tc>
        <w:tc>
          <w:tcPr>
            <w:tcW w:w="59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w:t>
            </w:r>
          </w:p>
        </w:tc>
        <w:tc>
          <w:tcPr>
            <w:tcW w:w="605"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Mar 26 </w:t>
            </w:r>
          </w:p>
        </w:tc>
        <w:tc>
          <w:tcPr>
            <w:tcW w:w="605"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0"/>
              <w:ind w:left="0" w:right="0" w:hanging="108"/>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w:t>
            </w:r>
          </w:p>
        </w:tc>
      </w:tr>
      <w:tr>
        <w:trPr/>
        <w:tc>
          <w:tcPr>
            <w:tcW w:w="1415" w:type="dxa"/>
            <w:tcBorders>
              <w:left w:val="single" w:sz="8" w:space="0" w:color="000000"/>
              <w:right w:val="single" w:sz="8" w:space="0" w:color="000000"/>
            </w:tcBorders>
            <w:tcMar>
              <w:top w:w="0" w:type="dxa"/>
              <w:left w:w="153" w:type="dxa"/>
              <w:right w:w="432"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BCP Stand-alone</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119,142</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124,030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131,373</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7,343</w:t>
            </w:r>
          </w:p>
        </w:tc>
        <w:tc>
          <w:tcPr>
            <w:tcW w:w="619" w:type="dxa"/>
            <w:tcBorders>
              <w:right w:val="single" w:sz="8" w:space="0" w:color="000000"/>
            </w:tcBorders>
            <w:shd w:fill="24D07A"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12,231</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5.9%</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10.3%</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81.8%</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82.4%</w:t>
            </w:r>
          </w:p>
        </w:tc>
        <w:tc>
          <w:tcPr>
            <w:tcW w:w="605" w:type="dxa"/>
            <w:tcBorders>
              <w:right w:val="single" w:sz="8" w:space="0" w:color="000000"/>
            </w:tcBorders>
            <w:tcMar>
              <w:top w:w="0" w:type="dxa"/>
              <w:left w:w="0" w:type="dxa"/>
            </w:tcMar>
            <w:vAlign w:val="center"/>
          </w:tcPr>
          <w:p>
            <w:pPr>
              <w:pStyle w:val="TableContents"/>
              <w:bidi w:val="0"/>
              <w:spacing w:before="0" w:after="283"/>
              <w:ind w:left="0" w:right="0" w:hanging="106"/>
              <w:jc w:val="center"/>
              <w:rPr>
                <w:rFonts w:ascii="Times New Roman;Times;Serif" w:hAnsi="Times New Roman;Times;Serif"/>
                <w:b/>
                <w:sz w:val="16"/>
              </w:rPr>
            </w:pPr>
            <w:r>
              <w:rPr>
                <w:rFonts w:ascii="Times New Roman;Times;Serif" w:hAnsi="Times New Roman;Times;Serif"/>
                <w:b/>
                <w:sz w:val="16"/>
              </w:rPr>
              <w:t>83.2%</w:t>
            </w:r>
          </w:p>
        </w:tc>
      </w:tr>
      <w:tr>
        <w:trPr/>
        <w:tc>
          <w:tcPr>
            <w:tcW w:w="1415" w:type="dxa"/>
            <w:tcBorders>
              <w:left w:val="single" w:sz="8" w:space="0" w:color="000000"/>
              <w:right w:val="single" w:sz="8" w:space="0" w:color="000000"/>
            </w:tcBorders>
            <w:tcMar>
              <w:top w:w="0" w:type="dxa"/>
              <w:left w:w="258" w:type="dxa"/>
              <w:right w:w="432"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Wholesale Banking</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54,096</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55,554</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58,831</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3,277</w:t>
            </w:r>
          </w:p>
        </w:tc>
        <w:tc>
          <w:tcPr>
            <w:tcW w:w="619" w:type="dxa"/>
            <w:tcBorders>
              <w:right w:val="single" w:sz="8" w:space="0" w:color="000000"/>
            </w:tcBorders>
            <w:shd w:fill="24D07A"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4,735</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5.9%</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8.8%</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37.1%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36.9%</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37.3%</w:t>
            </w:r>
          </w:p>
        </w:tc>
      </w:tr>
      <w:tr>
        <w:trPr/>
        <w:tc>
          <w:tcPr>
            <w:tcW w:w="1415" w:type="dxa"/>
            <w:tcBorders>
              <w:left w:val="single" w:sz="8" w:space="0" w:color="000000"/>
              <w:right w:val="single" w:sz="8" w:space="0" w:color="000000"/>
            </w:tcBorders>
            <w:tcMar>
              <w:top w:w="0" w:type="dxa"/>
              <w:left w:w="258" w:type="dxa"/>
              <w:right w:w="52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Corporate</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32,206</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32,532</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34,981</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2,448</w:t>
            </w:r>
          </w:p>
        </w:tc>
        <w:tc>
          <w:tcPr>
            <w:tcW w:w="619"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2,775</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21.6%</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22.2%</w:t>
            </w:r>
          </w:p>
        </w:tc>
      </w:tr>
      <w:tr>
        <w:trPr/>
        <w:tc>
          <w:tcPr>
            <w:tcW w:w="1415" w:type="dxa"/>
            <w:tcBorders>
              <w:left w:val="single" w:sz="8" w:space="0" w:color="000000"/>
              <w:right w:val="single" w:sz="8" w:space="0" w:color="000000"/>
            </w:tcBorders>
            <w:tcMar>
              <w:top w:w="0" w:type="dxa"/>
              <w:left w:w="258" w:type="dxa"/>
              <w:right w:w="52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Middle - Market</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21,891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23,022</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23,850</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828</w:t>
            </w:r>
          </w:p>
        </w:tc>
        <w:tc>
          <w:tcPr>
            <w:tcW w:w="619"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1,960</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15.0%</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15.3%</w:t>
            </w:r>
          </w:p>
        </w:tc>
        <w:tc>
          <w:tcPr>
            <w:tcW w:w="605" w:type="dxa"/>
            <w:tcBorders>
              <w:right w:val="single" w:sz="8" w:space="0" w:color="000000"/>
            </w:tcBorders>
            <w:tcMar>
              <w:top w:w="0" w:type="dxa"/>
              <w:left w:w="0" w:type="dxa"/>
            </w:tcMar>
            <w:vAlign w:val="center"/>
          </w:tcPr>
          <w:p>
            <w:pPr>
              <w:pStyle w:val="TableContents"/>
              <w:bidi w:val="0"/>
              <w:spacing w:before="0" w:after="283"/>
              <w:ind w:left="0" w:right="0" w:hanging="106"/>
              <w:jc w:val="center"/>
              <w:rPr>
                <w:rFonts w:ascii="Times New Roman;Times;Serif" w:hAnsi="Times New Roman;Times;Serif"/>
                <w:sz w:val="16"/>
              </w:rPr>
            </w:pPr>
            <w:r>
              <w:rPr>
                <w:rFonts w:ascii="Times New Roman;Times;Serif" w:hAnsi="Times New Roman;Times;Serif"/>
                <w:sz w:val="16"/>
              </w:rPr>
              <w:t>15.1%</w:t>
            </w:r>
          </w:p>
        </w:tc>
      </w:tr>
      <w:tr>
        <w:trPr/>
        <w:tc>
          <w:tcPr>
            <w:tcW w:w="1415" w:type="dxa"/>
            <w:tcBorders>
              <w:left w:val="single" w:sz="8" w:space="0" w:color="000000"/>
              <w:right w:val="single" w:sz="8" w:space="0" w:color="000000"/>
            </w:tcBorders>
            <w:tcMar>
              <w:top w:w="0" w:type="dxa"/>
              <w:left w:w="258" w:type="dxa"/>
              <w:right w:w="574"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Retail Banking</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65,046</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68,475</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72,541</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4,066</w:t>
            </w:r>
          </w:p>
        </w:tc>
        <w:tc>
          <w:tcPr>
            <w:tcW w:w="619" w:type="dxa"/>
            <w:tcBorders>
              <w:right w:val="single" w:sz="8" w:space="0" w:color="000000"/>
            </w:tcBorders>
            <w:shd w:fill="24D079"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7,496</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5.9%</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11.5%</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44.7%</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45.5%</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45.9%</w:t>
            </w:r>
          </w:p>
        </w:tc>
      </w:tr>
      <w:tr>
        <w:trPr/>
        <w:tc>
          <w:tcPr>
            <w:tcW w:w="1415" w:type="dxa"/>
            <w:tcBorders>
              <w:left w:val="single" w:sz="8" w:space="0" w:color="000000"/>
              <w:right w:val="single" w:sz="8" w:space="0" w:color="000000"/>
            </w:tcBorders>
            <w:tcMar>
              <w:top w:w="0" w:type="dxa"/>
              <w:left w:w="258" w:type="dxa"/>
              <w:right w:w="57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SME - Business</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7,521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6,969</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7,153</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184</w:t>
            </w:r>
          </w:p>
        </w:tc>
        <w:tc>
          <w:tcPr>
            <w:tcW w:w="619"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-368</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r>
      <w:tr>
        <w:trPr/>
        <w:tc>
          <w:tcPr>
            <w:tcW w:w="1415" w:type="dxa"/>
            <w:tcBorders>
              <w:left w:val="single" w:sz="8" w:space="0" w:color="000000"/>
              <w:right w:val="single" w:sz="8" w:space="0" w:color="000000"/>
            </w:tcBorders>
            <w:tcMar>
              <w:top w:w="0" w:type="dxa"/>
              <w:left w:w="258" w:type="dxa"/>
              <w:right w:w="57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SME - Pyme</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15,922</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16,787</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17,720</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933</w:t>
            </w:r>
          </w:p>
        </w:tc>
        <w:tc>
          <w:tcPr>
            <w:tcW w:w="619" w:type="dxa"/>
            <w:tcBorders>
              <w:right w:val="single" w:sz="8" w:space="0" w:color="000000"/>
            </w:tcBorders>
            <w:shd w:fill="24D079"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1,798</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11.3%</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w:t>
            </w:r>
          </w:p>
        </w:tc>
      </w:tr>
      <w:tr>
        <w:trPr/>
        <w:tc>
          <w:tcPr>
            <w:tcW w:w="1415" w:type="dxa"/>
            <w:tcBorders>
              <w:left w:val="single" w:sz="8" w:space="0" w:color="000000"/>
              <w:right w:val="single" w:sz="8" w:space="0" w:color="000000"/>
            </w:tcBorders>
            <w:tcMar>
              <w:top w:w="0" w:type="dxa"/>
              <w:left w:w="258" w:type="dxa"/>
              <w:right w:w="57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Mortgage</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22,439</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24,030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24,604</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574</w:t>
            </w:r>
          </w:p>
        </w:tc>
        <w:tc>
          <w:tcPr>
            <w:tcW w:w="619"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2,165</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15.6%</w:t>
            </w:r>
          </w:p>
        </w:tc>
      </w:tr>
      <w:tr>
        <w:trPr/>
        <w:tc>
          <w:tcPr>
            <w:tcW w:w="1415" w:type="dxa"/>
            <w:tcBorders>
              <w:left w:val="single" w:sz="8" w:space="0" w:color="000000"/>
              <w:right w:val="single" w:sz="8" w:space="0" w:color="000000"/>
            </w:tcBorders>
            <w:tcMar>
              <w:top w:w="0" w:type="dxa"/>
              <w:left w:w="258" w:type="dxa"/>
              <w:right w:w="57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Consumer</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13,207</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14,343</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16,510</w:t>
            </w:r>
          </w:p>
        </w:tc>
        <w:tc>
          <w:tcPr>
            <w:tcW w:w="510" w:type="dxa"/>
            <w:tcBorders/>
            <w:shd w:fill="24D07A"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2,166</w:t>
            </w:r>
          </w:p>
        </w:tc>
        <w:tc>
          <w:tcPr>
            <w:tcW w:w="619" w:type="dxa"/>
            <w:tcBorders>
              <w:right w:val="single" w:sz="8" w:space="0" w:color="000000"/>
            </w:tcBorders>
            <w:shd w:fill="24D07A" w:val="clear"/>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3,303</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w:t>
            </w:r>
          </w:p>
        </w:tc>
      </w:tr>
      <w:tr>
        <w:trPr/>
        <w:tc>
          <w:tcPr>
            <w:tcW w:w="1415" w:type="dxa"/>
            <w:tcBorders>
              <w:left w:val="single" w:sz="8" w:space="0" w:color="000000"/>
              <w:right w:val="single" w:sz="8" w:space="0" w:color="000000"/>
            </w:tcBorders>
            <w:tcMar>
              <w:top w:w="0" w:type="dxa"/>
              <w:left w:w="258" w:type="dxa"/>
              <w:right w:w="57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Credit Card</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5,957</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6,346</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6,555</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w:t>
            </w:r>
          </w:p>
        </w:tc>
        <w:tc>
          <w:tcPr>
            <w:tcW w:w="619"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598</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r>
      <w:tr>
        <w:trPr/>
        <w:tc>
          <w:tcPr>
            <w:tcW w:w="1415" w:type="dxa"/>
            <w:tcBorders>
              <w:left w:val="single" w:sz="8" w:space="0" w:color="000000"/>
              <w:right w:val="single" w:sz="8" w:space="0" w:color="000000"/>
            </w:tcBorders>
            <w:tcMar>
              <w:top w:w="0" w:type="dxa"/>
              <w:left w:w="47"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Mibanco</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12,514</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13,588</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14,124</w:t>
            </w:r>
          </w:p>
        </w:tc>
        <w:tc>
          <w:tcPr>
            <w:tcW w:w="5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536</w:t>
            </w:r>
          </w:p>
        </w:tc>
        <w:tc>
          <w:tcPr>
            <w:tcW w:w="619"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1,611</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12.9%</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8.6%</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8.9%</w:t>
            </w:r>
          </w:p>
        </w:tc>
      </w:tr>
      <w:tr>
        <w:trPr/>
        <w:tc>
          <w:tcPr>
            <w:tcW w:w="1415" w:type="dxa"/>
            <w:tcBorders>
              <w:left w:val="single" w:sz="8" w:space="0" w:color="000000"/>
              <w:right w:val="single" w:sz="8" w:space="0" w:color="000000"/>
            </w:tcBorders>
            <w:tcMar>
              <w:top w:w="0" w:type="dxa"/>
              <w:left w:w="47" w:type="dxa"/>
              <w:right w:w="574"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Mibanco Colombia</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1,889</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2,390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2,681</w:t>
            </w:r>
          </w:p>
        </w:tc>
        <w:tc>
          <w:tcPr>
            <w:tcW w:w="510" w:type="dxa"/>
            <w:tcBorders/>
            <w:shd w:fill="24D07A"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291</w:t>
            </w:r>
          </w:p>
        </w:tc>
        <w:tc>
          <w:tcPr>
            <w:tcW w:w="619" w:type="dxa"/>
            <w:tcBorders>
              <w:right w:val="single" w:sz="8" w:space="0" w:color="000000"/>
            </w:tcBorders>
            <w:shd w:fill="24D07A"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792</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12.2%</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41.9%</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w:t>
            </w:r>
          </w:p>
        </w:tc>
      </w:tr>
      <w:tr>
        <w:trPr/>
        <w:tc>
          <w:tcPr>
            <w:tcW w:w="1415" w:type="dxa"/>
            <w:tcBorders>
              <w:left w:val="single" w:sz="8" w:space="0" w:color="000000"/>
              <w:right w:val="single" w:sz="8" w:space="0" w:color="000000"/>
            </w:tcBorders>
            <w:tcMar>
              <w:top w:w="0" w:type="dxa"/>
              <w:left w:w="47" w:type="dxa"/>
              <w:right w:w="574"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Bolivia</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10,542</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9,067</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8,345</w:t>
            </w:r>
          </w:p>
        </w:tc>
        <w:tc>
          <w:tcPr>
            <w:tcW w:w="510" w:type="dxa"/>
            <w:tcBorders/>
            <w:shd w:fill="CC3399"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-722</w:t>
            </w:r>
          </w:p>
        </w:tc>
        <w:tc>
          <w:tcPr>
            <w:tcW w:w="619" w:type="dxa"/>
            <w:tcBorders>
              <w:right w:val="single" w:sz="8" w:space="0" w:color="000000"/>
            </w:tcBorders>
            <w:shd w:fill="CC3399" w:val="clear"/>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-2,198</w:t>
            </w:r>
          </w:p>
        </w:tc>
        <w:tc>
          <w:tcPr>
            <w:tcW w:w="50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-8.0%</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-20.8%</w:t>
            </w:r>
          </w:p>
        </w:tc>
        <w:tc>
          <w:tcPr>
            <w:tcW w:w="59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7.2%</w:t>
            </w:r>
          </w:p>
        </w:tc>
        <w:tc>
          <w:tcPr>
            <w:tcW w:w="60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w:t>
            </w:r>
          </w:p>
        </w:tc>
      </w:tr>
      <w:tr>
        <w:trPr/>
        <w:tc>
          <w:tcPr>
            <w:tcW w:w="141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ASB Bank Corp.</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1,560</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1,356</w:t>
            </w:r>
          </w:p>
        </w:tc>
        <w:tc>
          <w:tcPr>
            <w:tcW w:w="60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1,354</w:t>
            </w:r>
          </w:p>
        </w:tc>
        <w:tc>
          <w:tcPr>
            <w:tcW w:w="51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w:t>
            </w:r>
          </w:p>
        </w:tc>
        <w:tc>
          <w:tcPr>
            <w:tcW w:w="619" w:type="dxa"/>
            <w:tcBorders>
              <w:bottom w:val="single" w:sz="8" w:space="0" w:color="000000"/>
              <w:right w:val="single" w:sz="8" w:space="0" w:color="000000"/>
            </w:tcBorders>
            <w:shd w:fill="CC339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-205</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-0.1%</w:t>
            </w:r>
          </w:p>
        </w:tc>
        <w:tc>
          <w:tcPr>
            <w:tcW w:w="5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-13.2%</w:t>
            </w:r>
          </w:p>
        </w:tc>
        <w:tc>
          <w:tcPr>
            <w:tcW w:w="59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0.9%</w:t>
            </w:r>
          </w:p>
        </w:tc>
        <w:tc>
          <w:tcPr>
            <w:tcW w:w="60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0.9%</w:t>
            </w:r>
          </w:p>
        </w:tc>
      </w:tr>
      <w:tr>
        <w:trPr/>
        <w:tc>
          <w:tcPr>
            <w:tcW w:w="141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BAP’s total loans</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145,647</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150,430</w:t>
            </w:r>
          </w:p>
        </w:tc>
        <w:tc>
          <w:tcPr>
            <w:tcW w:w="60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157,877</w:t>
            </w:r>
          </w:p>
        </w:tc>
        <w:tc>
          <w:tcPr>
            <w:tcW w:w="51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7,446</w:t>
            </w:r>
          </w:p>
        </w:tc>
        <w:tc>
          <w:tcPr>
            <w:tcW w:w="61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12,230</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5.0%</w:t>
            </w:r>
          </w:p>
        </w:tc>
        <w:tc>
          <w:tcPr>
            <w:tcW w:w="5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8.4%</w:t>
            </w:r>
          </w:p>
        </w:tc>
        <w:tc>
          <w:tcPr>
            <w:tcW w:w="59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100.0%</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100.0%</w:t>
            </w:r>
          </w:p>
        </w:tc>
        <w:tc>
          <w:tcPr>
            <w:tcW w:w="60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100.0%</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consolidation purposes, loans generated in FC are converted to LC. </w:t>
      </w:r>
    </w:p>
    <w:tbl>
      <w:tblPr>
        <w:tblW w:w="6130" w:type="dxa"/>
        <w:jc w:val="left"/>
        <w:tblInd w:w="0" w:type="dxa"/>
        <w:tblLayout w:type="fixed"/>
        <w:tblCellMar>
          <w:top w:w="0" w:type="dxa"/>
          <w:left w:w="0" w:type="dxa"/>
          <w:bottom w:w="0" w:type="dxa"/>
          <w:right w:w="0" w:type="dxa"/>
        </w:tblCellMar>
      </w:tblPr>
      <w:tblGrid>
        <w:gridCol w:w="3935"/>
        <w:gridCol w:w="60"/>
        <w:gridCol w:w="60"/>
        <w:gridCol w:w="2075"/>
      </w:tblGrid>
      <w:tr>
        <w:trPr/>
        <w:tc>
          <w:tcPr>
            <w:tcW w:w="393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 Includes Special accounts, and other banking. </w:t>
            </w:r>
          </w:p>
        </w:tc>
        <w:tc>
          <w:tcPr>
            <w:tcW w:w="60" w:type="dxa"/>
            <w:tcBorders/>
            <w:shd w:fill="CC3398"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Larger contraction in volume</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 Portfolio Management Figures. Non-audited figures.</w:t>
            </w:r>
          </w:p>
        </w:tc>
        <w:tc>
          <w:tcPr>
            <w:tcW w:w="60" w:type="dxa"/>
            <w:tcBorders/>
            <w:shd w:fill="25D07B"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Larger expansion in volume</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Loan Portfolio Quality</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Quality Ratios by Segment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Wholesale Banking</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667500" cy="2181225"/>
            <wp:effectExtent l="0" t="0" r="0" b="0"/>
            <wp:docPr id="17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8" descr=""/>
                    <pic:cNvPicPr>
                      <a:picLocks noChangeAspect="1" noChangeArrowheads="1"/>
                    </pic:cNvPicPr>
                  </pic:nvPicPr>
                  <pic:blipFill>
                    <a:blip r:embed="rId154"/>
                    <a:stretch>
                      <a:fillRect/>
                    </a:stretch>
                  </pic:blipFill>
                  <pic:spPr bwMode="auto">
                    <a:xfrm>
                      <a:off x="0" y="0"/>
                      <a:ext cx="6667500" cy="2181225"/>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638175"/>
            <wp:effectExtent l="0" t="0" r="0" b="0"/>
            <wp:docPr id="17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9" descr=""/>
                    <pic:cNvPicPr>
                      <a:picLocks noChangeAspect="1" noChangeArrowheads="1"/>
                    </pic:cNvPicPr>
                  </pic:nvPicPr>
                  <pic:blipFill>
                    <a:blip r:embed="rId155"/>
                    <a:stretch>
                      <a:fillRect/>
                    </a:stretch>
                  </pic:blipFill>
                  <pic:spPr bwMode="auto">
                    <a:xfrm>
                      <a:off x="0" y="0"/>
                      <a:ext cx="7620000" cy="638175"/>
                    </a:xfrm>
                    <a:prstGeom prst="rect">
                      <a:avLst/>
                    </a:prstGeom>
                  </pic:spPr>
                </pic:pic>
              </a:graphicData>
            </a:graphic>
          </wp:inline>
        </w:drawing>
      </w:r>
      <w:r>
        <w:rPr>
          <w:caps w:val="false"/>
          <w:smallCaps w:val="false"/>
        </w:rPr>
        <w:t> </w:t>
      </w:r>
    </w:p>
    <w:p>
      <w:pPr>
        <w:pStyle w:val="TextBody"/>
        <w:bidi w:val="0"/>
        <w:spacing w:before="0" w:after="0"/>
        <w:ind w:left="176" w:right="0" w:hanging="0"/>
        <w:jc w:val="left"/>
        <w:rPr>
          <w:caps w:val="false"/>
          <w:smallCaps w:val="false"/>
          <w:color w:val="FF0000"/>
        </w:rPr>
      </w:pPr>
      <w:r>
        <w:rPr>
          <w:caps w:val="false"/>
          <w:smallCaps w:val="false"/>
          <w:color w:val="FF000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151" w:right="571" w:hanging="0"/>
        <w:jc w:val="center"/>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7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0" descr=""/>
                          <pic:cNvPicPr>
                            <a:picLocks noChangeAspect="1" noChangeArrowheads="1"/>
                          </pic:cNvPicPr>
                        </pic:nvPicPr>
                        <pic:blipFill>
                          <a:blip r:embed="rId156"/>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ind w:left="151" w:right="571" w:hanging="0"/>
        <w:jc w:val="center"/>
        <w:rPr>
          <w:caps w:val="false"/>
          <w:smallCaps w:val="false"/>
        </w:rPr>
      </w:pPr>
      <w:r>
        <w:rPr>
          <w:caps w:val="false"/>
          <w:smallCaps w:val="false"/>
        </w:rPr>
        <w:t> </w:t>
      </w:r>
    </w:p>
    <w:p>
      <w:pPr>
        <w:pStyle w:val="TextBody"/>
        <w:bidi w:val="0"/>
        <w:spacing w:before="0" w:after="0"/>
        <w:ind w:left="151" w:right="57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SME-Business</w:t>
      </w:r>
    </w:p>
    <w:p>
      <w:pPr>
        <w:pStyle w:val="TextBody"/>
        <w:bidi w:val="0"/>
        <w:spacing w:before="0" w:after="0"/>
        <w:ind w:left="151" w:right="571" w:hanging="0"/>
        <w:jc w:val="center"/>
        <w:rPr>
          <w:caps w:val="false"/>
          <w:smallCaps w:val="false"/>
        </w:rPr>
      </w:pPr>
      <w:r>
        <w:rPr>
          <w:caps w:val="false"/>
          <w:smallCaps w:val="false"/>
        </w:rPr>
        <w:t> </w:t>
      </w:r>
    </w:p>
    <w:p>
      <w:pPr>
        <w:pStyle w:val="TextBody"/>
        <w:bidi w:val="0"/>
        <w:spacing w:before="0" w:after="0"/>
        <w:ind w:left="151" w:right="571" w:hanging="0"/>
        <w:jc w:val="center"/>
        <w:rPr>
          <w:caps w:val="false"/>
          <w:smallCaps w:val="false"/>
        </w:rPr>
      </w:pPr>
      <w:r>
        <w:rPr>
          <w:caps w:val="false"/>
          <w:smallCaps w:val="false"/>
        </w:rPr>
        <w:drawing>
          <wp:inline distT="0" distB="0" distL="0" distR="0">
            <wp:extent cx="6667500" cy="2209800"/>
            <wp:effectExtent l="0" t="0" r="0" b="0"/>
            <wp:docPr id="17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1" descr=""/>
                    <pic:cNvPicPr>
                      <a:picLocks noChangeAspect="1" noChangeArrowheads="1"/>
                    </pic:cNvPicPr>
                  </pic:nvPicPr>
                  <pic:blipFill>
                    <a:blip r:embed="rId157"/>
                    <a:stretch>
                      <a:fillRect/>
                    </a:stretch>
                  </pic:blipFill>
                  <pic:spPr bwMode="auto">
                    <a:xfrm>
                      <a:off x="0" y="0"/>
                      <a:ext cx="6667500" cy="22098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151" w:right="56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SME-Pyme</w:t>
      </w:r>
    </w:p>
    <w:p>
      <w:pPr>
        <w:pStyle w:val="TextBody"/>
        <w:bidi w:val="0"/>
        <w:spacing w:before="0" w:after="0"/>
        <w:ind w:left="151" w:right="569" w:hanging="0"/>
        <w:jc w:val="center"/>
        <w:rPr>
          <w:caps w:val="false"/>
          <w:smallCaps w:val="false"/>
        </w:rPr>
      </w:pPr>
      <w:r>
        <w:rPr>
          <w:caps w:val="false"/>
          <w:smallCaps w:val="false"/>
        </w:rPr>
        <w:t> </w:t>
      </w:r>
    </w:p>
    <w:p>
      <w:pPr>
        <w:pStyle w:val="TextBody"/>
        <w:bidi w:val="0"/>
        <w:spacing w:before="0" w:after="0"/>
        <w:ind w:left="151" w:right="569" w:hanging="0"/>
        <w:jc w:val="center"/>
        <w:rPr>
          <w:caps w:val="false"/>
          <w:smallCaps w:val="false"/>
        </w:rPr>
      </w:pPr>
      <w:r>
        <w:rPr>
          <w:caps w:val="false"/>
          <w:smallCaps w:val="false"/>
        </w:rPr>
        <w:drawing>
          <wp:inline distT="0" distB="0" distL="0" distR="0">
            <wp:extent cx="6667500" cy="2114550"/>
            <wp:effectExtent l="0" t="0" r="0" b="0"/>
            <wp:docPr id="17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2" descr=""/>
                    <pic:cNvPicPr>
                      <a:picLocks noChangeAspect="1" noChangeArrowheads="1"/>
                    </pic:cNvPicPr>
                  </pic:nvPicPr>
                  <pic:blipFill>
                    <a:blip r:embed="rId158"/>
                    <a:stretch>
                      <a:fillRect/>
                    </a:stretch>
                  </pic:blipFill>
                  <pic:spPr bwMode="auto">
                    <a:xfrm>
                      <a:off x="0" y="0"/>
                      <a:ext cx="6667500" cy="2114550"/>
                    </a:xfrm>
                    <a:prstGeom prst="rect">
                      <a:avLst/>
                    </a:prstGeom>
                  </pic:spPr>
                </pic:pic>
              </a:graphicData>
            </a:graphic>
          </wp:inline>
        </w:drawing>
      </w:r>
      <w:r>
        <w:rPr>
          <w:caps w:val="false"/>
          <w:smallCaps w:val="false"/>
        </w:rPr>
        <w:t> </w:t>
      </w:r>
    </w:p>
    <w:p>
      <w:pPr>
        <w:pStyle w:val="TextBody"/>
        <w:bidi w:val="0"/>
        <w:spacing w:before="0" w:after="0"/>
        <w:ind w:left="151" w:right="569" w:hanging="0"/>
        <w:jc w:val="center"/>
        <w:rPr>
          <w:caps w:val="false"/>
          <w:smallCaps w:val="false"/>
        </w:rPr>
      </w:pPr>
      <w:r>
        <w:rPr>
          <w:caps w:val="false"/>
          <w:smallCaps w:val="false"/>
        </w:rPr>
        <w:t> </w:t>
      </w:r>
    </w:p>
    <w:p>
      <w:pPr>
        <w:pStyle w:val="TextBody"/>
        <w:bidi w:val="0"/>
        <w:spacing w:before="0" w:after="0"/>
        <w:ind w:left="151" w:right="569" w:hanging="0"/>
        <w:jc w:val="center"/>
        <w:rPr>
          <w:caps w:val="false"/>
          <w:smallCaps w:val="false"/>
        </w:rPr>
      </w:pPr>
      <w:r>
        <w:rPr>
          <w:caps w:val="false"/>
          <w:smallCaps w:val="false"/>
        </w:rPr>
        <w:drawing>
          <wp:inline distT="0" distB="0" distL="0" distR="0">
            <wp:extent cx="7620000" cy="628650"/>
            <wp:effectExtent l="0" t="0" r="0" b="0"/>
            <wp:docPr id="17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3" descr=""/>
                    <pic:cNvPicPr>
                      <a:picLocks noChangeAspect="1" noChangeArrowheads="1"/>
                    </pic:cNvPicPr>
                  </pic:nvPicPr>
                  <pic:blipFill>
                    <a:blip r:embed="rId159"/>
                    <a:stretch>
                      <a:fillRect/>
                    </a:stretch>
                  </pic:blipFill>
                  <pic:spPr bwMode="auto">
                    <a:xfrm>
                      <a:off x="0" y="0"/>
                      <a:ext cx="7620000" cy="6286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8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4" descr=""/>
                          <pic:cNvPicPr>
                            <a:picLocks noChangeAspect="1" noChangeArrowheads="1"/>
                          </pic:cNvPicPr>
                        </pic:nvPicPr>
                        <pic:blipFill>
                          <a:blip r:embed="rId160"/>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ind w:left="151" w:right="572" w:hanging="0"/>
        <w:jc w:val="center"/>
        <w:rPr>
          <w:caps w:val="false"/>
          <w:smallCaps w:val="false"/>
        </w:rPr>
      </w:pPr>
      <w:r>
        <w:rPr>
          <w:caps w:val="false"/>
          <w:smallCaps w:val="false"/>
        </w:rPr>
        <w:t> </w:t>
      </w:r>
    </w:p>
    <w:p>
      <w:pPr>
        <w:pStyle w:val="TextBody"/>
        <w:bidi w:val="0"/>
        <w:spacing w:before="0" w:after="0"/>
        <w:ind w:left="151" w:right="57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Mortgage</w:t>
      </w:r>
    </w:p>
    <w:p>
      <w:pPr>
        <w:pStyle w:val="TextBody"/>
        <w:bidi w:val="0"/>
        <w:spacing w:before="0" w:after="0"/>
        <w:ind w:left="151" w:right="572" w:hanging="0"/>
        <w:jc w:val="center"/>
        <w:rPr>
          <w:caps w:val="false"/>
          <w:smallCaps w:val="false"/>
        </w:rPr>
      </w:pPr>
      <w:r>
        <w:rPr>
          <w:caps w:val="false"/>
          <w:smallCaps w:val="false"/>
        </w:rPr>
        <w:t> </w:t>
      </w:r>
    </w:p>
    <w:p>
      <w:pPr>
        <w:pStyle w:val="TextBody"/>
        <w:bidi w:val="0"/>
        <w:spacing w:before="0" w:after="0"/>
        <w:ind w:left="151" w:right="572" w:hanging="0"/>
        <w:jc w:val="center"/>
        <w:rPr>
          <w:caps w:val="false"/>
          <w:smallCaps w:val="false"/>
        </w:rPr>
      </w:pPr>
      <w:r>
        <w:rPr>
          <w:caps w:val="false"/>
          <w:smallCaps w:val="false"/>
        </w:rPr>
        <w:drawing>
          <wp:inline distT="0" distB="0" distL="0" distR="0">
            <wp:extent cx="6667500" cy="2228850"/>
            <wp:effectExtent l="0" t="0" r="0" b="0"/>
            <wp:docPr id="18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5" descr=""/>
                    <pic:cNvPicPr>
                      <a:picLocks noChangeAspect="1" noChangeArrowheads="1"/>
                    </pic:cNvPicPr>
                  </pic:nvPicPr>
                  <pic:blipFill>
                    <a:blip r:embed="rId161"/>
                    <a:stretch>
                      <a:fillRect/>
                    </a:stretch>
                  </pic:blipFill>
                  <pic:spPr bwMode="auto">
                    <a:xfrm>
                      <a:off x="0" y="0"/>
                      <a:ext cx="6667500" cy="2228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151" w:right="5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w:t>
      </w:r>
    </w:p>
    <w:p>
      <w:pPr>
        <w:pStyle w:val="TextBody"/>
        <w:bidi w:val="0"/>
        <w:spacing w:before="0" w:after="0"/>
        <w:ind w:left="151" w:right="577" w:hanging="0"/>
        <w:jc w:val="center"/>
        <w:rPr>
          <w:caps w:val="false"/>
          <w:smallCaps w:val="false"/>
        </w:rPr>
      </w:pPr>
      <w:r>
        <w:rPr>
          <w:caps w:val="false"/>
          <w:smallCaps w:val="false"/>
        </w:rPr>
        <w:t> </w:t>
      </w:r>
    </w:p>
    <w:p>
      <w:pPr>
        <w:pStyle w:val="TextBody"/>
        <w:bidi w:val="0"/>
        <w:spacing w:before="0" w:after="0"/>
        <w:ind w:left="151" w:right="577" w:hanging="0"/>
        <w:jc w:val="center"/>
        <w:rPr>
          <w:caps w:val="false"/>
          <w:smallCaps w:val="false"/>
        </w:rPr>
      </w:pPr>
      <w:r>
        <w:rPr>
          <w:caps w:val="false"/>
          <w:smallCaps w:val="false"/>
        </w:rPr>
        <w:drawing>
          <wp:inline distT="0" distB="0" distL="0" distR="0">
            <wp:extent cx="6667500" cy="2276475"/>
            <wp:effectExtent l="0" t="0" r="0" b="0"/>
            <wp:docPr id="18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6" descr=""/>
                    <pic:cNvPicPr>
                      <a:picLocks noChangeAspect="1" noChangeArrowheads="1"/>
                    </pic:cNvPicPr>
                  </pic:nvPicPr>
                  <pic:blipFill>
                    <a:blip r:embed="rId162"/>
                    <a:stretch>
                      <a:fillRect/>
                    </a:stretch>
                  </pic:blipFill>
                  <pic:spPr bwMode="auto">
                    <a:xfrm>
                      <a:off x="0" y="0"/>
                      <a:ext cx="6667500" cy="2276475"/>
                    </a:xfrm>
                    <a:prstGeom prst="rect">
                      <a:avLst/>
                    </a:prstGeom>
                  </pic:spPr>
                </pic:pic>
              </a:graphicData>
            </a:graphic>
          </wp:inline>
        </w:drawing>
      </w:r>
      <w:r>
        <w:rPr>
          <w:caps w:val="false"/>
          <w:smallCaps w:val="false"/>
        </w:rPr>
        <w:t> </w:t>
      </w:r>
    </w:p>
    <w:p>
      <w:pPr>
        <w:pStyle w:val="TextBody"/>
        <w:bidi w:val="0"/>
        <w:spacing w:before="0" w:after="0"/>
        <w:ind w:left="176" w:right="0" w:hanging="0"/>
        <w:jc w:val="left"/>
        <w:rPr>
          <w:caps w:val="false"/>
          <w:smallCaps w:val="false"/>
          <w:color w:val="FF0000"/>
        </w:rPr>
      </w:pPr>
      <w:r>
        <w:rPr>
          <w:caps w:val="false"/>
          <w:smallCaps w:val="false"/>
          <w:color w:val="FF0000"/>
        </w:rPr>
        <w:t> </w:t>
      </w:r>
    </w:p>
    <w:p>
      <w:pPr>
        <w:pStyle w:val="TextBody"/>
        <w:bidi w:val="0"/>
        <w:spacing w:before="0" w:after="0"/>
        <w:ind w:left="151" w:right="56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Cards</w:t>
      </w:r>
    </w:p>
    <w:p>
      <w:pPr>
        <w:pStyle w:val="TextBody"/>
        <w:bidi w:val="0"/>
        <w:spacing w:before="0" w:after="0"/>
        <w:ind w:left="151" w:right="566" w:hanging="0"/>
        <w:jc w:val="center"/>
        <w:rPr>
          <w:caps w:val="false"/>
          <w:smallCaps w:val="false"/>
        </w:rPr>
      </w:pPr>
      <w:r>
        <w:rPr>
          <w:caps w:val="false"/>
          <w:smallCaps w:val="false"/>
        </w:rPr>
        <w:t> </w:t>
      </w:r>
    </w:p>
    <w:p>
      <w:pPr>
        <w:pStyle w:val="TextBody"/>
        <w:bidi w:val="0"/>
        <w:spacing w:before="0" w:after="0"/>
        <w:ind w:left="151" w:right="566" w:hanging="0"/>
        <w:jc w:val="center"/>
        <w:rPr>
          <w:caps w:val="false"/>
          <w:smallCaps w:val="false"/>
        </w:rPr>
      </w:pPr>
      <w:r>
        <w:rPr>
          <w:caps w:val="false"/>
          <w:smallCaps w:val="false"/>
        </w:rPr>
        <w:drawing>
          <wp:inline distT="0" distB="0" distL="0" distR="0">
            <wp:extent cx="6667500" cy="2228850"/>
            <wp:effectExtent l="0" t="0" r="0" b="0"/>
            <wp:docPr id="18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47" descr=""/>
                    <pic:cNvPicPr>
                      <a:picLocks noChangeAspect="1" noChangeArrowheads="1"/>
                    </pic:cNvPicPr>
                  </pic:nvPicPr>
                  <pic:blipFill>
                    <a:blip r:embed="rId163"/>
                    <a:stretch>
                      <a:fillRect/>
                    </a:stretch>
                  </pic:blipFill>
                  <pic:spPr bwMode="auto">
                    <a:xfrm>
                      <a:off x="0" y="0"/>
                      <a:ext cx="6667500" cy="2228850"/>
                    </a:xfrm>
                    <a:prstGeom prst="rect">
                      <a:avLst/>
                    </a:prstGeom>
                  </pic:spPr>
                </pic:pic>
              </a:graphicData>
            </a:graphic>
          </wp:inline>
        </w:drawing>
      </w:r>
      <w:r>
        <w:rPr>
          <w:caps w:val="false"/>
          <w:smallCaps w:val="false"/>
        </w:rPr>
        <w:t> </w:t>
      </w:r>
    </w:p>
    <w:p>
      <w:pPr>
        <w:pStyle w:val="TextBody"/>
        <w:bidi w:val="0"/>
        <w:spacing w:before="0" w:after="0"/>
        <w:ind w:left="151" w:right="566" w:hanging="0"/>
        <w:jc w:val="center"/>
        <w:rPr>
          <w:caps w:val="false"/>
          <w:smallCaps w:val="false"/>
        </w:rPr>
      </w:pPr>
      <w:r>
        <w:rPr>
          <w:caps w:val="false"/>
          <w:smallCaps w:val="false"/>
        </w:rPr>
        <w:t> </w:t>
      </w:r>
    </w:p>
    <w:p>
      <w:pPr>
        <w:pStyle w:val="TextBody"/>
        <w:bidi w:val="0"/>
        <w:spacing w:before="0" w:after="0"/>
        <w:ind w:left="151" w:right="566" w:hanging="0"/>
        <w:jc w:val="center"/>
        <w:rPr>
          <w:caps w:val="false"/>
          <w:smallCaps w:val="false"/>
        </w:rPr>
      </w:pPr>
      <w:r>
        <w:rPr>
          <w:caps w:val="false"/>
          <w:smallCaps w:val="false"/>
        </w:rPr>
        <w:drawing>
          <wp:inline distT="0" distB="0" distL="0" distR="0">
            <wp:extent cx="7620000" cy="638175"/>
            <wp:effectExtent l="0" t="0" r="0" b="0"/>
            <wp:docPr id="18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8" descr=""/>
                    <pic:cNvPicPr>
                      <a:picLocks noChangeAspect="1" noChangeArrowheads="1"/>
                    </pic:cNvPicPr>
                  </pic:nvPicPr>
                  <pic:blipFill>
                    <a:blip r:embed="rId164"/>
                    <a:stretch>
                      <a:fillRect/>
                    </a:stretch>
                  </pic:blipFill>
                  <pic:spPr bwMode="auto">
                    <a:xfrm>
                      <a:off x="0" y="0"/>
                      <a:ext cx="7620000" cy="638175"/>
                    </a:xfrm>
                    <a:prstGeom prst="rect">
                      <a:avLst/>
                    </a:prstGeom>
                  </pic:spPr>
                </pic:pic>
              </a:graphicData>
            </a:graphic>
          </wp:inline>
        </w:drawing>
      </w:r>
      <w:r>
        <w:rPr>
          <w:caps w:val="false"/>
          <w:smallCaps w:val="false"/>
        </w:rPr>
        <w:t> </w:t>
      </w:r>
    </w:p>
    <w:p>
      <w:pPr>
        <w:pStyle w:val="TextBody"/>
        <w:bidi w:val="0"/>
        <w:spacing w:before="0" w:after="0"/>
        <w:ind w:left="217" w:right="0" w:hanging="0"/>
        <w:jc w:val="left"/>
        <w:rPr>
          <w:caps w:val="false"/>
          <w:smallCaps w:val="false"/>
          <w:color w:val="FF0000"/>
        </w:rPr>
      </w:pPr>
      <w:r>
        <w:rPr>
          <w:caps w:val="false"/>
          <w:smallCaps w:val="false"/>
          <w:color w:val="FF000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151" w:right="571" w:hanging="0"/>
        <w:jc w:val="center"/>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8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49" descr=""/>
                          <pic:cNvPicPr>
                            <a:picLocks noChangeAspect="1" noChangeArrowheads="1"/>
                          </pic:cNvPicPr>
                        </pic:nvPicPr>
                        <pic:blipFill>
                          <a:blip r:embed="rId165"/>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ind w:left="151" w:right="571" w:hanging="0"/>
        <w:jc w:val="center"/>
        <w:rPr>
          <w:caps w:val="false"/>
          <w:smallCaps w:val="false"/>
        </w:rPr>
      </w:pPr>
      <w:r>
        <w:rPr>
          <w:caps w:val="false"/>
          <w:smallCaps w:val="false"/>
        </w:rPr>
        <w:t> </w:t>
      </w:r>
    </w:p>
    <w:p>
      <w:pPr>
        <w:pStyle w:val="TextBody"/>
        <w:bidi w:val="0"/>
        <w:spacing w:before="0" w:after="0"/>
        <w:ind w:left="151" w:right="57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Mibanco</w:t>
      </w:r>
    </w:p>
    <w:p>
      <w:pPr>
        <w:pStyle w:val="TextBody"/>
        <w:bidi w:val="0"/>
        <w:spacing w:before="0" w:after="0"/>
        <w:ind w:left="151" w:right="571" w:hanging="0"/>
        <w:jc w:val="center"/>
        <w:rPr>
          <w:caps w:val="false"/>
          <w:smallCaps w:val="false"/>
        </w:rPr>
      </w:pPr>
      <w:r>
        <w:rPr>
          <w:caps w:val="false"/>
          <w:smallCaps w:val="false"/>
        </w:rPr>
        <w:t> </w:t>
      </w:r>
    </w:p>
    <w:p>
      <w:pPr>
        <w:pStyle w:val="TextBody"/>
        <w:bidi w:val="0"/>
        <w:spacing w:before="0" w:after="0"/>
        <w:ind w:left="151" w:right="571" w:hanging="0"/>
        <w:jc w:val="center"/>
        <w:rPr>
          <w:caps w:val="false"/>
          <w:smallCaps w:val="false"/>
        </w:rPr>
      </w:pPr>
      <w:r>
        <w:rPr>
          <w:caps w:val="false"/>
          <w:smallCaps w:val="false"/>
        </w:rPr>
        <w:drawing>
          <wp:inline distT="0" distB="0" distL="0" distR="0">
            <wp:extent cx="6667500" cy="2314575"/>
            <wp:effectExtent l="0" t="0" r="0" b="0"/>
            <wp:docPr id="18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0" descr=""/>
                    <pic:cNvPicPr>
                      <a:picLocks noChangeAspect="1" noChangeArrowheads="1"/>
                    </pic:cNvPicPr>
                  </pic:nvPicPr>
                  <pic:blipFill>
                    <a:blip r:embed="rId166"/>
                    <a:stretch>
                      <a:fillRect/>
                    </a:stretch>
                  </pic:blipFill>
                  <pic:spPr bwMode="auto">
                    <a:xfrm>
                      <a:off x="0" y="0"/>
                      <a:ext cx="6667500" cy="23145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151" w:right="57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BCP Bolivia</w:t>
      </w:r>
    </w:p>
    <w:p>
      <w:pPr>
        <w:pStyle w:val="TextBody"/>
        <w:bidi w:val="0"/>
        <w:spacing w:before="0" w:after="0"/>
        <w:ind w:left="151" w:right="573" w:hanging="0"/>
        <w:jc w:val="center"/>
        <w:rPr>
          <w:caps w:val="false"/>
          <w:smallCaps w:val="false"/>
        </w:rPr>
      </w:pPr>
      <w:r>
        <w:rPr>
          <w:caps w:val="false"/>
          <w:smallCaps w:val="false"/>
        </w:rPr>
        <w:t> </w:t>
      </w:r>
    </w:p>
    <w:p>
      <w:pPr>
        <w:pStyle w:val="TextBody"/>
        <w:bidi w:val="0"/>
        <w:spacing w:before="0" w:after="0"/>
        <w:ind w:left="151" w:right="573" w:hanging="0"/>
        <w:jc w:val="center"/>
        <w:rPr>
          <w:caps w:val="false"/>
          <w:smallCaps w:val="false"/>
        </w:rPr>
      </w:pPr>
      <w:r>
        <w:rPr>
          <w:caps w:val="false"/>
          <w:smallCaps w:val="false"/>
        </w:rPr>
        <w:drawing>
          <wp:inline distT="0" distB="0" distL="0" distR="0">
            <wp:extent cx="6667500" cy="2609850"/>
            <wp:effectExtent l="0" t="0" r="0" b="0"/>
            <wp:docPr id="18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51" descr=""/>
                    <pic:cNvPicPr>
                      <a:picLocks noChangeAspect="1" noChangeArrowheads="1"/>
                    </pic:cNvPicPr>
                  </pic:nvPicPr>
                  <pic:blipFill>
                    <a:blip r:embed="rId167"/>
                    <a:stretch>
                      <a:fillRect/>
                    </a:stretch>
                  </pic:blipFill>
                  <pic:spPr bwMode="auto">
                    <a:xfrm>
                      <a:off x="0" y="0"/>
                      <a:ext cx="6667500" cy="2609850"/>
                    </a:xfrm>
                    <a:prstGeom prst="rect">
                      <a:avLst/>
                    </a:prstGeom>
                  </pic:spPr>
                </pic:pic>
              </a:graphicData>
            </a:graphic>
          </wp:inline>
        </w:drawing>
      </w:r>
      <w:r>
        <w:rPr>
          <w:caps w:val="false"/>
          <w:smallCaps w:val="false"/>
        </w:rPr>
        <w:t> </w:t>
      </w:r>
    </w:p>
    <w:p>
      <w:pPr>
        <w:pStyle w:val="TextBody"/>
        <w:bidi w:val="0"/>
        <w:spacing w:before="0" w:after="0"/>
        <w:ind w:left="151" w:right="573" w:hanging="0"/>
        <w:jc w:val="center"/>
        <w:rPr>
          <w:caps w:val="false"/>
          <w:smallCaps w:val="false"/>
        </w:rPr>
      </w:pPr>
      <w:r>
        <w:rPr>
          <w:caps w:val="false"/>
          <w:smallCaps w:val="false"/>
        </w:rPr>
        <w:t> </w:t>
      </w:r>
    </w:p>
    <w:p>
      <w:pPr>
        <w:pStyle w:val="TextBody"/>
        <w:bidi w:val="0"/>
        <w:spacing w:before="0" w:after="0"/>
        <w:ind w:left="151" w:right="573" w:hanging="0"/>
        <w:jc w:val="center"/>
        <w:rPr>
          <w:caps w:val="false"/>
          <w:smallCaps w:val="false"/>
        </w:rPr>
      </w:pPr>
      <w:r>
        <w:rPr>
          <w:caps w:val="false"/>
          <w:smallCaps w:val="false"/>
        </w:rPr>
        <w:drawing>
          <wp:inline distT="0" distB="0" distL="0" distR="0">
            <wp:extent cx="7620000" cy="638175"/>
            <wp:effectExtent l="0" t="0" r="0" b="0"/>
            <wp:docPr id="18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2" descr=""/>
                    <pic:cNvPicPr>
                      <a:picLocks noChangeAspect="1" noChangeArrowheads="1"/>
                    </pic:cNvPicPr>
                  </pic:nvPicPr>
                  <pic:blipFill>
                    <a:blip r:embed="rId168"/>
                    <a:stretch>
                      <a:fillRect/>
                    </a:stretch>
                  </pic:blipFill>
                  <pic:spPr bwMode="auto">
                    <a:xfrm>
                      <a:off x="0" y="0"/>
                      <a:ext cx="762000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ind w:left="0" w:right="0" w:hanging="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8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53" descr=""/>
                          <pic:cNvPicPr>
                            <a:picLocks noChangeAspect="1" noChangeArrowheads="1"/>
                          </pic:cNvPicPr>
                        </pic:nvPicPr>
                        <pic:blipFill>
                          <a:blip r:embed="rId169"/>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 Net Interest Income (NII)</w:t>
      </w:r>
    </w:p>
    <w:p>
      <w:pPr>
        <w:pStyle w:val="TextBody"/>
        <w:bidi w:val="0"/>
        <w:spacing w:before="0" w:after="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NII Summary</w:t>
      </w:r>
    </w:p>
    <w:p>
      <w:pPr>
        <w:pStyle w:val="TextBody"/>
        <w:bidi w:val="0"/>
        <w:spacing w:before="0" w:after="0"/>
        <w:ind w:left="151" w:right="572"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28" w:type="dxa"/>
        </w:tblCellMar>
      </w:tblPr>
      <w:tblGrid>
        <w:gridCol w:w="3654"/>
        <w:gridCol w:w="920"/>
        <w:gridCol w:w="920"/>
        <w:gridCol w:w="920"/>
        <w:gridCol w:w="500"/>
        <w:gridCol w:w="479"/>
        <w:gridCol w:w="920"/>
        <w:gridCol w:w="920"/>
        <w:gridCol w:w="972"/>
      </w:tblGrid>
      <w:tr>
        <w:trPr/>
        <w:tc>
          <w:tcPr>
            <w:tcW w:w="3654" w:type="dxa"/>
            <w:tcBorders>
              <w:top w:val="single" w:sz="8" w:space="0" w:color="000000"/>
              <w:left w:val="single" w:sz="8" w:space="0" w:color="000000"/>
              <w:right w:val="single" w:sz="8" w:space="0" w:color="000000"/>
            </w:tcBorders>
            <w:shd w:fill="2AD2C7" w:val="clear"/>
            <w:vAlign w:val="center"/>
          </w:tcPr>
          <w:p>
            <w:pPr>
              <w:pStyle w:val="TableContents"/>
              <w:bidi w:val="0"/>
              <w:spacing w:before="0" w:after="283"/>
              <w:jc w:val="left"/>
              <w:rPr>
                <w:b/>
                <w:color w:val="FFFFFF"/>
                <w:sz w:val="16"/>
              </w:rPr>
            </w:pPr>
            <w:r>
              <w:rPr>
                <w:b/>
                <w:color w:val="FFFFFF"/>
                <w:sz w:val="16"/>
              </w:rPr>
              <w:t>Net interest income </w:t>
            </w:r>
          </w:p>
        </w:tc>
        <w:tc>
          <w:tcPr>
            <w:tcW w:w="2760" w:type="dxa"/>
            <w:gridSpan w:val="3"/>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b/>
                <w:color w:val="FFFFFF"/>
                <w:sz w:val="16"/>
              </w:rPr>
            </w:pPr>
            <w:r>
              <w:rPr>
                <w:b/>
                <w:color w:val="FFFFFF"/>
                <w:sz w:val="16"/>
              </w:rPr>
              <w:t>Quarter </w:t>
            </w:r>
          </w:p>
        </w:tc>
        <w:tc>
          <w:tcPr>
            <w:tcW w:w="979"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b/>
                <w:color w:val="FFFFFF"/>
                <w:sz w:val="16"/>
              </w:rPr>
            </w:pPr>
            <w:r>
              <w:rPr>
                <w:b/>
                <w:color w:val="FFFFFF"/>
                <w:sz w:val="16"/>
              </w:rPr>
              <w:t>% Change </w:t>
            </w:r>
          </w:p>
        </w:tc>
        <w:tc>
          <w:tcPr>
            <w:tcW w:w="1840" w:type="dxa"/>
            <w:gridSpan w:val="2"/>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b/>
                <w:color w:val="FFFFFF"/>
                <w:sz w:val="16"/>
              </w:rPr>
            </w:pPr>
            <w:r>
              <w:rPr>
                <w:b/>
                <w:color w:val="FFFFFF"/>
                <w:sz w:val="16"/>
              </w:rPr>
              <w:t>Up to </w:t>
            </w:r>
          </w:p>
        </w:tc>
        <w:tc>
          <w:tcPr>
            <w:tcW w:w="972" w:type="dxa"/>
            <w:tcBorders>
              <w:top w:val="single" w:sz="8" w:space="0" w:color="000000"/>
              <w:right w:val="single" w:sz="8" w:space="0" w:color="000000"/>
            </w:tcBorders>
            <w:shd w:fill="2AD2C7" w:val="clear"/>
            <w:tcMar>
              <w:left w:w="0" w:type="dxa"/>
            </w:tcMar>
            <w:vAlign w:val="center"/>
          </w:tcPr>
          <w:p>
            <w:pPr>
              <w:pStyle w:val="TableContents"/>
              <w:bidi w:val="0"/>
              <w:spacing w:before="0" w:after="283"/>
              <w:jc w:val="center"/>
              <w:rPr>
                <w:color w:val="FFFFFF"/>
                <w:sz w:val="16"/>
              </w:rPr>
            </w:pPr>
            <w:r>
              <w:rPr>
                <w:b/>
                <w:color w:val="FFFFFF"/>
                <w:sz w:val="16"/>
              </w:rPr>
              <w:t>% change</w:t>
            </w:r>
            <w:r>
              <w:rPr>
                <w:color w:val="FFFFFF"/>
                <w:sz w:val="16"/>
              </w:rPr>
              <w:t> </w:t>
            </w:r>
          </w:p>
        </w:tc>
      </w:tr>
      <w:tr>
        <w:trPr/>
        <w:tc>
          <w:tcPr>
            <w:tcW w:w="3654" w:type="dxa"/>
            <w:tcBorders>
              <w:left w:val="single" w:sz="8" w:space="0" w:color="000000"/>
              <w:bottom w:val="single" w:sz="8" w:space="0" w:color="000000"/>
              <w:right w:val="single" w:sz="8" w:space="0" w:color="000000"/>
            </w:tcBorders>
            <w:shd w:fill="2AD2C7" w:val="clear"/>
            <w:tcMar>
              <w:top w:w="0" w:type="dxa"/>
              <w:bottom w:w="28" w:type="dxa"/>
            </w:tcMar>
            <w:vAlign w:val="center"/>
          </w:tcPr>
          <w:p>
            <w:pPr>
              <w:pStyle w:val="TableContents"/>
              <w:bidi w:val="0"/>
              <w:spacing w:before="0" w:after="0"/>
              <w:ind w:left="31" w:right="0" w:hanging="0"/>
              <w:jc w:val="left"/>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S/000</w:t>
            </w:r>
            <w:r>
              <w:rPr>
                <w:rFonts w:ascii="Times New Roman;Times;Serif" w:hAnsi="Times New Roman;Times;Serif"/>
                <w:b w:val="false"/>
                <w:i w:val="false"/>
                <w:caps w:val="false"/>
                <w:smallCaps w:val="false"/>
                <w:color w:val="FFFFFF"/>
                <w:sz w:val="16"/>
              </w:rPr>
              <w:t> </w:t>
            </w:r>
          </w:p>
        </w:tc>
        <w:tc>
          <w:tcPr>
            <w:tcW w:w="92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0"/>
              <w:ind w:left="25" w:right="14"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2Q25</w:t>
            </w:r>
          </w:p>
        </w:tc>
        <w:tc>
          <w:tcPr>
            <w:tcW w:w="92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0"/>
              <w:ind w:left="25" w:right="23" w:hanging="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1Q26</w:t>
            </w:r>
            <w:r>
              <w:rPr>
                <w:rFonts w:ascii="Times New Roman;Times;Serif" w:hAnsi="Times New Roman;Times;Serif"/>
                <w:b w:val="false"/>
                <w:i w:val="false"/>
                <w:caps w:val="false"/>
                <w:smallCaps w:val="false"/>
                <w:color w:val="FFFFFF"/>
                <w:sz w:val="16"/>
              </w:rPr>
              <w:t> </w:t>
            </w:r>
          </w:p>
        </w:tc>
        <w:tc>
          <w:tcPr>
            <w:tcW w:w="92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0"/>
              <w:ind w:left="42" w:right="1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50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0"/>
              <w:ind w:left="18"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xml:space="preserve">QoQ </w:t>
            </w:r>
          </w:p>
        </w:tc>
        <w:tc>
          <w:tcPr>
            <w:tcW w:w="479"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0"/>
              <w:ind w:left="18"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YoY</w:t>
            </w:r>
          </w:p>
        </w:tc>
        <w:tc>
          <w:tcPr>
            <w:tcW w:w="920" w:type="dxa"/>
            <w:tcBorders>
              <w:bottom w:val="single" w:sz="8" w:space="0" w:color="000000"/>
            </w:tcBorders>
            <w:shd w:fill="2AD2C7" w:val="clear"/>
            <w:tcMar>
              <w:top w:w="0" w:type="dxa"/>
              <w:left w:w="0" w:type="dxa"/>
              <w:bottom w:w="28" w:type="dxa"/>
              <w:right w:w="0" w:type="dxa"/>
            </w:tcMar>
            <w:vAlign w:val="center"/>
          </w:tcPr>
          <w:p>
            <w:pPr>
              <w:pStyle w:val="TableContents"/>
              <w:bidi w:val="0"/>
              <w:spacing w:before="0" w:after="0"/>
              <w:ind w:left="46"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xml:space="preserve">Jun 25 </w:t>
            </w:r>
          </w:p>
        </w:tc>
        <w:tc>
          <w:tcPr>
            <w:tcW w:w="920"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0"/>
              <w:ind w:left="46"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w:t>
            </w:r>
          </w:p>
        </w:tc>
        <w:tc>
          <w:tcPr>
            <w:tcW w:w="972" w:type="dxa"/>
            <w:tcBorders>
              <w:bottom w:val="single" w:sz="8" w:space="0" w:color="000000"/>
              <w:right w:val="single" w:sz="8" w:space="0" w:color="000000"/>
            </w:tcBorders>
            <w:shd w:fill="2AD2C7" w:val="clear"/>
            <w:tcMar>
              <w:top w:w="0" w:type="dxa"/>
              <w:left w:w="0" w:type="dxa"/>
              <w:bottom w:w="28" w:type="dxa"/>
            </w:tcMar>
            <w:vAlign w:val="center"/>
          </w:tcPr>
          <w:p>
            <w:pPr>
              <w:pStyle w:val="TableContents"/>
              <w:bidi w:val="0"/>
              <w:spacing w:before="0" w:after="0"/>
              <w:ind w:left="44"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 Jun 25</w:t>
            </w:r>
          </w:p>
        </w:tc>
      </w:tr>
      <w:tr>
        <w:trPr/>
        <w:tc>
          <w:tcPr>
            <w:tcW w:w="3654"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b/>
                <w:sz w:val="16"/>
              </w:rPr>
            </w:pPr>
            <w:r>
              <w:rPr>
                <w:b/>
                <w:sz w:val="16"/>
              </w:rPr>
              <w:t>Interest income</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4,922,292</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5,212,412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5,413,885</w:t>
            </w:r>
          </w:p>
        </w:tc>
        <w:tc>
          <w:tcPr>
            <w:tcW w:w="500" w:type="dxa"/>
            <w:tcBorders/>
            <w:tcMar>
              <w:top w:w="0" w:type="dxa"/>
              <w:left w:w="0" w:type="dxa"/>
              <w:right w:w="0" w:type="dxa"/>
            </w:tcMar>
            <w:vAlign w:val="center"/>
          </w:tcPr>
          <w:p>
            <w:pPr>
              <w:pStyle w:val="TableContents"/>
              <w:bidi w:val="0"/>
              <w:spacing w:before="0" w:after="283"/>
              <w:jc w:val="center"/>
              <w:rPr>
                <w:b/>
                <w:sz w:val="16"/>
              </w:rPr>
            </w:pPr>
            <w:r>
              <w:rPr>
                <w:b/>
                <w:sz w:val="16"/>
              </w:rPr>
              <w:t>3.9%</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10.0%</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9,817,082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10,626,297</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8.2%</w:t>
            </w:r>
          </w:p>
        </w:tc>
      </w:tr>
      <w:tr>
        <w:trPr/>
        <w:tc>
          <w:tcPr>
            <w:tcW w:w="3654"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sz w:val="16"/>
              </w:rPr>
            </w:pPr>
            <w:r>
              <w:rPr>
                <w:sz w:val="16"/>
              </w:rPr>
              <w:t>Interest on loans</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3,840,725</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4,142,813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4,370,700</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5.5%</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13.8%</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7,688,365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8,513,513</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10.7%</w:t>
            </w:r>
          </w:p>
        </w:tc>
      </w:tr>
      <w:tr>
        <w:trPr/>
        <w:tc>
          <w:tcPr>
            <w:tcW w:w="3654"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sz w:val="16"/>
              </w:rPr>
            </w:pPr>
            <w:r>
              <w:rPr>
                <w:sz w:val="16"/>
              </w:rPr>
              <w:t>Dividends on investments</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22,923</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16,992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24,891</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46.5%</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8.6%</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48,033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41,882</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-12.8%</w:t>
            </w:r>
          </w:p>
        </w:tc>
      </w:tr>
      <w:tr>
        <w:trPr/>
        <w:tc>
          <w:tcPr>
            <w:tcW w:w="3654"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sz w:val="16"/>
              </w:rPr>
            </w:pPr>
            <w:r>
              <w:rPr>
                <w:sz w:val="16"/>
              </w:rPr>
              <w:t>Interest on deposits with banks</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342,323</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321,572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321,152</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-0.1%</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-6.2%</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686,945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642,724</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-6.4%</w:t>
            </w:r>
          </w:p>
        </w:tc>
      </w:tr>
      <w:tr>
        <w:trPr/>
        <w:tc>
          <w:tcPr>
            <w:tcW w:w="3654"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sz w:val="16"/>
              </w:rPr>
            </w:pPr>
            <w:r>
              <w:rPr>
                <w:sz w:val="16"/>
              </w:rPr>
              <w:t>Interest on securities</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647,186</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709,233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674,434</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-4.9%</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4.2%</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1,305,058</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1,383,667</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6.0%</w:t>
            </w:r>
          </w:p>
        </w:tc>
      </w:tr>
      <w:tr>
        <w:trPr/>
        <w:tc>
          <w:tcPr>
            <w:tcW w:w="3654"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sz w:val="16"/>
              </w:rPr>
            </w:pPr>
            <w:r>
              <w:rPr>
                <w:sz w:val="16"/>
              </w:rPr>
              <w:t>Other interest income</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69,135</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21,802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22,708</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4.2%</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-67.2%</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88,681</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44,511</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-49.8%</w:t>
            </w:r>
          </w:p>
        </w:tc>
      </w:tr>
      <w:tr>
        <w:trPr/>
        <w:tc>
          <w:tcPr>
            <w:tcW w:w="3654"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b/>
                <w:sz w:val="16"/>
              </w:rPr>
            </w:pPr>
            <w:r>
              <w:rPr>
                <w:b/>
                <w:sz w:val="16"/>
              </w:rPr>
              <w:t>Interest expense</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1,306,921</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1,249,685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1,316,934</w:t>
            </w:r>
          </w:p>
        </w:tc>
        <w:tc>
          <w:tcPr>
            <w:tcW w:w="500" w:type="dxa"/>
            <w:tcBorders/>
            <w:tcMar>
              <w:top w:w="0" w:type="dxa"/>
              <w:left w:w="0" w:type="dxa"/>
              <w:right w:w="0" w:type="dxa"/>
            </w:tcMar>
            <w:vAlign w:val="center"/>
          </w:tcPr>
          <w:p>
            <w:pPr>
              <w:pStyle w:val="TableContents"/>
              <w:bidi w:val="0"/>
              <w:spacing w:before="0" w:after="283"/>
              <w:jc w:val="center"/>
              <w:rPr>
                <w:b/>
                <w:sz w:val="16"/>
              </w:rPr>
            </w:pPr>
            <w:r>
              <w:rPr>
                <w:b/>
                <w:sz w:val="16"/>
              </w:rPr>
              <w:t>5.4%</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0.8%</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2,629,699</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2,566,619</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-2.4%</w:t>
            </w:r>
          </w:p>
        </w:tc>
      </w:tr>
      <w:tr>
        <w:trPr/>
        <w:tc>
          <w:tcPr>
            <w:tcW w:w="3654"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b/>
                <w:sz w:val="16"/>
              </w:rPr>
            </w:pPr>
            <w:r>
              <w:rPr>
                <w:b/>
                <w:sz w:val="16"/>
              </w:rPr>
              <w:t>Interest expense (excluding Net Insurance Financial Expenses)</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1,167,866</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1,086,767</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1,147,859</w:t>
            </w:r>
          </w:p>
        </w:tc>
        <w:tc>
          <w:tcPr>
            <w:tcW w:w="500" w:type="dxa"/>
            <w:tcBorders/>
            <w:tcMar>
              <w:top w:w="0" w:type="dxa"/>
              <w:left w:w="0" w:type="dxa"/>
              <w:right w:w="0" w:type="dxa"/>
            </w:tcMar>
            <w:vAlign w:val="center"/>
          </w:tcPr>
          <w:p>
            <w:pPr>
              <w:pStyle w:val="TableContents"/>
              <w:bidi w:val="0"/>
              <w:spacing w:before="0" w:after="283"/>
              <w:jc w:val="center"/>
              <w:rPr>
                <w:b/>
                <w:sz w:val="16"/>
              </w:rPr>
            </w:pPr>
            <w:r>
              <w:rPr>
                <w:b/>
                <w:sz w:val="16"/>
              </w:rPr>
              <w:t>5.6%</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-1.7%</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2,355,023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2,234,627</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-5.1%</w:t>
            </w:r>
          </w:p>
        </w:tc>
      </w:tr>
      <w:tr>
        <w:trPr/>
        <w:tc>
          <w:tcPr>
            <w:tcW w:w="3654" w:type="dxa"/>
            <w:tcBorders>
              <w:left w:val="single" w:sz="8" w:space="0" w:color="000000"/>
              <w:right w:val="single" w:sz="8" w:space="0" w:color="000000"/>
            </w:tcBorders>
            <w:tcMar>
              <w:top w:w="0" w:type="dxa"/>
              <w:left w:w="235" w:type="dxa"/>
            </w:tcMar>
            <w:vAlign w:val="center"/>
          </w:tcPr>
          <w:p>
            <w:pPr>
              <w:pStyle w:val="TableContents"/>
              <w:bidi w:val="0"/>
              <w:spacing w:before="0" w:after="283"/>
              <w:jc w:val="left"/>
              <w:rPr>
                <w:sz w:val="16"/>
              </w:rPr>
            </w:pPr>
            <w:r>
              <w:rPr>
                <w:sz w:val="16"/>
              </w:rPr>
              <w:t>Interest on deposits</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541,014</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539,328</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565,502</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4.9%</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4.5%</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1,160,627</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1,104,830</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-4.8%</w:t>
            </w:r>
          </w:p>
        </w:tc>
      </w:tr>
      <w:tr>
        <w:trPr/>
        <w:tc>
          <w:tcPr>
            <w:tcW w:w="3654" w:type="dxa"/>
            <w:tcBorders>
              <w:left w:val="single" w:sz="8" w:space="0" w:color="000000"/>
              <w:right w:val="single" w:sz="8" w:space="0" w:color="000000"/>
            </w:tcBorders>
            <w:tcMar>
              <w:top w:w="0" w:type="dxa"/>
              <w:left w:w="235" w:type="dxa"/>
            </w:tcMar>
            <w:vAlign w:val="center"/>
          </w:tcPr>
          <w:p>
            <w:pPr>
              <w:pStyle w:val="TableContents"/>
              <w:bidi w:val="0"/>
              <w:spacing w:before="0" w:after="283"/>
              <w:jc w:val="left"/>
              <w:rPr>
                <w:sz w:val="16"/>
              </w:rPr>
            </w:pPr>
            <w:r>
              <w:rPr>
                <w:sz w:val="16"/>
              </w:rPr>
              <w:t>Interest on borrowed funds</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265,710</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210,799</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224,381</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6.4%</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-15.6%</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531,913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435,180</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-18.2%</w:t>
            </w:r>
          </w:p>
        </w:tc>
      </w:tr>
      <w:tr>
        <w:trPr/>
        <w:tc>
          <w:tcPr>
            <w:tcW w:w="3654" w:type="dxa"/>
            <w:tcBorders>
              <w:left w:val="single" w:sz="8" w:space="0" w:color="000000"/>
              <w:right w:val="single" w:sz="8" w:space="0" w:color="000000"/>
            </w:tcBorders>
            <w:tcMar>
              <w:top w:w="0" w:type="dxa"/>
              <w:left w:w="235" w:type="dxa"/>
            </w:tcMar>
            <w:vAlign w:val="center"/>
          </w:tcPr>
          <w:p>
            <w:pPr>
              <w:pStyle w:val="TableContents"/>
              <w:bidi w:val="0"/>
              <w:spacing w:before="0" w:after="283"/>
              <w:jc w:val="left"/>
              <w:rPr>
                <w:sz w:val="16"/>
              </w:rPr>
            </w:pPr>
            <w:r>
              <w:rPr>
                <w:sz w:val="16"/>
              </w:rPr>
              <w:t>Interest on bonds and subordinated notes</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193,125</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188,366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195,051</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3.5%</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1.0%</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361,150</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383,417</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6.2%</w:t>
            </w:r>
          </w:p>
        </w:tc>
      </w:tr>
      <w:tr>
        <w:trPr/>
        <w:tc>
          <w:tcPr>
            <w:tcW w:w="3654" w:type="dxa"/>
            <w:tcBorders>
              <w:left w:val="single" w:sz="8" w:space="0" w:color="000000"/>
              <w:right w:val="single" w:sz="8" w:space="0" w:color="000000"/>
            </w:tcBorders>
            <w:tcMar>
              <w:top w:w="0" w:type="dxa"/>
              <w:left w:w="235" w:type="dxa"/>
            </w:tcMar>
            <w:vAlign w:val="center"/>
          </w:tcPr>
          <w:p>
            <w:pPr>
              <w:pStyle w:val="TableContents"/>
              <w:bidi w:val="0"/>
              <w:spacing w:before="0" w:after="283"/>
              <w:jc w:val="left"/>
              <w:rPr>
                <w:sz w:val="16"/>
              </w:rPr>
            </w:pPr>
            <w:r>
              <w:rPr>
                <w:sz w:val="16"/>
              </w:rPr>
              <w:t>Other interest expense</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168,017</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148,274</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162,925</w:t>
            </w:r>
          </w:p>
        </w:tc>
        <w:tc>
          <w:tcPr>
            <w:tcW w:w="500" w:type="dxa"/>
            <w:tcBorders/>
            <w:tcMar>
              <w:top w:w="0" w:type="dxa"/>
              <w:left w:w="0" w:type="dxa"/>
              <w:right w:w="0" w:type="dxa"/>
            </w:tcMar>
            <w:vAlign w:val="center"/>
          </w:tcPr>
          <w:p>
            <w:pPr>
              <w:pStyle w:val="TableContents"/>
              <w:bidi w:val="0"/>
              <w:spacing w:before="0" w:after="283"/>
              <w:jc w:val="center"/>
              <w:rPr>
                <w:sz w:val="16"/>
              </w:rPr>
            </w:pPr>
            <w:r>
              <w:rPr>
                <w:sz w:val="16"/>
              </w:rPr>
              <w:t>9.9%</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-3.0%</w:t>
            </w:r>
          </w:p>
        </w:tc>
        <w:tc>
          <w:tcPr>
            <w:tcW w:w="920" w:type="dxa"/>
            <w:tcBorders/>
            <w:tcMar>
              <w:top w:w="0" w:type="dxa"/>
              <w:left w:w="0" w:type="dxa"/>
              <w:right w:w="0" w:type="dxa"/>
            </w:tcMar>
            <w:vAlign w:val="center"/>
          </w:tcPr>
          <w:p>
            <w:pPr>
              <w:pStyle w:val="TableContents"/>
              <w:bidi w:val="0"/>
              <w:spacing w:before="0" w:after="283"/>
              <w:jc w:val="center"/>
              <w:rPr>
                <w:sz w:val="16"/>
              </w:rPr>
            </w:pPr>
            <w:r>
              <w:rPr>
                <w:sz w:val="16"/>
              </w:rPr>
              <w:t>301,333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311,200</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3.3%</w:t>
            </w:r>
          </w:p>
        </w:tc>
      </w:tr>
      <w:tr>
        <w:trPr/>
        <w:tc>
          <w:tcPr>
            <w:tcW w:w="3654" w:type="dxa"/>
            <w:tcBorders>
              <w:left w:val="single" w:sz="8" w:space="0" w:color="000000"/>
              <w:bottom w:val="single" w:sz="8" w:space="0" w:color="000000"/>
              <w:right w:val="single" w:sz="8" w:space="0" w:color="000000"/>
            </w:tcBorders>
            <w:tcMar>
              <w:top w:w="0" w:type="dxa"/>
              <w:left w:w="134" w:type="dxa"/>
              <w:bottom w:w="28" w:type="dxa"/>
            </w:tcMar>
            <w:vAlign w:val="center"/>
          </w:tcPr>
          <w:p>
            <w:pPr>
              <w:pStyle w:val="TableContents"/>
              <w:bidi w:val="0"/>
              <w:spacing w:before="0" w:after="283"/>
              <w:jc w:val="left"/>
              <w:rPr>
                <w:b/>
                <w:sz w:val="16"/>
              </w:rPr>
            </w:pPr>
            <w:r>
              <w:rPr>
                <w:b/>
                <w:sz w:val="16"/>
              </w:rPr>
              <w:t>Net Insurance Financial Expenses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139,055</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162,918</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169,075</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3.8%</w:t>
            </w:r>
          </w:p>
        </w:tc>
        <w:tc>
          <w:tcPr>
            <w:tcW w:w="47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21.6%</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274,676</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331,992</w:t>
            </w:r>
          </w:p>
        </w:tc>
        <w:tc>
          <w:tcPr>
            <w:tcW w:w="97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20.9%</w:t>
            </w:r>
          </w:p>
        </w:tc>
      </w:tr>
      <w:tr>
        <w:trPr/>
        <w:tc>
          <w:tcPr>
            <w:tcW w:w="3654" w:type="dxa"/>
            <w:tcBorders>
              <w:left w:val="single" w:sz="8" w:space="0" w:color="000000"/>
              <w:bottom w:val="single" w:sz="8" w:space="0" w:color="000000"/>
              <w:right w:val="single" w:sz="8" w:space="0" w:color="000000"/>
            </w:tcBorders>
            <w:tcMar>
              <w:top w:w="0" w:type="dxa"/>
              <w:left w:w="31" w:type="dxa"/>
              <w:bottom w:w="28" w:type="dxa"/>
            </w:tcMar>
            <w:vAlign w:val="center"/>
          </w:tcPr>
          <w:p>
            <w:pPr>
              <w:pStyle w:val="TableContents"/>
              <w:bidi w:val="0"/>
              <w:spacing w:before="0" w:after="283"/>
              <w:jc w:val="left"/>
              <w:rPr>
                <w:b/>
                <w:sz w:val="16"/>
              </w:rPr>
            </w:pPr>
            <w:r>
              <w:rPr>
                <w:b/>
                <w:sz w:val="16"/>
              </w:rPr>
              <w:t>Net interest, similar income and expenses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3,615,371</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3,962,727</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4,096,951</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3.4%</w:t>
            </w:r>
          </w:p>
        </w:tc>
        <w:tc>
          <w:tcPr>
            <w:tcW w:w="47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13.3%</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7,187,383</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8,059,678</w:t>
            </w:r>
          </w:p>
        </w:tc>
        <w:tc>
          <w:tcPr>
            <w:tcW w:w="97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12.1%</w:t>
            </w:r>
          </w:p>
        </w:tc>
      </w:tr>
      <w:tr>
        <w:trPr/>
        <w:tc>
          <w:tcPr>
            <w:tcW w:w="3654" w:type="dxa"/>
            <w:tcBorders>
              <w:left w:val="single" w:sz="8" w:space="0" w:color="000000"/>
              <w:bottom w:val="single" w:sz="8" w:space="0" w:color="000000"/>
              <w:right w:val="single" w:sz="8" w:space="0" w:color="000000"/>
            </w:tcBorders>
            <w:tcMar>
              <w:top w:w="0" w:type="dxa"/>
              <w:left w:w="31" w:type="dxa"/>
              <w:bottom w:w="28" w:type="dxa"/>
            </w:tcMar>
            <w:vAlign w:val="center"/>
          </w:tcPr>
          <w:p>
            <w:pPr>
              <w:pStyle w:val="TableContents"/>
              <w:bidi w:val="0"/>
              <w:spacing w:before="0" w:after="283"/>
              <w:jc w:val="left"/>
              <w:rPr>
                <w:b/>
                <w:sz w:val="16"/>
              </w:rPr>
            </w:pPr>
            <w:r>
              <w:rPr>
                <w:b/>
                <w:sz w:val="16"/>
              </w:rPr>
              <w:t>Provision for credit losses on loan portfolio, net of recoveries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575,159</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482,088</w:t>
            </w:r>
          </w:p>
        </w:tc>
        <w:tc>
          <w:tcPr>
            <w:tcW w:w="920" w:type="dxa"/>
            <w:tcBorders>
              <w:bottom w:val="single" w:sz="8" w:space="0" w:color="000000"/>
              <w:right w:val="single" w:sz="8" w:space="0" w:color="000000"/>
            </w:tcBorders>
            <w:tcMar>
              <w:top w:w="0" w:type="dxa"/>
              <w:left w:w="0" w:type="dxa"/>
              <w:bottom w:w="28" w:type="dxa"/>
              <w:right w:w="38" w:type="dxa"/>
            </w:tcMar>
            <w:vAlign w:val="center"/>
          </w:tcPr>
          <w:p>
            <w:pPr>
              <w:pStyle w:val="TableContents"/>
              <w:bidi w:val="0"/>
              <w:spacing w:before="0" w:after="283"/>
              <w:jc w:val="center"/>
              <w:rPr>
                <w:b/>
                <w:sz w:val="16"/>
              </w:rPr>
            </w:pPr>
            <w:r>
              <w:rPr>
                <w:b/>
                <w:sz w:val="16"/>
              </w:rPr>
              <w:t>731,208</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51.7%</w:t>
            </w:r>
          </w:p>
        </w:tc>
        <w:tc>
          <w:tcPr>
            <w:tcW w:w="47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27.1%</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1,157,052</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1,213,296</w:t>
            </w:r>
          </w:p>
        </w:tc>
        <w:tc>
          <w:tcPr>
            <w:tcW w:w="97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4.9%</w:t>
            </w:r>
          </w:p>
        </w:tc>
      </w:tr>
      <w:tr>
        <w:trPr/>
        <w:tc>
          <w:tcPr>
            <w:tcW w:w="3654" w:type="dxa"/>
            <w:tcBorders>
              <w:left w:val="single" w:sz="8" w:space="0" w:color="000000"/>
              <w:bottom w:val="single" w:sz="8" w:space="0" w:color="000000"/>
              <w:right w:val="single" w:sz="8" w:space="0" w:color="000000"/>
            </w:tcBorders>
            <w:tcMar>
              <w:top w:w="0" w:type="dxa"/>
              <w:left w:w="31" w:type="dxa"/>
              <w:bottom w:w="28" w:type="dxa"/>
              <w:right w:w="32" w:type="dxa"/>
            </w:tcMar>
            <w:vAlign w:val="center"/>
          </w:tcPr>
          <w:p>
            <w:pPr>
              <w:pStyle w:val="TableContents"/>
              <w:bidi w:val="0"/>
              <w:spacing w:before="0" w:after="283"/>
              <w:jc w:val="left"/>
              <w:rPr>
                <w:b/>
                <w:sz w:val="16"/>
              </w:rPr>
            </w:pPr>
            <w:r>
              <w:rPr>
                <w:b/>
                <w:sz w:val="16"/>
              </w:rPr>
              <w:t>Net interest, similar income and expenses, after provision for credit losses on loan portfolio</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3,040,212</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3,480,639</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3,365,743</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-3.3%</w:t>
            </w:r>
          </w:p>
        </w:tc>
        <w:tc>
          <w:tcPr>
            <w:tcW w:w="47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10.7%</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6,030,331</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6,846,382</w:t>
            </w:r>
          </w:p>
        </w:tc>
        <w:tc>
          <w:tcPr>
            <w:tcW w:w="97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13.5%</w:t>
            </w:r>
          </w:p>
        </w:tc>
      </w:tr>
      <w:tr>
        <w:trPr/>
        <w:tc>
          <w:tcPr>
            <w:tcW w:w="3654" w:type="dxa"/>
            <w:tcBorders>
              <w:left w:val="single" w:sz="8" w:space="0" w:color="000000"/>
              <w:bottom w:val="single" w:sz="8" w:space="0" w:color="000000"/>
              <w:right w:val="single" w:sz="8" w:space="0" w:color="000000"/>
            </w:tcBorders>
            <w:tcMar>
              <w:top w:w="0" w:type="dxa"/>
              <w:left w:w="31" w:type="dxa"/>
              <w:bottom w:w="28" w:type="dxa"/>
            </w:tcMar>
            <w:vAlign w:val="center"/>
          </w:tcPr>
          <w:p>
            <w:pPr>
              <w:pStyle w:val="TableContents"/>
              <w:bidi w:val="0"/>
              <w:spacing w:before="0" w:after="283"/>
              <w:jc w:val="left"/>
              <w:rPr>
                <w:sz w:val="16"/>
              </w:rPr>
            </w:pPr>
            <w:r>
              <w:rPr>
                <w:sz w:val="16"/>
              </w:rPr>
              <w:t>Average interest earning assets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233,761,957</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250,941,843</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257,562,678</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2.6%</w:t>
            </w:r>
          </w:p>
        </w:tc>
        <w:tc>
          <w:tcPr>
            <w:tcW w:w="47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10.2%</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236,038,086</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252,982,749</w:t>
            </w:r>
          </w:p>
        </w:tc>
        <w:tc>
          <w:tcPr>
            <w:tcW w:w="97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7.2%</w:t>
            </w:r>
          </w:p>
        </w:tc>
      </w:tr>
      <w:tr>
        <w:trPr/>
        <w:tc>
          <w:tcPr>
            <w:tcW w:w="3654" w:type="dxa"/>
            <w:tcBorders>
              <w:left w:val="single" w:sz="8" w:space="0" w:color="000000"/>
              <w:right w:val="single" w:sz="8" w:space="0" w:color="000000"/>
            </w:tcBorders>
            <w:tcMar>
              <w:top w:w="0" w:type="dxa"/>
              <w:left w:w="31" w:type="dxa"/>
            </w:tcMar>
            <w:vAlign w:val="center"/>
          </w:tcPr>
          <w:p>
            <w:pPr>
              <w:pStyle w:val="TableContents"/>
              <w:bidi w:val="0"/>
              <w:spacing w:lineRule="auto" w:line="240" w:before="0" w:after="283"/>
              <w:jc w:val="left"/>
              <w:rPr>
                <w:b/>
                <w:sz w:val="16"/>
              </w:rPr>
            </w:pPr>
            <w:r>
              <w:rPr>
                <w:b/>
                <w:sz w:val="16"/>
              </w:rPr>
              <w:t>Net interest margin (1)</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6.42%</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6.58%</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6.63%</w:t>
            </w:r>
          </w:p>
        </w:tc>
        <w:tc>
          <w:tcPr>
            <w:tcW w:w="500" w:type="dxa"/>
            <w:tcBorders/>
            <w:tcMar>
              <w:top w:w="0" w:type="dxa"/>
              <w:left w:w="0" w:type="dxa"/>
              <w:right w:w="0" w:type="dxa"/>
            </w:tcMar>
            <w:vAlign w:val="center"/>
          </w:tcPr>
          <w:p>
            <w:pPr>
              <w:pStyle w:val="TableContents"/>
              <w:bidi w:val="0"/>
              <w:spacing w:before="0" w:after="283"/>
              <w:jc w:val="center"/>
              <w:rPr>
                <w:b/>
                <w:sz w:val="16"/>
              </w:rPr>
            </w:pPr>
            <w:r>
              <w:rPr>
                <w:b/>
                <w:sz w:val="16"/>
              </w:rPr>
              <w:t>5 bps</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21 bps</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6.32%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6.63%</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31 bps</w:t>
            </w:r>
          </w:p>
        </w:tc>
      </w:tr>
      <w:tr>
        <w:trPr/>
        <w:tc>
          <w:tcPr>
            <w:tcW w:w="3654" w:type="dxa"/>
            <w:tcBorders>
              <w:left w:val="single" w:sz="8" w:space="0" w:color="000000"/>
              <w:right w:val="single" w:sz="8" w:space="0" w:color="000000"/>
            </w:tcBorders>
            <w:tcMar>
              <w:top w:w="0" w:type="dxa"/>
              <w:left w:w="31" w:type="dxa"/>
            </w:tcMar>
            <w:vAlign w:val="center"/>
          </w:tcPr>
          <w:p>
            <w:pPr>
              <w:pStyle w:val="TableContents"/>
              <w:bidi w:val="0"/>
              <w:spacing w:lineRule="auto" w:line="240" w:before="0" w:after="283"/>
              <w:jc w:val="left"/>
              <w:rPr>
                <w:b/>
                <w:sz w:val="16"/>
              </w:rPr>
            </w:pPr>
            <w:r>
              <w:rPr>
                <w:b/>
                <w:sz w:val="16"/>
              </w:rPr>
              <w:t>Risk-adjusted Net interest margin (1)</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5.44%</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5.81%</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5.49%</w:t>
            </w:r>
          </w:p>
        </w:tc>
        <w:tc>
          <w:tcPr>
            <w:tcW w:w="500" w:type="dxa"/>
            <w:tcBorders/>
            <w:tcMar>
              <w:top w:w="0" w:type="dxa"/>
              <w:left w:w="0" w:type="dxa"/>
              <w:right w:w="0" w:type="dxa"/>
            </w:tcMar>
            <w:vAlign w:val="center"/>
          </w:tcPr>
          <w:p>
            <w:pPr>
              <w:pStyle w:val="TableContents"/>
              <w:bidi w:val="0"/>
              <w:spacing w:before="0" w:after="283"/>
              <w:jc w:val="center"/>
              <w:rPr>
                <w:b/>
                <w:sz w:val="16"/>
              </w:rPr>
            </w:pPr>
            <w:r>
              <w:rPr>
                <w:b/>
                <w:sz w:val="16"/>
              </w:rPr>
              <w:t>-32 bps</w:t>
            </w:r>
          </w:p>
        </w:tc>
        <w:tc>
          <w:tcPr>
            <w:tcW w:w="479"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5 bps</w:t>
            </w:r>
          </w:p>
        </w:tc>
        <w:tc>
          <w:tcPr>
            <w:tcW w:w="920" w:type="dxa"/>
            <w:tcBorders/>
            <w:tcMar>
              <w:top w:w="0" w:type="dxa"/>
              <w:left w:w="0" w:type="dxa"/>
              <w:right w:w="0" w:type="dxa"/>
            </w:tcMar>
            <w:vAlign w:val="center"/>
          </w:tcPr>
          <w:p>
            <w:pPr>
              <w:pStyle w:val="TableContents"/>
              <w:bidi w:val="0"/>
              <w:spacing w:before="0" w:after="283"/>
              <w:jc w:val="center"/>
              <w:rPr>
                <w:b/>
                <w:sz w:val="16"/>
              </w:rPr>
            </w:pPr>
            <w:r>
              <w:rPr>
                <w:b/>
                <w:sz w:val="16"/>
              </w:rPr>
              <w:t>5.34%</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5.67%</w:t>
            </w:r>
          </w:p>
        </w:tc>
        <w:tc>
          <w:tcPr>
            <w:tcW w:w="972"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33 bps</w:t>
            </w:r>
          </w:p>
        </w:tc>
      </w:tr>
      <w:tr>
        <w:trPr/>
        <w:tc>
          <w:tcPr>
            <w:tcW w:w="3654" w:type="dxa"/>
            <w:tcBorders>
              <w:left w:val="single" w:sz="8" w:space="0" w:color="000000"/>
              <w:bottom w:val="single" w:sz="8" w:space="0" w:color="000000"/>
              <w:right w:val="single" w:sz="8" w:space="0" w:color="000000"/>
            </w:tcBorders>
            <w:tcMar>
              <w:top w:w="0" w:type="dxa"/>
              <w:left w:w="31" w:type="dxa"/>
              <w:bottom w:w="28" w:type="dxa"/>
            </w:tcMar>
            <w:vAlign w:val="center"/>
          </w:tcPr>
          <w:p>
            <w:pPr>
              <w:pStyle w:val="TableContents"/>
              <w:bidi w:val="0"/>
              <w:spacing w:lineRule="auto" w:line="240" w:before="0" w:after="283"/>
              <w:jc w:val="left"/>
              <w:rPr>
                <w:b/>
                <w:sz w:val="16"/>
              </w:rPr>
            </w:pPr>
            <w:r>
              <w:rPr>
                <w:b/>
                <w:sz w:val="16"/>
              </w:rPr>
              <w:t>Net provisions for loan losses / Net interest income (1)</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15.91%</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12.17%</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17.85%</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568 bps</w:t>
            </w:r>
          </w:p>
        </w:tc>
        <w:tc>
          <w:tcPr>
            <w:tcW w:w="47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194 bps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16.10%</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15.05%</w:t>
            </w:r>
          </w:p>
        </w:tc>
        <w:tc>
          <w:tcPr>
            <w:tcW w:w="97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-105 bps</w:t>
            </w:r>
          </w:p>
        </w:tc>
      </w:tr>
    </w:tbl>
    <w:p>
      <w:pPr>
        <w:pStyle w:val="TextBody"/>
        <w:bidi w:val="0"/>
        <w:jc w:val="left"/>
        <w:rPr>
          <w:caps w:val="false"/>
          <w:smallCaps w:val="false"/>
        </w:rPr>
      </w:pPr>
      <w:r>
        <w:rPr>
          <w:caps w:val="false"/>
          <w:smallCaps w:val="false"/>
        </w:rPr>
        <w:t> </w:t>
      </w:r>
    </w:p>
    <w:p>
      <w:pPr>
        <w:pStyle w:val="TextBody"/>
        <w:bidi w:val="0"/>
        <w:ind w:left="86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Annualized. For further details on the NIM calculation due to IFRS17, please refer to Annex 12.8.</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 Net Interest Margin (NIM) and Risk-Adjusted NIM by Subsidiary</w:t>
      </w:r>
    </w:p>
    <w:p>
      <w:pPr>
        <w:pStyle w:val="TextBody"/>
        <w:bidi w:val="0"/>
        <w:spacing w:before="0" w:after="0"/>
        <w:jc w:val="left"/>
        <w:rPr>
          <w:caps w:val="false"/>
          <w:smallCaps w:val="false"/>
        </w:rPr>
      </w:pPr>
      <w:r>
        <w:rPr>
          <w:caps w:val="false"/>
          <w:smallCaps w:val="false"/>
        </w:rPr>
        <w:t> </w:t>
      </w:r>
    </w:p>
    <w:tbl>
      <w:tblPr>
        <w:tblW w:w="3185" w:type="dxa"/>
        <w:jc w:val="center"/>
        <w:tblInd w:w="0" w:type="dxa"/>
        <w:tblLayout w:type="fixed"/>
        <w:tblCellMar>
          <w:top w:w="28" w:type="dxa"/>
          <w:left w:w="59" w:type="dxa"/>
          <w:bottom w:w="28" w:type="dxa"/>
          <w:right w:w="28" w:type="dxa"/>
        </w:tblCellMar>
      </w:tblPr>
      <w:tblGrid>
        <w:gridCol w:w="1445"/>
        <w:gridCol w:w="575"/>
        <w:gridCol w:w="575"/>
        <w:gridCol w:w="590"/>
      </w:tblGrid>
      <w:tr>
        <w:trPr/>
        <w:tc>
          <w:tcPr>
            <w:tcW w:w="1445" w:type="dxa"/>
            <w:tcBorders>
              <w:top w:val="single" w:sz="8" w:space="0" w:color="000000"/>
              <w:left w:val="single" w:sz="8" w:space="0" w:color="000000"/>
              <w:bottom w:val="single" w:sz="12" w:space="0" w:color="000000"/>
              <w:right w:val="single" w:sz="12" w:space="0" w:color="000000"/>
            </w:tcBorders>
            <w:shd w:fill="2AD2C7" w:val="clear"/>
            <w:vAlign w:val="center"/>
          </w:tcPr>
          <w:p>
            <w:pPr>
              <w:pStyle w:val="TableContents"/>
              <w:bidi w:val="0"/>
              <w:spacing w:before="0" w:after="283"/>
              <w:jc w:val="left"/>
              <w:rPr>
                <w:b/>
                <w:color w:val="FFFFFF"/>
                <w:sz w:val="20"/>
              </w:rPr>
            </w:pPr>
            <w:r>
              <w:rPr>
                <w:b/>
                <w:color w:val="FFFFFF"/>
                <w:sz w:val="20"/>
              </w:rPr>
              <w:t>NIM Breakdown</w:t>
            </w:r>
          </w:p>
        </w:tc>
        <w:tc>
          <w:tcPr>
            <w:tcW w:w="575" w:type="dxa"/>
            <w:tcBorders>
              <w:top w:val="single" w:sz="8" w:space="0" w:color="000000"/>
              <w:bottom w:val="single" w:sz="12" w:space="0" w:color="000000"/>
            </w:tcBorders>
            <w:shd w:fill="2AD2C7" w:val="clear"/>
            <w:tcMar>
              <w:left w:w="0" w:type="dxa"/>
              <w:right w:w="0" w:type="dxa"/>
            </w:tcMar>
            <w:vAlign w:val="center"/>
          </w:tcPr>
          <w:p>
            <w:pPr>
              <w:pStyle w:val="TableContents"/>
              <w:bidi w:val="0"/>
              <w:spacing w:before="0" w:after="283"/>
              <w:jc w:val="center"/>
              <w:rPr>
                <w:b/>
                <w:color w:val="FFFFFF"/>
                <w:sz w:val="20"/>
              </w:rPr>
            </w:pPr>
            <w:r>
              <w:rPr>
                <w:b/>
                <w:color w:val="FFFFFF"/>
                <w:sz w:val="20"/>
              </w:rPr>
              <w:t>2Q25</w:t>
            </w:r>
          </w:p>
        </w:tc>
        <w:tc>
          <w:tcPr>
            <w:tcW w:w="575" w:type="dxa"/>
            <w:tcBorders>
              <w:top w:val="single" w:sz="8" w:space="0" w:color="000000"/>
              <w:bottom w:val="single" w:sz="12" w:space="0" w:color="000000"/>
            </w:tcBorders>
            <w:shd w:fill="2AD2C7" w:val="clear"/>
            <w:tcMar>
              <w:left w:w="0" w:type="dxa"/>
              <w:right w:w="0" w:type="dxa"/>
            </w:tcMar>
            <w:vAlign w:val="center"/>
          </w:tcPr>
          <w:p>
            <w:pPr>
              <w:pStyle w:val="TableContents"/>
              <w:bidi w:val="0"/>
              <w:spacing w:before="0" w:after="283"/>
              <w:jc w:val="center"/>
              <w:rPr>
                <w:b/>
                <w:color w:val="FFFFFF"/>
                <w:sz w:val="20"/>
              </w:rPr>
            </w:pPr>
            <w:r>
              <w:rPr>
                <w:b/>
                <w:color w:val="FFFFFF"/>
                <w:sz w:val="20"/>
              </w:rPr>
              <w:t>1Q26</w:t>
            </w:r>
          </w:p>
        </w:tc>
        <w:tc>
          <w:tcPr>
            <w:tcW w:w="590" w:type="dxa"/>
            <w:tcBorders>
              <w:top w:val="single" w:sz="8" w:space="0" w:color="000000"/>
              <w:bottom w:val="single" w:sz="12" w:space="0" w:color="000000"/>
              <w:right w:val="single" w:sz="12" w:space="0" w:color="000000"/>
            </w:tcBorders>
            <w:shd w:fill="2AD2C7" w:val="clear"/>
            <w:tcMar>
              <w:left w:w="0" w:type="dxa"/>
            </w:tcMar>
            <w:vAlign w:val="center"/>
          </w:tcPr>
          <w:p>
            <w:pPr>
              <w:pStyle w:val="TableContents"/>
              <w:bidi w:val="0"/>
              <w:spacing w:before="0" w:after="283"/>
              <w:jc w:val="center"/>
              <w:rPr>
                <w:b/>
                <w:color w:val="FFFFFF"/>
                <w:sz w:val="20"/>
              </w:rPr>
            </w:pPr>
            <w:r>
              <w:rPr>
                <w:b/>
                <w:color w:val="FFFFFF"/>
                <w:sz w:val="20"/>
              </w:rPr>
              <w:t>2Q26</w:t>
            </w:r>
          </w:p>
        </w:tc>
      </w:tr>
      <w:tr>
        <w:trPr/>
        <w:tc>
          <w:tcPr>
            <w:tcW w:w="1445" w:type="dxa"/>
            <w:tcBorders>
              <w:left w:val="single" w:sz="8"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BCP</w:t>
            </w:r>
          </w:p>
        </w:tc>
        <w:tc>
          <w:tcPr>
            <w:tcW w:w="57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6.00%</w:t>
            </w:r>
          </w:p>
        </w:tc>
        <w:tc>
          <w:tcPr>
            <w:tcW w:w="57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6.00%</w:t>
            </w:r>
          </w:p>
        </w:tc>
        <w:tc>
          <w:tcPr>
            <w:tcW w:w="590" w:type="dxa"/>
            <w:tcBorders>
              <w:right w:val="single" w:sz="12" w:space="0" w:color="000000"/>
            </w:tcBorders>
            <w:tcMar>
              <w:top w:w="0" w:type="dxa"/>
              <w:left w:w="0" w:type="dxa"/>
              <w:bottom w:w="0" w:type="dxa"/>
            </w:tcMar>
            <w:vAlign w:val="center"/>
          </w:tcPr>
          <w:p>
            <w:pPr>
              <w:pStyle w:val="TableContents"/>
              <w:bidi w:val="0"/>
              <w:spacing w:before="0" w:after="283"/>
              <w:jc w:val="center"/>
              <w:rPr>
                <w:sz w:val="20"/>
              </w:rPr>
            </w:pPr>
            <w:r>
              <w:rPr>
                <w:sz w:val="20"/>
              </w:rPr>
              <w:t>6.13%</w:t>
            </w:r>
          </w:p>
        </w:tc>
      </w:tr>
      <w:tr>
        <w:trPr/>
        <w:tc>
          <w:tcPr>
            <w:tcW w:w="1445" w:type="dxa"/>
            <w:tcBorders>
              <w:left w:val="single" w:sz="8" w:space="0" w:color="000000"/>
              <w:right w:val="single" w:sz="12" w:space="0" w:color="000000"/>
            </w:tcBorders>
            <w:tcMar>
              <w:top w:w="0" w:type="dxa"/>
              <w:bottom w:w="0" w:type="dxa"/>
            </w:tcMar>
            <w:vAlign w:val="center"/>
          </w:tcPr>
          <w:p>
            <w:pPr>
              <w:pStyle w:val="TableContents"/>
              <w:bidi w:val="0"/>
              <w:spacing w:before="0" w:after="283"/>
              <w:jc w:val="left"/>
              <w:rPr>
                <w:b/>
                <w:sz w:val="20"/>
              </w:rPr>
            </w:pPr>
            <w:r>
              <w:rPr>
                <w:b/>
                <w:sz w:val="20"/>
              </w:rPr>
              <w:t>Mibanco</w:t>
            </w:r>
          </w:p>
        </w:tc>
        <w:tc>
          <w:tcPr>
            <w:tcW w:w="57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14.4%</w:t>
            </w:r>
          </w:p>
        </w:tc>
        <w:tc>
          <w:tcPr>
            <w:tcW w:w="57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14.9%</w:t>
            </w:r>
          </w:p>
        </w:tc>
        <w:tc>
          <w:tcPr>
            <w:tcW w:w="590" w:type="dxa"/>
            <w:tcBorders>
              <w:right w:val="single" w:sz="12" w:space="0" w:color="000000"/>
            </w:tcBorders>
            <w:tcMar>
              <w:top w:w="0" w:type="dxa"/>
              <w:left w:w="0" w:type="dxa"/>
              <w:bottom w:w="0" w:type="dxa"/>
            </w:tcMar>
            <w:vAlign w:val="center"/>
          </w:tcPr>
          <w:p>
            <w:pPr>
              <w:pStyle w:val="TableContents"/>
              <w:bidi w:val="0"/>
              <w:spacing w:before="0" w:after="283"/>
              <w:jc w:val="center"/>
              <w:rPr>
                <w:sz w:val="20"/>
              </w:rPr>
            </w:pPr>
            <w:r>
              <w:rPr>
                <w:sz w:val="20"/>
              </w:rPr>
              <w:t>15.2%</w:t>
            </w:r>
          </w:p>
        </w:tc>
      </w:tr>
      <w:tr>
        <w:trPr/>
        <w:tc>
          <w:tcPr>
            <w:tcW w:w="1445" w:type="dxa"/>
            <w:tcBorders>
              <w:left w:val="single" w:sz="8"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BCP Bolivia</w:t>
            </w:r>
          </w:p>
        </w:tc>
        <w:tc>
          <w:tcPr>
            <w:tcW w:w="575" w:type="dxa"/>
            <w:tcBorders>
              <w:bottom w:val="single" w:sz="12" w:space="0" w:color="000000"/>
            </w:tcBorders>
            <w:tcMar>
              <w:top w:w="0" w:type="dxa"/>
              <w:left w:w="0" w:type="dxa"/>
              <w:right w:w="0" w:type="dxa"/>
            </w:tcMar>
            <w:vAlign w:val="center"/>
          </w:tcPr>
          <w:p>
            <w:pPr>
              <w:pStyle w:val="TableContents"/>
              <w:bidi w:val="0"/>
              <w:spacing w:before="0" w:after="283"/>
              <w:jc w:val="center"/>
              <w:rPr>
                <w:sz w:val="20"/>
              </w:rPr>
            </w:pPr>
            <w:r>
              <w:rPr>
                <w:sz w:val="20"/>
              </w:rPr>
              <w:t>2.57%</w:t>
            </w:r>
          </w:p>
        </w:tc>
        <w:tc>
          <w:tcPr>
            <w:tcW w:w="575" w:type="dxa"/>
            <w:tcBorders>
              <w:bottom w:val="single" w:sz="12" w:space="0" w:color="000000"/>
            </w:tcBorders>
            <w:tcMar>
              <w:top w:w="0" w:type="dxa"/>
              <w:left w:w="0" w:type="dxa"/>
              <w:right w:w="0" w:type="dxa"/>
            </w:tcMar>
            <w:vAlign w:val="center"/>
          </w:tcPr>
          <w:p>
            <w:pPr>
              <w:pStyle w:val="TableContents"/>
              <w:bidi w:val="0"/>
              <w:spacing w:before="0" w:after="283"/>
              <w:jc w:val="center"/>
              <w:rPr>
                <w:sz w:val="20"/>
              </w:rPr>
            </w:pPr>
            <w:r>
              <w:rPr>
                <w:sz w:val="20"/>
              </w:rPr>
              <w:t>2.72%</w:t>
            </w:r>
          </w:p>
        </w:tc>
        <w:tc>
          <w:tcPr>
            <w:tcW w:w="5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2.94%</w:t>
            </w:r>
          </w:p>
        </w:tc>
      </w:tr>
      <w:tr>
        <w:trPr/>
        <w:tc>
          <w:tcPr>
            <w:tcW w:w="1445" w:type="dxa"/>
            <w:tcBorders>
              <w:left w:val="single" w:sz="8" w:space="0" w:color="000000"/>
              <w:bottom w:val="single" w:sz="12" w:space="0" w:color="000000"/>
              <w:right w:val="single" w:sz="12" w:space="0" w:color="000000"/>
            </w:tcBorders>
            <w:tcMar>
              <w:top w:w="0" w:type="dxa"/>
            </w:tcMar>
            <w:vAlign w:val="center"/>
          </w:tcPr>
          <w:p>
            <w:pPr>
              <w:pStyle w:val="TableContents"/>
              <w:bidi w:val="0"/>
              <w:spacing w:before="0" w:after="283"/>
              <w:jc w:val="left"/>
              <w:rPr>
                <w:b/>
                <w:sz w:val="20"/>
              </w:rPr>
            </w:pPr>
            <w:r>
              <w:rPr>
                <w:b/>
                <w:sz w:val="20"/>
              </w:rPr>
              <w:t>Credicorp</w:t>
            </w:r>
          </w:p>
        </w:tc>
        <w:tc>
          <w:tcPr>
            <w:tcW w:w="57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6.42%</w:t>
            </w:r>
          </w:p>
        </w:tc>
        <w:tc>
          <w:tcPr>
            <w:tcW w:w="57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6.58%</w:t>
            </w:r>
          </w:p>
        </w:tc>
        <w:tc>
          <w:tcPr>
            <w:tcW w:w="5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6.63%</w:t>
            </w:r>
          </w:p>
        </w:tc>
      </w:tr>
    </w:tbl>
    <w:p>
      <w:pPr>
        <w:pStyle w:val="TextBody"/>
        <w:bidi w:val="0"/>
        <w:spacing w:before="0" w:after="0"/>
        <w:ind w:left="1593" w:right="1786" w:hanging="0"/>
        <w:jc w:val="left"/>
        <w:rPr>
          <w:caps w:val="false"/>
          <w:smallCaps w:val="false"/>
        </w:rPr>
      </w:pPr>
      <w:r>
        <w:rPr>
          <w:caps w:val="false"/>
          <w:smallCaps w:val="false"/>
        </w:rPr>
        <w:t> </w:t>
      </w:r>
    </w:p>
    <w:p>
      <w:pPr>
        <w:pStyle w:val="TextBody"/>
        <w:bidi w:val="0"/>
        <w:spacing w:before="0" w:after="0"/>
        <w:ind w:left="1593" w:right="1786"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NIM: Annualized Net interest income (excluding Net Insurance Financial Expenses) / Average period end and period beginning interest-earning assets.</w:t>
      </w:r>
    </w:p>
    <w:p>
      <w:pPr>
        <w:pStyle w:val="TextBody"/>
        <w:bidi w:val="0"/>
        <w:spacing w:before="0" w:after="0"/>
        <w:ind w:left="1593" w:right="1786" w:hanging="0"/>
        <w:jc w:val="left"/>
        <w:rPr>
          <w:caps w:val="false"/>
          <w:smallCaps w:val="false"/>
        </w:rPr>
      </w:pPr>
      <w:r>
        <w:rPr>
          <w:caps w:val="false"/>
          <w:smallCaps w:val="false"/>
        </w:rPr>
        <w:t> </w:t>
      </w:r>
    </w:p>
    <w:tbl>
      <w:tblPr>
        <w:tblW w:w="4385" w:type="dxa"/>
        <w:jc w:val="center"/>
        <w:tblInd w:w="0" w:type="dxa"/>
        <w:tblLayout w:type="fixed"/>
        <w:tblCellMar>
          <w:top w:w="28" w:type="dxa"/>
          <w:left w:w="28" w:type="dxa"/>
          <w:bottom w:w="28" w:type="dxa"/>
          <w:right w:w="28" w:type="dxa"/>
        </w:tblCellMar>
      </w:tblPr>
      <w:tblGrid>
        <w:gridCol w:w="2645"/>
        <w:gridCol w:w="575"/>
        <w:gridCol w:w="575"/>
        <w:gridCol w:w="590"/>
      </w:tblGrid>
      <w:tr>
        <w:trPr/>
        <w:tc>
          <w:tcPr>
            <w:tcW w:w="2645" w:type="dxa"/>
            <w:tcBorders>
              <w:top w:val="single" w:sz="8" w:space="0" w:color="000000"/>
              <w:left w:val="single" w:sz="8" w:space="0" w:color="000000"/>
              <w:bottom w:val="single" w:sz="12" w:space="0" w:color="000000"/>
              <w:right w:val="single" w:sz="12" w:space="0" w:color="000000"/>
            </w:tcBorders>
            <w:shd w:fill="2AD2C7" w:val="clear"/>
            <w:vAlign w:val="center"/>
          </w:tcPr>
          <w:p>
            <w:pPr>
              <w:pStyle w:val="TableContents"/>
              <w:bidi w:val="0"/>
              <w:spacing w:before="0" w:after="0"/>
              <w:ind w:left="59" w:right="0" w:hanging="0"/>
              <w:jc w:val="left"/>
              <w:rPr>
                <w:rFonts w:ascii="Times New Roman;Times;Serif" w:hAnsi="Times New Roman;Times;Serif"/>
                <w:b/>
                <w:i w:val="false"/>
                <w:caps w:val="false"/>
                <w:smallCaps w:val="false"/>
                <w:color w:val="FFFFFF"/>
                <w:sz w:val="20"/>
              </w:rPr>
            </w:pPr>
            <w:r>
              <w:rPr>
                <w:rFonts w:ascii="Times New Roman;Times;Serif" w:hAnsi="Times New Roman;Times;Serif"/>
                <w:b/>
                <w:i w:val="false"/>
                <w:caps w:val="false"/>
                <w:smallCaps w:val="false"/>
                <w:color w:val="FFFFFF"/>
                <w:sz w:val="20"/>
              </w:rPr>
              <w:t>Risk Adjusted NIM Breakdown</w:t>
            </w:r>
          </w:p>
        </w:tc>
        <w:tc>
          <w:tcPr>
            <w:tcW w:w="575" w:type="dxa"/>
            <w:tcBorders>
              <w:top w:val="single" w:sz="8" w:space="0" w:color="000000"/>
              <w:bottom w:val="single" w:sz="12" w:space="0" w:color="000000"/>
            </w:tcBorders>
            <w:shd w:fill="2AD2C7" w:val="clear"/>
            <w:tcMar>
              <w:left w:w="0" w:type="dxa"/>
              <w:right w:w="0" w:type="dxa"/>
            </w:tcMar>
            <w:vAlign w:val="center"/>
          </w:tcPr>
          <w:p>
            <w:pPr>
              <w:pStyle w:val="TableContents"/>
              <w:bidi w:val="0"/>
              <w:spacing w:before="0" w:after="283"/>
              <w:jc w:val="center"/>
              <w:rPr>
                <w:b/>
                <w:color w:val="FFFFFF"/>
                <w:sz w:val="20"/>
              </w:rPr>
            </w:pPr>
            <w:r>
              <w:rPr>
                <w:b/>
                <w:color w:val="FFFFFF"/>
                <w:sz w:val="20"/>
              </w:rPr>
              <w:t>2Q25</w:t>
            </w:r>
          </w:p>
        </w:tc>
        <w:tc>
          <w:tcPr>
            <w:tcW w:w="575" w:type="dxa"/>
            <w:tcBorders>
              <w:top w:val="single" w:sz="8" w:space="0" w:color="000000"/>
              <w:bottom w:val="single" w:sz="12" w:space="0" w:color="000000"/>
            </w:tcBorders>
            <w:shd w:fill="2AD2C7" w:val="clear"/>
            <w:tcMar>
              <w:left w:w="0" w:type="dxa"/>
              <w:right w:w="0" w:type="dxa"/>
            </w:tcMar>
            <w:vAlign w:val="center"/>
          </w:tcPr>
          <w:p>
            <w:pPr>
              <w:pStyle w:val="TableContents"/>
              <w:bidi w:val="0"/>
              <w:spacing w:before="0" w:after="283"/>
              <w:jc w:val="center"/>
              <w:rPr>
                <w:b/>
                <w:color w:val="FFFFFF"/>
                <w:sz w:val="20"/>
              </w:rPr>
            </w:pPr>
            <w:r>
              <w:rPr>
                <w:b/>
                <w:color w:val="FFFFFF"/>
                <w:sz w:val="20"/>
              </w:rPr>
              <w:t>1Q26</w:t>
            </w:r>
          </w:p>
        </w:tc>
        <w:tc>
          <w:tcPr>
            <w:tcW w:w="590" w:type="dxa"/>
            <w:tcBorders>
              <w:top w:val="single" w:sz="8" w:space="0" w:color="000000"/>
              <w:bottom w:val="single" w:sz="12" w:space="0" w:color="000000"/>
              <w:right w:val="single" w:sz="12" w:space="0" w:color="000000"/>
            </w:tcBorders>
            <w:shd w:fill="2AD2C7" w:val="clear"/>
            <w:tcMar>
              <w:left w:w="0" w:type="dxa"/>
            </w:tcMar>
            <w:vAlign w:val="center"/>
          </w:tcPr>
          <w:p>
            <w:pPr>
              <w:pStyle w:val="TableContents"/>
              <w:bidi w:val="0"/>
              <w:spacing w:before="0" w:after="283"/>
              <w:jc w:val="center"/>
              <w:rPr>
                <w:b/>
                <w:color w:val="FFFFFF"/>
                <w:sz w:val="20"/>
              </w:rPr>
            </w:pPr>
            <w:r>
              <w:rPr>
                <w:b/>
                <w:color w:val="FFFFFF"/>
                <w:sz w:val="20"/>
              </w:rPr>
              <w:t>2Q26</w:t>
            </w:r>
          </w:p>
        </w:tc>
      </w:tr>
      <w:tr>
        <w:trPr/>
        <w:tc>
          <w:tcPr>
            <w:tcW w:w="2645" w:type="dxa"/>
            <w:tcBorders>
              <w:left w:val="single" w:sz="8" w:space="0" w:color="000000"/>
              <w:right w:val="single" w:sz="12" w:space="0" w:color="000000"/>
            </w:tcBorders>
            <w:tcMar>
              <w:top w:w="0" w:type="dxa"/>
              <w:left w:w="59" w:type="dxa"/>
              <w:bottom w:w="0" w:type="dxa"/>
            </w:tcMar>
            <w:vAlign w:val="center"/>
          </w:tcPr>
          <w:p>
            <w:pPr>
              <w:pStyle w:val="TableContents"/>
              <w:bidi w:val="0"/>
              <w:spacing w:before="0" w:after="283"/>
              <w:jc w:val="left"/>
              <w:rPr>
                <w:b/>
                <w:sz w:val="20"/>
              </w:rPr>
            </w:pPr>
            <w:r>
              <w:rPr>
                <w:b/>
                <w:sz w:val="20"/>
              </w:rPr>
              <w:t>BCP</w:t>
            </w:r>
          </w:p>
        </w:tc>
        <w:tc>
          <w:tcPr>
            <w:tcW w:w="57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5.22%</w:t>
            </w:r>
          </w:p>
        </w:tc>
        <w:tc>
          <w:tcPr>
            <w:tcW w:w="57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5.50%</w:t>
            </w:r>
          </w:p>
        </w:tc>
        <w:tc>
          <w:tcPr>
            <w:tcW w:w="590" w:type="dxa"/>
            <w:tcBorders>
              <w:right w:val="single" w:sz="12" w:space="0" w:color="000000"/>
            </w:tcBorders>
            <w:tcMar>
              <w:top w:w="0" w:type="dxa"/>
              <w:left w:w="0" w:type="dxa"/>
              <w:bottom w:w="0" w:type="dxa"/>
            </w:tcMar>
            <w:vAlign w:val="center"/>
          </w:tcPr>
          <w:p>
            <w:pPr>
              <w:pStyle w:val="TableContents"/>
              <w:bidi w:val="0"/>
              <w:spacing w:before="0" w:after="283"/>
              <w:jc w:val="center"/>
              <w:rPr>
                <w:sz w:val="20"/>
              </w:rPr>
            </w:pPr>
            <w:r>
              <w:rPr>
                <w:sz w:val="20"/>
              </w:rPr>
              <w:t>5.18%</w:t>
            </w:r>
          </w:p>
        </w:tc>
      </w:tr>
      <w:tr>
        <w:trPr/>
        <w:tc>
          <w:tcPr>
            <w:tcW w:w="2645" w:type="dxa"/>
            <w:tcBorders>
              <w:left w:val="single" w:sz="8" w:space="0" w:color="000000"/>
              <w:right w:val="single" w:sz="12" w:space="0" w:color="000000"/>
            </w:tcBorders>
            <w:tcMar>
              <w:top w:w="0" w:type="dxa"/>
              <w:left w:w="59" w:type="dxa"/>
              <w:bottom w:w="0" w:type="dxa"/>
            </w:tcMar>
            <w:vAlign w:val="center"/>
          </w:tcPr>
          <w:p>
            <w:pPr>
              <w:pStyle w:val="TableContents"/>
              <w:bidi w:val="0"/>
              <w:spacing w:before="0" w:after="283"/>
              <w:jc w:val="left"/>
              <w:rPr>
                <w:b/>
                <w:sz w:val="20"/>
              </w:rPr>
            </w:pPr>
            <w:r>
              <w:rPr>
                <w:b/>
                <w:sz w:val="20"/>
              </w:rPr>
              <w:t>Mibanco</w:t>
            </w:r>
          </w:p>
        </w:tc>
        <w:tc>
          <w:tcPr>
            <w:tcW w:w="57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10.3%</w:t>
            </w:r>
          </w:p>
        </w:tc>
        <w:tc>
          <w:tcPr>
            <w:tcW w:w="57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11.3%</w:t>
            </w:r>
          </w:p>
        </w:tc>
        <w:tc>
          <w:tcPr>
            <w:tcW w:w="590" w:type="dxa"/>
            <w:tcBorders>
              <w:right w:val="single" w:sz="12" w:space="0" w:color="000000"/>
            </w:tcBorders>
            <w:tcMar>
              <w:top w:w="0" w:type="dxa"/>
              <w:left w:w="0" w:type="dxa"/>
              <w:bottom w:w="0" w:type="dxa"/>
            </w:tcMar>
            <w:vAlign w:val="center"/>
          </w:tcPr>
          <w:p>
            <w:pPr>
              <w:pStyle w:val="TableContents"/>
              <w:bidi w:val="0"/>
              <w:spacing w:before="0" w:after="283"/>
              <w:jc w:val="center"/>
              <w:rPr>
                <w:sz w:val="20"/>
              </w:rPr>
            </w:pPr>
            <w:r>
              <w:rPr>
                <w:sz w:val="20"/>
              </w:rPr>
              <w:t>11.2%</w:t>
            </w:r>
          </w:p>
        </w:tc>
      </w:tr>
      <w:tr>
        <w:trPr/>
        <w:tc>
          <w:tcPr>
            <w:tcW w:w="2645" w:type="dxa"/>
            <w:tcBorders>
              <w:left w:val="single" w:sz="8" w:space="0" w:color="000000"/>
              <w:bottom w:val="single" w:sz="12" w:space="0" w:color="000000"/>
              <w:right w:val="single" w:sz="12" w:space="0" w:color="000000"/>
            </w:tcBorders>
            <w:tcMar>
              <w:top w:w="0" w:type="dxa"/>
              <w:left w:w="59" w:type="dxa"/>
            </w:tcMar>
            <w:vAlign w:val="center"/>
          </w:tcPr>
          <w:p>
            <w:pPr>
              <w:pStyle w:val="TableContents"/>
              <w:bidi w:val="0"/>
              <w:spacing w:before="0" w:after="283"/>
              <w:jc w:val="left"/>
              <w:rPr>
                <w:b/>
                <w:sz w:val="20"/>
              </w:rPr>
            </w:pPr>
            <w:r>
              <w:rPr>
                <w:b/>
                <w:sz w:val="20"/>
              </w:rPr>
              <w:t>BCP Bolivia</w:t>
            </w:r>
          </w:p>
        </w:tc>
        <w:tc>
          <w:tcPr>
            <w:tcW w:w="575" w:type="dxa"/>
            <w:tcBorders>
              <w:bottom w:val="single" w:sz="12" w:space="0" w:color="000000"/>
            </w:tcBorders>
            <w:tcMar>
              <w:top w:w="0" w:type="dxa"/>
              <w:left w:w="0" w:type="dxa"/>
              <w:right w:w="0" w:type="dxa"/>
            </w:tcMar>
            <w:vAlign w:val="center"/>
          </w:tcPr>
          <w:p>
            <w:pPr>
              <w:pStyle w:val="TableContents"/>
              <w:bidi w:val="0"/>
              <w:spacing w:before="0" w:after="283"/>
              <w:jc w:val="center"/>
              <w:rPr>
                <w:sz w:val="20"/>
              </w:rPr>
            </w:pPr>
            <w:r>
              <w:rPr>
                <w:sz w:val="20"/>
              </w:rPr>
              <w:t>1.89%</w:t>
            </w:r>
          </w:p>
        </w:tc>
        <w:tc>
          <w:tcPr>
            <w:tcW w:w="575" w:type="dxa"/>
            <w:tcBorders>
              <w:bottom w:val="single" w:sz="12" w:space="0" w:color="000000"/>
            </w:tcBorders>
            <w:tcMar>
              <w:top w:w="0" w:type="dxa"/>
              <w:left w:w="0" w:type="dxa"/>
              <w:right w:w="0" w:type="dxa"/>
            </w:tcMar>
            <w:vAlign w:val="center"/>
          </w:tcPr>
          <w:p>
            <w:pPr>
              <w:pStyle w:val="TableContents"/>
              <w:bidi w:val="0"/>
              <w:spacing w:before="0" w:after="283"/>
              <w:jc w:val="center"/>
              <w:rPr>
                <w:sz w:val="20"/>
              </w:rPr>
            </w:pPr>
            <w:r>
              <w:rPr>
                <w:sz w:val="20"/>
              </w:rPr>
              <w:t>2.11%</w:t>
            </w:r>
          </w:p>
        </w:tc>
        <w:tc>
          <w:tcPr>
            <w:tcW w:w="5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2.18%</w:t>
            </w:r>
          </w:p>
        </w:tc>
      </w:tr>
      <w:tr>
        <w:trPr/>
        <w:tc>
          <w:tcPr>
            <w:tcW w:w="2645" w:type="dxa"/>
            <w:tcBorders>
              <w:left w:val="single" w:sz="8" w:space="0" w:color="000000"/>
              <w:bottom w:val="single" w:sz="12" w:space="0" w:color="000000"/>
              <w:right w:val="single" w:sz="12" w:space="0" w:color="000000"/>
            </w:tcBorders>
            <w:tcMar>
              <w:top w:w="0" w:type="dxa"/>
              <w:left w:w="59" w:type="dxa"/>
            </w:tcMar>
            <w:vAlign w:val="center"/>
          </w:tcPr>
          <w:p>
            <w:pPr>
              <w:pStyle w:val="TableContents"/>
              <w:bidi w:val="0"/>
              <w:spacing w:before="0" w:after="283"/>
              <w:jc w:val="left"/>
              <w:rPr>
                <w:b/>
                <w:sz w:val="20"/>
              </w:rPr>
            </w:pPr>
            <w:r>
              <w:rPr>
                <w:b/>
                <w:sz w:val="20"/>
              </w:rPr>
              <w:t>Credicorp</w:t>
            </w:r>
          </w:p>
        </w:tc>
        <w:tc>
          <w:tcPr>
            <w:tcW w:w="57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5.44%</w:t>
            </w:r>
          </w:p>
        </w:tc>
        <w:tc>
          <w:tcPr>
            <w:tcW w:w="57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5.81%</w:t>
            </w:r>
          </w:p>
        </w:tc>
        <w:tc>
          <w:tcPr>
            <w:tcW w:w="5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5.49%</w:t>
            </w:r>
          </w:p>
        </w:tc>
      </w:tr>
    </w:tbl>
    <w:p>
      <w:pPr>
        <w:pStyle w:val="TextBody"/>
        <w:bidi w:val="0"/>
        <w:spacing w:before="0" w:after="0"/>
        <w:ind w:left="1593" w:right="1604" w:hanging="0"/>
        <w:jc w:val="left"/>
        <w:rPr>
          <w:caps w:val="false"/>
          <w:smallCaps w:val="false"/>
        </w:rPr>
      </w:pPr>
      <w:r>
        <w:rPr>
          <w:caps w:val="false"/>
          <w:smallCaps w:val="false"/>
        </w:rPr>
        <w:t> </w:t>
      </w:r>
    </w:p>
    <w:p>
      <w:pPr>
        <w:pStyle w:val="TextBody"/>
        <w:bidi w:val="0"/>
        <w:spacing w:before="0" w:after="0"/>
        <w:ind w:left="1593" w:right="1604"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Risk-Adjusted NIM: (Annualized Net interest income (excluding Net Insurance Financial Expenses) - annualized provisions) / Average period end and period beginning interest-earning assets.</w:t>
      </w:r>
    </w:p>
    <w:p>
      <w:pPr>
        <w:pStyle w:val="TextBody"/>
        <w:bidi w:val="0"/>
        <w:spacing w:before="0" w:after="0"/>
        <w:ind w:left="1593" w:right="1604"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638175"/>
            <wp:effectExtent l="0" t="0" r="0" b="0"/>
            <wp:docPr id="19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54" descr=""/>
                    <pic:cNvPicPr>
                      <a:picLocks noChangeAspect="1" noChangeArrowheads="1"/>
                    </pic:cNvPicPr>
                  </pic:nvPicPr>
                  <pic:blipFill>
                    <a:blip r:embed="rId170"/>
                    <a:stretch>
                      <a:fillRect/>
                    </a:stretch>
                  </pic:blipFill>
                  <pic:spPr bwMode="auto">
                    <a:xfrm>
                      <a:off x="0" y="0"/>
                      <a:ext cx="7620000" cy="638175"/>
                    </a:xfrm>
                    <a:prstGeom prst="rect">
                      <a:avLst/>
                    </a:prstGeom>
                  </pic:spPr>
                </pic:pic>
              </a:graphicData>
            </a:graphic>
          </wp:inline>
        </w:drawing>
      </w:r>
      <w:r>
        <w:rPr>
          <w:caps w:val="false"/>
          <w:smallCaps w:val="false"/>
        </w:rPr>
        <w:t> </w:t>
      </w:r>
    </w:p>
    <w:p>
      <w:pPr>
        <w:pStyle w:val="TextBody"/>
        <w:bidi w:val="0"/>
        <w:spacing w:before="0" w:after="0"/>
        <w:ind w:left="1593" w:right="1604" w:hanging="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9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55" descr=""/>
                          <pic:cNvPicPr>
                            <a:picLocks noChangeAspect="1" noChangeArrowheads="1"/>
                          </pic:cNvPicPr>
                        </pic:nvPicPr>
                        <pic:blipFill>
                          <a:blip r:embed="rId171"/>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color w:val="FFFFFF"/>
        </w:rPr>
      </w:pPr>
      <w:r>
        <w:rPr>
          <w:caps w:val="false"/>
          <w:smallCaps w:val="false"/>
          <w:color w:val="FFFFFF"/>
        </w:rPr>
        <w:t> </w:t>
      </w:r>
    </w:p>
    <w:p>
      <w:pPr>
        <w:pStyle w:val="TextBody"/>
        <w:bidi w:val="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12.5. Physical Points of Contact</w:t>
      </w:r>
    </w:p>
    <w:p>
      <w:pPr>
        <w:pStyle w:val="TextBody"/>
        <w:bidi w:val="0"/>
        <w:spacing w:before="0" w:after="0"/>
        <w:jc w:val="left"/>
        <w:rPr>
          <w:caps w:val="false"/>
          <w:smallCaps w:val="false"/>
        </w:rPr>
      </w:pPr>
      <w:r>
        <w:rPr>
          <w:caps w:val="false"/>
          <w:smallCaps w:val="false"/>
        </w:rPr>
        <w:t> </w:t>
      </w:r>
    </w:p>
    <w:tbl>
      <w:tblPr>
        <w:tblW w:w="5544" w:type="dxa"/>
        <w:jc w:val="center"/>
        <w:tblInd w:w="0" w:type="dxa"/>
        <w:tblLayout w:type="fixed"/>
        <w:tblCellMar>
          <w:top w:w="28" w:type="dxa"/>
          <w:left w:w="60" w:type="dxa"/>
          <w:bottom w:w="28" w:type="dxa"/>
          <w:right w:w="60" w:type="dxa"/>
        </w:tblCellMar>
      </w:tblPr>
      <w:tblGrid>
        <w:gridCol w:w="2510"/>
        <w:gridCol w:w="590"/>
        <w:gridCol w:w="650"/>
        <w:gridCol w:w="590"/>
        <w:gridCol w:w="592"/>
        <w:gridCol w:w="612"/>
      </w:tblGrid>
      <w:tr>
        <w:trPr/>
        <w:tc>
          <w:tcPr>
            <w:tcW w:w="2510" w:type="dxa"/>
            <w:vMerge w:val="restart"/>
            <w:tcBorders>
              <w:top w:val="single" w:sz="8" w:space="0" w:color="000000"/>
              <w:left w:val="single" w:sz="8" w:space="0" w:color="000000"/>
              <w:bottom w:val="single" w:sz="8" w:space="0" w:color="000000"/>
              <w:right w:val="single" w:sz="8" w:space="0" w:color="000000"/>
            </w:tcBorders>
            <w:shd w:fill="29D2C7" w:val="clear"/>
            <w:vAlign w:val="center"/>
          </w:tcPr>
          <w:p>
            <w:pPr>
              <w:pStyle w:val="TableContents"/>
              <w:bidi w:val="0"/>
              <w:spacing w:lineRule="auto" w:line="240" w:before="0" w:after="283"/>
              <w:jc w:val="left"/>
              <w:rPr/>
            </w:pPr>
            <w:r>
              <w:rPr>
                <w:rFonts w:ascii="Times New Roman;Times;Serif" w:hAnsi="Times New Roman;Times;Serif"/>
                <w:b/>
                <w:color w:val="FFFFFF"/>
                <w:sz w:val="20"/>
              </w:rPr>
              <w:t>Physical Points of Contact (1)</w:t>
            </w:r>
            <w:r>
              <w:rPr>
                <w:color w:val="FFFFFF"/>
              </w:rPr>
              <w:br/>
            </w:r>
            <w:r>
              <w:rPr>
                <w:rFonts w:ascii="Times New Roman;Times;Serif" w:hAnsi="Times New Roman;Times;Serif"/>
                <w:b/>
                <w:color w:val="FFFFFF"/>
                <w:sz w:val="20"/>
              </w:rPr>
              <w:t>(Units)</w:t>
            </w:r>
          </w:p>
        </w:tc>
        <w:tc>
          <w:tcPr>
            <w:tcW w:w="590" w:type="dxa"/>
            <w:tcBorders>
              <w:top w:val="single" w:sz="8" w:space="0" w:color="000000"/>
            </w:tcBorders>
            <w:shd w:fill="29D2C7" w:val="clear"/>
            <w:tcMar>
              <w:left w:w="0" w:type="dxa"/>
              <w:bottom w:w="0" w:type="dxa"/>
              <w:right w:w="0" w:type="dxa"/>
            </w:tcMar>
            <w:vAlign w:val="center"/>
          </w:tcPr>
          <w:p>
            <w:pPr>
              <w:pStyle w:val="TableContents"/>
              <w:bidi w:val="0"/>
              <w:spacing w:before="0" w:after="283"/>
              <w:jc w:val="center"/>
              <w:rPr>
                <w:color w:val="FFFFFF"/>
              </w:rPr>
            </w:pPr>
            <w:r>
              <w:rPr>
                <w:color w:val="FFFFFF"/>
              </w:rPr>
              <w:t> </w:t>
            </w:r>
          </w:p>
        </w:tc>
        <w:tc>
          <w:tcPr>
            <w:tcW w:w="650" w:type="dxa"/>
            <w:tcBorders>
              <w:top w:val="single" w:sz="8" w:space="0" w:color="000000"/>
            </w:tcBorders>
            <w:shd w:fill="29D2C7" w:val="clear"/>
            <w:tcMar>
              <w:left w:w="0" w:type="dxa"/>
              <w:bottom w:w="0" w:type="dxa"/>
              <w:right w:w="0" w:type="dxa"/>
            </w:tcM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As of</w:t>
            </w:r>
          </w:p>
        </w:tc>
        <w:tc>
          <w:tcPr>
            <w:tcW w:w="590" w:type="dxa"/>
            <w:tcBorders>
              <w:top w:val="single" w:sz="8" w:space="0" w:color="000000"/>
              <w:right w:val="single" w:sz="8" w:space="0" w:color="000000"/>
            </w:tcBorders>
            <w:shd w:fill="29D2C7" w:val="clear"/>
            <w:tcMar>
              <w:left w:w="0" w:type="dxa"/>
              <w:bottom w:w="0" w:type="dxa"/>
            </w:tcMar>
            <w:vAlign w:val="center"/>
          </w:tcPr>
          <w:p>
            <w:pPr>
              <w:pStyle w:val="TableContents"/>
              <w:bidi w:val="0"/>
              <w:spacing w:before="0" w:after="283"/>
              <w:jc w:val="center"/>
              <w:rPr>
                <w:color w:val="FFFFFF"/>
              </w:rPr>
            </w:pPr>
            <w:r>
              <w:rPr>
                <w:color w:val="FFFFFF"/>
              </w:rPr>
              <w:t> </w:t>
            </w:r>
          </w:p>
        </w:tc>
        <w:tc>
          <w:tcPr>
            <w:tcW w:w="1204" w:type="dxa"/>
            <w:gridSpan w:val="2"/>
            <w:tcBorders>
              <w:top w:val="single" w:sz="8" w:space="0" w:color="000000"/>
              <w:right w:val="single" w:sz="8" w:space="0" w:color="000000"/>
            </w:tcBorders>
            <w:shd w:fill="29D2C7"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change (units)</w:t>
            </w:r>
          </w:p>
        </w:tc>
      </w:tr>
      <w:tr>
        <w:trPr/>
        <w:tc>
          <w:tcPr>
            <w:tcW w:w="2510" w:type="dxa"/>
            <w:vMerge w:val="continue"/>
            <w:tcBorders>
              <w:top w:val="single" w:sz="8" w:space="0" w:color="000000"/>
              <w:left w:val="single" w:sz="8" w:space="0" w:color="000000"/>
              <w:bottom w:val="single" w:sz="8" w:space="0" w:color="000000"/>
              <w:right w:val="single" w:sz="8" w:space="0" w:color="000000"/>
            </w:tcBorders>
            <w:shd w:fill="29D2C7" w:val="clear"/>
            <w:vAlign w:val="center"/>
          </w:tcPr>
          <w:p>
            <w:pPr>
              <w:pStyle w:val="Normal"/>
              <w:bidi w:val="0"/>
              <w:jc w:val="left"/>
              <w:rPr/>
            </w:pPr>
            <w:r>
              <w:rPr/>
            </w:r>
          </w:p>
        </w:tc>
        <w:tc>
          <w:tcPr>
            <w:tcW w:w="590" w:type="dxa"/>
            <w:tcBorders>
              <w:bottom w:val="single" w:sz="8" w:space="0" w:color="000000"/>
            </w:tcBorders>
            <w:shd w:fill="29D2C7"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Jun 25</w:t>
            </w:r>
          </w:p>
        </w:tc>
        <w:tc>
          <w:tcPr>
            <w:tcW w:w="650" w:type="dxa"/>
            <w:tcBorders>
              <w:bottom w:val="single" w:sz="8" w:space="0" w:color="000000"/>
            </w:tcBorders>
            <w:shd w:fill="29D2C7"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Mar 26</w:t>
            </w:r>
          </w:p>
        </w:tc>
        <w:tc>
          <w:tcPr>
            <w:tcW w:w="590" w:type="dxa"/>
            <w:tcBorders>
              <w:bottom w:val="single" w:sz="8" w:space="0" w:color="000000"/>
              <w:right w:val="single" w:sz="8" w:space="0" w:color="000000"/>
            </w:tcBorders>
            <w:shd w:fill="29D2C7"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Jun 26</w:t>
            </w:r>
          </w:p>
        </w:tc>
        <w:tc>
          <w:tcPr>
            <w:tcW w:w="592" w:type="dxa"/>
            <w:tcBorders>
              <w:bottom w:val="single" w:sz="8" w:space="0" w:color="000000"/>
            </w:tcBorders>
            <w:shd w:fill="29D2C7"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QoQ</w:t>
            </w:r>
          </w:p>
        </w:tc>
        <w:tc>
          <w:tcPr>
            <w:tcW w:w="612" w:type="dxa"/>
            <w:tcBorders>
              <w:bottom w:val="single" w:sz="8" w:space="0" w:color="000000"/>
              <w:right w:val="single" w:sz="8" w:space="0" w:color="000000"/>
            </w:tcBorders>
            <w:shd w:fill="29D2C7"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YoY</w:t>
            </w:r>
          </w:p>
        </w:tc>
      </w:tr>
      <w:tr>
        <w:trPr/>
        <w:tc>
          <w:tcPr>
            <w:tcW w:w="2510"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20"/>
              </w:rPr>
            </w:pPr>
            <w:r>
              <w:rPr>
                <w:rFonts w:ascii="Times New Roman;Times;Serif" w:hAnsi="Times New Roman;Times;Serif"/>
                <w:sz w:val="20"/>
              </w:rPr>
              <w:t>Branches (2)</w:t>
            </w:r>
          </w:p>
        </w:tc>
        <w:tc>
          <w:tcPr>
            <w:tcW w:w="59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650</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648</w:t>
            </w:r>
          </w:p>
        </w:tc>
        <w:tc>
          <w:tcPr>
            <w:tcW w:w="59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648</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61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251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ATMs</w:t>
            </w:r>
          </w:p>
        </w:tc>
        <w:tc>
          <w:tcPr>
            <w:tcW w:w="59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2,787</w:t>
            </w:r>
          </w:p>
        </w:tc>
        <w:tc>
          <w:tcPr>
            <w:tcW w:w="65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2,700</w:t>
            </w:r>
          </w:p>
        </w:tc>
        <w:tc>
          <w:tcPr>
            <w:tcW w:w="59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2,622</w:t>
            </w:r>
          </w:p>
        </w:tc>
        <w:tc>
          <w:tcPr>
            <w:tcW w:w="592"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612"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w:t>
            </w:r>
          </w:p>
        </w:tc>
      </w:tr>
      <w:tr>
        <w:trPr/>
        <w:tc>
          <w:tcPr>
            <w:tcW w:w="25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Agents</w:t>
            </w:r>
          </w:p>
        </w:tc>
        <w:tc>
          <w:tcPr>
            <w:tcW w:w="5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12,434</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11,864</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11,667</w:t>
            </w:r>
          </w:p>
        </w:tc>
        <w:tc>
          <w:tcPr>
            <w:tcW w:w="59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(197)</w:t>
            </w:r>
          </w:p>
        </w:tc>
        <w:tc>
          <w:tcPr>
            <w:tcW w:w="6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(719)</w:t>
            </w:r>
          </w:p>
        </w:tc>
      </w:tr>
      <w:tr>
        <w:trPr/>
        <w:tc>
          <w:tcPr>
            <w:tcW w:w="25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5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15,871</w:t>
            </w:r>
          </w:p>
        </w:tc>
        <w:tc>
          <w:tcPr>
            <w:tcW w:w="65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15,212</w:t>
            </w:r>
          </w:p>
        </w:tc>
        <w:tc>
          <w:tcPr>
            <w:tcW w:w="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14,937</w:t>
            </w:r>
          </w:p>
        </w:tc>
        <w:tc>
          <w:tcPr>
            <w:tcW w:w="59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(275)</w:t>
            </w:r>
          </w:p>
        </w:tc>
        <w:tc>
          <w:tcPr>
            <w:tcW w:w="6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(862)</w:t>
            </w:r>
          </w:p>
        </w:tc>
      </w:tr>
    </w:tbl>
    <w:p>
      <w:pPr>
        <w:pStyle w:val="TextBody"/>
        <w:bidi w:val="0"/>
        <w:spacing w:before="0" w:after="0"/>
        <w:jc w:val="left"/>
        <w:rPr>
          <w:caps w:val="false"/>
          <w:smallCaps w:val="false"/>
        </w:rPr>
      </w:pPr>
      <w:r>
        <w:rPr>
          <w:caps w:val="false"/>
          <w:smallCaps w:val="false"/>
        </w:rPr>
        <w:t> </w:t>
      </w:r>
    </w:p>
    <w:p>
      <w:pPr>
        <w:pStyle w:val="TextBody"/>
        <w:bidi w:val="0"/>
        <w:ind w:left="25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Includes physical points of contact for BCP Stand-Alone, Mibanco and BCP Bolivia</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6"/>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16"/>
        </w:rPr>
        <w:t>Includes Banco de la Nacion branches.</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12.6. Regulatory Capital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Regulatory Capital and Capital Adequacy Ratios</w:t>
        <w:br/>
        <w:t>(IFRS)</w:t>
      </w:r>
    </w:p>
    <w:p>
      <w:pPr>
        <w:pStyle w:val="TextBody"/>
        <w:bidi w:val="0"/>
        <w:spacing w:before="0" w:after="0"/>
        <w:jc w:val="left"/>
        <w:rPr>
          <w:caps w:val="false"/>
          <w:smallCaps w:val="false"/>
        </w:rPr>
      </w:pPr>
      <w:r>
        <w:rPr>
          <w:caps w:val="false"/>
          <w:smallCaps w:val="false"/>
        </w:rPr>
        <w:t> </w:t>
      </w:r>
    </w:p>
    <w:tbl>
      <w:tblPr>
        <w:tblW w:w="8685" w:type="dxa"/>
        <w:jc w:val="left"/>
        <w:tblInd w:w="-10" w:type="dxa"/>
        <w:tblLayout w:type="fixed"/>
        <w:tblCellMar>
          <w:top w:w="28" w:type="dxa"/>
          <w:left w:w="100" w:type="dxa"/>
          <w:bottom w:w="0" w:type="dxa"/>
          <w:right w:w="28" w:type="dxa"/>
        </w:tblCellMar>
      </w:tblPr>
      <w:tblGrid>
        <w:gridCol w:w="4595"/>
        <w:gridCol w:w="860"/>
        <w:gridCol w:w="860"/>
        <w:gridCol w:w="860"/>
        <w:gridCol w:w="770"/>
        <w:gridCol w:w="740"/>
      </w:tblGrid>
      <w:tr>
        <w:trPr/>
        <w:tc>
          <w:tcPr>
            <w:tcW w:w="4595"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Regulatory Capital and Capital Adequacy Ratios</w:t>
            </w:r>
          </w:p>
        </w:tc>
        <w:tc>
          <w:tcPr>
            <w:tcW w:w="2580" w:type="dxa"/>
            <w:gridSpan w:val="3"/>
            <w:tcBorders>
              <w:top w:val="single" w:sz="8" w:space="0" w:color="000000"/>
              <w:right w:val="single" w:sz="8" w:space="0" w:color="000000"/>
            </w:tcBorders>
            <w:shd w:fill="29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1510" w:type="dxa"/>
            <w:gridSpan w:val="2"/>
            <w:tcBorders>
              <w:top w:val="single" w:sz="8" w:space="0" w:color="000000"/>
              <w:right w:val="single" w:sz="8" w:space="0" w:color="000000"/>
            </w:tcBorders>
            <w:shd w:fill="29D2C7"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r>
      <w:tr>
        <w:trPr/>
        <w:tc>
          <w:tcPr>
            <w:tcW w:w="4595"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S/000</w:t>
            </w:r>
          </w:p>
        </w:tc>
        <w:tc>
          <w:tcPr>
            <w:tcW w:w="8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8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86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77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74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Stock</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1,318,993</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1,318,993</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1,318,993</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Treasury Stocks</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(209,845)</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(208,702)</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(209,106)</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0.2%</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-0.4%</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Surplus</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133,387</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112,195</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86,146</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-23.2%</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-35.4%</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Legal and Other Capital reserves</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29,602,851</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36,483,716</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32,540,118</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9.9%</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Minority interest</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474,990</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475,465</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476,717</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0.3%</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0.4%</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Current and Accumulated Earnings (1)</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5,123,469</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2,206,249</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4,229,425</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91.7%</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-17.4%</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Unrealized Gains or Losses (2)</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(246,716)</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(66,934)</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179,202</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-367.7%</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-172.6%</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(1,692,823)</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(1,263,931)</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(1,271,630)</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-24.9%</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Intangible Assets (3)</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(2,655,440)</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(3,660,945)</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(3,813,805)</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43.6%</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Deductions in Common Equity Tier 1 instruments (4)</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(73,488)</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(45,924)</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(59,128)</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28.8%</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-19.5%</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Perpetual subordinated debt</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Subordinated Debt</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7,240,645</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9,270,139</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9,911,662</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36.9%</w:t>
            </w:r>
          </w:p>
        </w:tc>
      </w:tr>
      <w:tr>
        <w:trPr/>
        <w:tc>
          <w:tcPr>
            <w:tcW w:w="4595" w:type="dxa"/>
            <w:tcBorders>
              <w:left w:val="single" w:sz="8" w:space="0" w:color="000000"/>
              <w:right w:val="single" w:sz="8" w:space="0" w:color="000000"/>
            </w:tcBorders>
            <w:tcMar>
              <w:top w:w="0" w:type="dxa"/>
              <w:left w:w="162"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Loan loss reserves (5)</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1,972,667</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2,128,083</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2,243,247</w:t>
            </w:r>
          </w:p>
        </w:tc>
        <w:tc>
          <w:tcPr>
            <w:tcW w:w="7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w:t>
            </w:r>
          </w:p>
        </w:tc>
      </w:tr>
      <w:tr>
        <w:trPr/>
        <w:tc>
          <w:tcPr>
            <w:tcW w:w="4595" w:type="dxa"/>
            <w:tcBorders>
              <w:left w:val="single" w:sz="8" w:space="0" w:color="000000"/>
              <w:bottom w:val="single" w:sz="8" w:space="0" w:color="000000"/>
              <w:right w:val="single" w:sz="8" w:space="0" w:color="000000"/>
            </w:tcBorders>
            <w:tcMar>
              <w:top w:w="0" w:type="dxa"/>
              <w:left w:w="162" w:type="dxa"/>
              <w:bottom w:w="2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Deductions in Tier 2 instruments (6)</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(1,289,380)</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(1,062,616)</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(1,323,617)</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24.6%</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Regulatory Capital (A)</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39,699,311</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45,685,787</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44,308,224</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11.6%</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Regulatory Common Equity Tier 1 Capital (B)</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31,775,379</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35,350,180</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33,476,932</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Regulatory Tier 1 Capital (C)</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31,775,379</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35,350,180</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33,476,932</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Regulatory Capital Requirement (D)</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29,484,940</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33,801,576</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35,232,602</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4.2%</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19.5%</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Regulatory Common Equity Tier 1 Capital Requirement (E)</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15,535,244</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18,287,421</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19,163,321</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4.8%</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23.4%</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Regulatory Tier 1 Capital Requirement (F)</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18,788,044</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21,925,953</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22,964,372</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22.2%</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Regulatory Capital Ratio (A) / (D)</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126%</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-940 bps</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-888 bps</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b/>
                <w:sz w:val="16"/>
              </w:rPr>
              <w:t xml:space="preserve">Regulatory Common Equity Tier 1 Capital Ratio (B) </w:t>
            </w:r>
            <w:r>
              <w:rPr>
                <w:rFonts w:ascii="Times New Roman;Times;Serif" w:hAnsi="Times New Roman;Times;Serif"/>
                <w:sz w:val="16"/>
              </w:rPr>
              <w:t xml:space="preserve">/ </w:t>
            </w:r>
            <w:r>
              <w:rPr>
                <w:rFonts w:ascii="Times New Roman;Times;Serif" w:hAnsi="Times New Roman;Times;Serif"/>
                <w:b/>
                <w:sz w:val="16"/>
              </w:rPr>
              <w:t>(E)</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205%</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193%</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175%</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-1861 bps </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-2984 bps</w:t>
            </w:r>
          </w:p>
        </w:tc>
      </w:tr>
      <w:tr>
        <w:trPr/>
        <w:tc>
          <w:tcPr>
            <w:tcW w:w="45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b/>
                <w:sz w:val="16"/>
              </w:rPr>
              <w:t xml:space="preserve">Regulatory Tier 1 Capital Ratio (C) </w:t>
            </w:r>
            <w:r>
              <w:rPr>
                <w:rFonts w:ascii="Times New Roman;Times;Serif" w:hAnsi="Times New Roman;Times;Serif"/>
                <w:sz w:val="16"/>
              </w:rPr>
              <w:t xml:space="preserve">/ </w:t>
            </w:r>
            <w:r>
              <w:rPr>
                <w:rFonts w:ascii="Times New Roman;Times;Serif" w:hAnsi="Times New Roman;Times;Serif"/>
                <w:b/>
                <w:sz w:val="16"/>
              </w:rPr>
              <w:t>(F)</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169%</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161%</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146%</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-1545 bps </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-2335 bps</w:t>
            </w:r>
          </w:p>
        </w:tc>
      </w:tr>
    </w:tbl>
    <w:p>
      <w:pPr>
        <w:pStyle w:val="TextBody"/>
        <w:bidi w:val="0"/>
        <w:ind w:left="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Earnings include Banco de Crédito del Perú and Mibanco Perú. Losses include all subsidiaries. </w:t>
      </w:r>
    </w:p>
    <w:p>
      <w:pPr>
        <w:pStyle w:val="TextBody"/>
        <w:bidi w:val="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Gains include Investment Grade Government Bonds and Peruvian Central Bank Certificates of Deposits. Losses include all bonds. </w:t>
      </w:r>
    </w:p>
    <w:p>
      <w:pPr>
        <w:pStyle w:val="TextBody"/>
        <w:bidi w:val="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Different to Goodwill. Includes Deferred Tax Assets. </w:t>
      </w:r>
    </w:p>
    <w:p>
      <w:pPr>
        <w:pStyle w:val="TextBody"/>
        <w:bidi w:val="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Investments in Equity. </w:t>
      </w:r>
    </w:p>
    <w:p>
      <w:pPr>
        <w:pStyle w:val="TextBody"/>
        <w:bidi w:val="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 Up to 1.25% of total risk-weighted assets of Banco de Crédito del Perú, Solución Empresa Administradora Hipotecaria, Mibanco and Atlantic Security Bank. </w:t>
      </w:r>
    </w:p>
    <w:p>
      <w:pPr>
        <w:pStyle w:val="TextBody"/>
        <w:bidi w:val="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 Investments in Tier 2 Subordinated Debt.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57225"/>
            <wp:effectExtent l="0" t="0" r="0" b="0"/>
            <wp:docPr id="19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56" descr=""/>
                    <pic:cNvPicPr>
                      <a:picLocks noChangeAspect="1" noChangeArrowheads="1"/>
                    </pic:cNvPicPr>
                  </pic:nvPicPr>
                  <pic:blipFill>
                    <a:blip r:embed="rId172"/>
                    <a:stretch>
                      <a:fillRect/>
                    </a:stretch>
                  </pic:blipFill>
                  <pic:spPr bwMode="auto">
                    <a:xfrm>
                      <a:off x="0" y="0"/>
                      <a:ext cx="7620000" cy="657225"/>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9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57" descr=""/>
                          <pic:cNvPicPr>
                            <a:picLocks noChangeAspect="1" noChangeArrowheads="1"/>
                          </pic:cNvPicPr>
                        </pic:nvPicPr>
                        <pic:blipFill>
                          <a:blip r:embed="rId173"/>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color w:val="FFFFFF"/>
        </w:rPr>
      </w:pPr>
      <w:r>
        <w:rPr>
          <w:caps w:val="false"/>
          <w:smallCaps w:val="false"/>
          <w:color w:val="FFFFFF"/>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and Capital Adequacy Ratios at BCP Stand-alone</w:t>
      </w:r>
    </w:p>
    <w:p>
      <w:pPr>
        <w:pStyle w:val="TextBody"/>
        <w:bidi w:val="0"/>
        <w:spacing w:before="0" w:after="0"/>
        <w:jc w:val="center"/>
        <w:rPr>
          <w:caps w:val="false"/>
          <w:smallCaps w:val="false"/>
        </w:rPr>
      </w:pPr>
      <w:r>
        <w:rPr>
          <w:caps w:val="false"/>
          <w:smallCaps w:val="false"/>
        </w:rPr>
        <w:t> </w:t>
      </w:r>
    </w:p>
    <w:tbl>
      <w:tblPr>
        <w:tblW w:w="10205" w:type="dxa"/>
        <w:jc w:val="left"/>
        <w:tblInd w:w="-10" w:type="dxa"/>
        <w:tblLayout w:type="fixed"/>
        <w:tblCellMar>
          <w:top w:w="28" w:type="dxa"/>
          <w:left w:w="100" w:type="dxa"/>
          <w:bottom w:w="0" w:type="dxa"/>
          <w:right w:w="28" w:type="dxa"/>
        </w:tblCellMar>
      </w:tblPr>
      <w:tblGrid>
        <w:gridCol w:w="6372"/>
        <w:gridCol w:w="859"/>
        <w:gridCol w:w="859"/>
        <w:gridCol w:w="859"/>
        <w:gridCol w:w="619"/>
        <w:gridCol w:w="637"/>
      </w:tblGrid>
      <w:tr>
        <w:trPr/>
        <w:tc>
          <w:tcPr>
            <w:tcW w:w="6372"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Regulatory Capital</w:t>
            </w:r>
          </w:p>
        </w:tc>
        <w:tc>
          <w:tcPr>
            <w:tcW w:w="859"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859"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859"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1256"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r>
      <w:tr>
        <w:trPr/>
        <w:tc>
          <w:tcPr>
            <w:tcW w:w="6372"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thousand)</w:t>
            </w:r>
          </w:p>
        </w:tc>
        <w:tc>
          <w:tcPr>
            <w:tcW w:w="859"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859"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859"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619"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637"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6372"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Stock</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12,973,175</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12,973,175</w:t>
            </w:r>
          </w:p>
        </w:tc>
        <w:tc>
          <w:tcPr>
            <w:tcW w:w="8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12,973,175</w:t>
            </w:r>
          </w:p>
        </w:tc>
        <w:tc>
          <w:tcPr>
            <w:tcW w:w="61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637"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6372"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Reserves</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6,125,452</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6,125,452</w:t>
            </w:r>
          </w:p>
        </w:tc>
        <w:tc>
          <w:tcPr>
            <w:tcW w:w="8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6,126,836</w:t>
            </w:r>
          </w:p>
        </w:tc>
        <w:tc>
          <w:tcPr>
            <w:tcW w:w="61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637"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6372"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Accumulated earnings</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5,129,250</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4,827,901</w:t>
            </w:r>
          </w:p>
        </w:tc>
        <w:tc>
          <w:tcPr>
            <w:tcW w:w="8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6,695,102</w:t>
            </w:r>
          </w:p>
        </w:tc>
        <w:tc>
          <w:tcPr>
            <w:tcW w:w="61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38.7%</w:t>
            </w:r>
          </w:p>
        </w:tc>
        <w:tc>
          <w:tcPr>
            <w:tcW w:w="637"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30.5%</w:t>
            </w:r>
          </w:p>
        </w:tc>
      </w:tr>
      <w:tr>
        <w:trPr/>
        <w:tc>
          <w:tcPr>
            <w:tcW w:w="6372" w:type="dxa"/>
            <w:tcBorders>
              <w:left w:val="single" w:sz="8" w:space="0" w:color="000000"/>
              <w:right w:val="single" w:sz="8" w:space="0" w:color="000000"/>
            </w:tcBorders>
            <w:tcMar>
              <w:top w:w="0" w:type="dxa"/>
              <w:left w:w="155"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Loan loss reserves (1)</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1,757,305</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1,867,164</w:t>
            </w:r>
          </w:p>
        </w:tc>
        <w:tc>
          <w:tcPr>
            <w:tcW w:w="8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1,978,395</w:t>
            </w:r>
          </w:p>
        </w:tc>
        <w:tc>
          <w:tcPr>
            <w:tcW w:w="61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w:t>
            </w:r>
          </w:p>
        </w:tc>
        <w:tc>
          <w:tcPr>
            <w:tcW w:w="637"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w:t>
            </w:r>
          </w:p>
        </w:tc>
      </w:tr>
      <w:tr>
        <w:trPr/>
        <w:tc>
          <w:tcPr>
            <w:tcW w:w="6372"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Subordinated Debt</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6,552,700</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8,203,850</w:t>
            </w:r>
          </w:p>
        </w:tc>
        <w:tc>
          <w:tcPr>
            <w:tcW w:w="8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8,866,000</w:t>
            </w:r>
          </w:p>
        </w:tc>
        <w:tc>
          <w:tcPr>
            <w:tcW w:w="61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8.1%</w:t>
            </w:r>
          </w:p>
        </w:tc>
        <w:tc>
          <w:tcPr>
            <w:tcW w:w="637"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35.3%</w:t>
            </w:r>
          </w:p>
        </w:tc>
      </w:tr>
      <w:tr>
        <w:trPr/>
        <w:tc>
          <w:tcPr>
            <w:tcW w:w="6372"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Unrealized Profit or Losses</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(200,969)</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(241,505)</w:t>
            </w:r>
          </w:p>
        </w:tc>
        <w:tc>
          <w:tcPr>
            <w:tcW w:w="8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6,475</w:t>
            </w:r>
          </w:p>
        </w:tc>
        <w:tc>
          <w:tcPr>
            <w:tcW w:w="61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-102.7%</w:t>
            </w:r>
          </w:p>
        </w:tc>
        <w:tc>
          <w:tcPr>
            <w:tcW w:w="637"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-103.2%</w:t>
            </w:r>
          </w:p>
        </w:tc>
      </w:tr>
      <w:tr>
        <w:trPr/>
        <w:tc>
          <w:tcPr>
            <w:tcW w:w="6372" w:type="dxa"/>
            <w:tcBorders>
              <w:left w:val="single" w:sz="8" w:space="0" w:color="000000"/>
              <w:right w:val="single" w:sz="8" w:space="0" w:color="000000"/>
            </w:tcBorders>
            <w:tcMar>
              <w:top w:w="0" w:type="dxa"/>
              <w:left w:w="155" w:type="dxa"/>
              <w:right w:w="116"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 in subsidiaries and others, net of unrealized profit and net income in subsidiaries</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(2,380,842)</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(2,549,702)</w:t>
            </w:r>
          </w:p>
        </w:tc>
        <w:tc>
          <w:tcPr>
            <w:tcW w:w="8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(2,731,362)</w:t>
            </w:r>
          </w:p>
        </w:tc>
        <w:tc>
          <w:tcPr>
            <w:tcW w:w="61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w:t>
            </w:r>
          </w:p>
        </w:tc>
        <w:tc>
          <w:tcPr>
            <w:tcW w:w="637"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w:t>
            </w:r>
          </w:p>
        </w:tc>
      </w:tr>
      <w:tr>
        <w:trPr/>
        <w:tc>
          <w:tcPr>
            <w:tcW w:w="6372"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Intangibles</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(1,549,091)</w:t>
            </w:r>
          </w:p>
        </w:tc>
        <w:tc>
          <w:tcPr>
            <w:tcW w:w="85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(1,784,514)</w:t>
            </w:r>
          </w:p>
        </w:tc>
        <w:tc>
          <w:tcPr>
            <w:tcW w:w="8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(1,882,535)</w:t>
            </w:r>
          </w:p>
        </w:tc>
        <w:tc>
          <w:tcPr>
            <w:tcW w:w="619"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w:t>
            </w:r>
          </w:p>
        </w:tc>
        <w:tc>
          <w:tcPr>
            <w:tcW w:w="637"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w:t>
            </w:r>
          </w:p>
        </w:tc>
      </w:tr>
      <w:tr>
        <w:trPr/>
        <w:tc>
          <w:tcPr>
            <w:tcW w:w="6372" w:type="dxa"/>
            <w:tcBorders>
              <w:left w:val="single" w:sz="8" w:space="0" w:color="000000"/>
              <w:bottom w:val="single" w:sz="8" w:space="0" w:color="000000"/>
              <w:right w:val="single" w:sz="8" w:space="0" w:color="000000"/>
            </w:tcBorders>
            <w:tcMar>
              <w:top w:w="0" w:type="dxa"/>
              <w:left w:w="155"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(122,083)</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(122,083)</w:t>
            </w:r>
          </w:p>
        </w:tc>
        <w:tc>
          <w:tcPr>
            <w:tcW w:w="859"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(122,083)</w:t>
            </w:r>
          </w:p>
        </w:tc>
        <w:tc>
          <w:tcPr>
            <w:tcW w:w="61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637"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6372"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Regulatory Capital</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28,284,896</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29,299,737</w:t>
            </w:r>
          </w:p>
        </w:tc>
        <w:tc>
          <w:tcPr>
            <w:tcW w:w="859"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31,910,002</w:t>
            </w:r>
          </w:p>
        </w:tc>
        <w:tc>
          <w:tcPr>
            <w:tcW w:w="61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8.9%</w:t>
            </w:r>
          </w:p>
        </w:tc>
        <w:tc>
          <w:tcPr>
            <w:tcW w:w="637"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12.8%</w:t>
            </w:r>
          </w:p>
        </w:tc>
      </w:tr>
      <w:tr>
        <w:trPr/>
        <w:tc>
          <w:tcPr>
            <w:tcW w:w="6372"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Tier 1 Common Equity (2)</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19,974,891</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19,228,724</w:t>
            </w:r>
          </w:p>
        </w:tc>
        <w:tc>
          <w:tcPr>
            <w:tcW w:w="859"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21,065,607</w:t>
            </w:r>
          </w:p>
        </w:tc>
        <w:tc>
          <w:tcPr>
            <w:tcW w:w="61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9.6%</w:t>
            </w:r>
          </w:p>
        </w:tc>
        <w:tc>
          <w:tcPr>
            <w:tcW w:w="637"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w:t>
            </w:r>
          </w:p>
        </w:tc>
      </w:tr>
      <w:tr>
        <w:trPr/>
        <w:tc>
          <w:tcPr>
            <w:tcW w:w="6372"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Regulatory Tier 1 Capital (3)</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19,974,891</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19,228,724</w:t>
            </w:r>
          </w:p>
        </w:tc>
        <w:tc>
          <w:tcPr>
            <w:tcW w:w="859"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21,065,607</w:t>
            </w:r>
          </w:p>
        </w:tc>
        <w:tc>
          <w:tcPr>
            <w:tcW w:w="61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9.6%</w:t>
            </w:r>
          </w:p>
        </w:tc>
        <w:tc>
          <w:tcPr>
            <w:tcW w:w="637"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w:t>
            </w:r>
          </w:p>
        </w:tc>
      </w:tr>
      <w:tr>
        <w:trPr/>
        <w:tc>
          <w:tcPr>
            <w:tcW w:w="6372"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Regulatory Tier 2 Capital (4)</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8,310,005</w:t>
            </w:r>
          </w:p>
        </w:tc>
        <w:tc>
          <w:tcPr>
            <w:tcW w:w="85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10,071,014</w:t>
            </w:r>
          </w:p>
        </w:tc>
        <w:tc>
          <w:tcPr>
            <w:tcW w:w="859"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10,844,395</w:t>
            </w:r>
          </w:p>
        </w:tc>
        <w:tc>
          <w:tcPr>
            <w:tcW w:w="619"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7.7%</w:t>
            </w:r>
          </w:p>
        </w:tc>
        <w:tc>
          <w:tcPr>
            <w:tcW w:w="637"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30.5%</w:t>
            </w:r>
          </w:p>
        </w:tc>
      </w:tr>
    </w:tbl>
    <w:p>
      <w:pPr>
        <w:pStyle w:val="TextBody"/>
        <w:bidi w:val="0"/>
        <w:jc w:val="left"/>
        <w:rPr>
          <w:caps w:val="false"/>
          <w:smallCaps w:val="false"/>
        </w:rPr>
      </w:pPr>
      <w:r>
        <w:rPr>
          <w:caps w:val="false"/>
          <w:smallCaps w:val="false"/>
        </w:rPr>
        <w:t> </w:t>
      </w:r>
    </w:p>
    <w:tbl>
      <w:tblPr>
        <w:tblW w:w="5970" w:type="dxa"/>
        <w:jc w:val="left"/>
        <w:tblInd w:w="-10" w:type="dxa"/>
        <w:tblLayout w:type="fixed"/>
        <w:tblCellMar>
          <w:top w:w="28" w:type="dxa"/>
          <w:left w:w="100" w:type="dxa"/>
          <w:bottom w:w="0" w:type="dxa"/>
          <w:right w:w="28" w:type="dxa"/>
        </w:tblCellMar>
      </w:tblPr>
      <w:tblGrid>
        <w:gridCol w:w="2255"/>
        <w:gridCol w:w="920"/>
        <w:gridCol w:w="920"/>
        <w:gridCol w:w="920"/>
        <w:gridCol w:w="440"/>
        <w:gridCol w:w="515"/>
      </w:tblGrid>
      <w:tr>
        <w:trPr/>
        <w:tc>
          <w:tcPr>
            <w:tcW w:w="2255"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Total risk-weighted assets</w:t>
            </w:r>
          </w:p>
        </w:tc>
        <w:tc>
          <w:tcPr>
            <w:tcW w:w="92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92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92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95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r>
      <w:tr>
        <w:trPr/>
        <w:tc>
          <w:tcPr>
            <w:tcW w:w="2255"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thousand)</w:t>
            </w:r>
          </w:p>
        </w:tc>
        <w:tc>
          <w:tcPr>
            <w:tcW w:w="92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92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44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1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2255"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 risk-weighted assets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4,400,226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6,640,053</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6,454,270</w:t>
            </w:r>
          </w:p>
        </w:tc>
        <w:tc>
          <w:tcPr>
            <w:tcW w:w="4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46.7%</w:t>
            </w:r>
          </w:p>
        </w:tc>
      </w:tr>
      <w:tr>
        <w:trPr/>
        <w:tc>
          <w:tcPr>
            <w:tcW w:w="2255"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Credit risk-weighted assets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139,386,096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148,234,223</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157,205,076</w:t>
            </w:r>
          </w:p>
        </w:tc>
        <w:tc>
          <w:tcPr>
            <w:tcW w:w="4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w:t>
            </w:r>
          </w:p>
        </w:tc>
      </w:tr>
      <w:tr>
        <w:trPr/>
        <w:tc>
          <w:tcPr>
            <w:tcW w:w="2255" w:type="dxa"/>
            <w:tcBorders>
              <w:left w:val="single" w:sz="8" w:space="0" w:color="000000"/>
              <w:bottom w:val="single" w:sz="8" w:space="0" w:color="000000"/>
              <w:right w:val="single" w:sz="8" w:space="0" w:color="000000"/>
            </w:tcBorders>
            <w:tcMar>
              <w:top w:w="0" w:type="dxa"/>
              <w:left w:w="155"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Operational risk-weighted assets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19,384,021</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20,574,067</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21,104,548</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c>
          <w:tcPr>
            <w:tcW w:w="51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8.9%</w:t>
            </w:r>
          </w:p>
        </w:tc>
      </w:tr>
      <w:tr>
        <w:trPr/>
        <w:tc>
          <w:tcPr>
            <w:tcW w:w="225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163,170,343</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175,448,343</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184,763,894</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w:t>
            </w:r>
          </w:p>
        </w:tc>
        <w:tc>
          <w:tcPr>
            <w:tcW w:w="51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13.2%</w:t>
            </w:r>
          </w:p>
        </w:tc>
      </w:tr>
    </w:tbl>
    <w:p>
      <w:pPr>
        <w:pStyle w:val="TextBody"/>
        <w:bidi w:val="0"/>
        <w:jc w:val="left"/>
        <w:rPr>
          <w:caps w:val="false"/>
          <w:smallCaps w:val="false"/>
        </w:rPr>
      </w:pPr>
      <w:r>
        <w:rPr>
          <w:caps w:val="false"/>
          <w:smallCaps w:val="false"/>
        </w:rPr>
        <w:t> </w:t>
      </w:r>
    </w:p>
    <w:tbl>
      <w:tblPr>
        <w:tblW w:w="5970" w:type="dxa"/>
        <w:jc w:val="left"/>
        <w:tblInd w:w="-10" w:type="dxa"/>
        <w:tblLayout w:type="fixed"/>
        <w:tblCellMar>
          <w:top w:w="28" w:type="dxa"/>
          <w:left w:w="100" w:type="dxa"/>
          <w:bottom w:w="0" w:type="dxa"/>
          <w:right w:w="28" w:type="dxa"/>
        </w:tblCellMar>
      </w:tblPr>
      <w:tblGrid>
        <w:gridCol w:w="2525"/>
        <w:gridCol w:w="830"/>
        <w:gridCol w:w="830"/>
        <w:gridCol w:w="830"/>
        <w:gridCol w:w="440"/>
        <w:gridCol w:w="515"/>
      </w:tblGrid>
      <w:tr>
        <w:trPr/>
        <w:tc>
          <w:tcPr>
            <w:tcW w:w="2525"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Capital requirement</w:t>
            </w:r>
          </w:p>
        </w:tc>
        <w:tc>
          <w:tcPr>
            <w:tcW w:w="83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83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83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95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Change %</w:t>
            </w:r>
          </w:p>
        </w:tc>
      </w:tr>
      <w:tr>
        <w:trPr/>
        <w:tc>
          <w:tcPr>
            <w:tcW w:w="2525"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thousand)</w:t>
            </w:r>
          </w:p>
        </w:tc>
        <w:tc>
          <w:tcPr>
            <w:tcW w:w="83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83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83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44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1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2525"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 risk capital requirement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440,023</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664,005</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645,427</w:t>
            </w:r>
          </w:p>
        </w:tc>
        <w:tc>
          <w:tcPr>
            <w:tcW w:w="4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46.7%</w:t>
            </w:r>
          </w:p>
        </w:tc>
      </w:tr>
      <w:tr>
        <w:trPr/>
        <w:tc>
          <w:tcPr>
            <w:tcW w:w="2525"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Credit risk capital requirement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13,938,610</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14,823,422</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15,720,508</w:t>
            </w:r>
          </w:p>
        </w:tc>
        <w:tc>
          <w:tcPr>
            <w:tcW w:w="4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w:t>
            </w:r>
          </w:p>
        </w:tc>
      </w:tr>
      <w:tr>
        <w:trPr/>
        <w:tc>
          <w:tcPr>
            <w:tcW w:w="2525"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Operational risk capital requirement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1,938,402</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2,057,407</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2,110,455</w:t>
            </w:r>
          </w:p>
        </w:tc>
        <w:tc>
          <w:tcPr>
            <w:tcW w:w="4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8.9%</w:t>
            </w:r>
          </w:p>
        </w:tc>
      </w:tr>
      <w:tr>
        <w:trPr/>
        <w:tc>
          <w:tcPr>
            <w:tcW w:w="2525" w:type="dxa"/>
            <w:tcBorders>
              <w:left w:val="single" w:sz="8" w:space="0" w:color="000000"/>
              <w:bottom w:val="single" w:sz="8" w:space="0" w:color="000000"/>
              <w:right w:val="single" w:sz="8" w:space="0" w:color="000000"/>
            </w:tcBorders>
            <w:tcMar>
              <w:top w:w="0" w:type="dxa"/>
              <w:left w:w="155"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Additional capital requirements</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7,142,933</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8,765,691</w:t>
            </w:r>
          </w:p>
        </w:tc>
        <w:tc>
          <w:tcPr>
            <w:tcW w:w="83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9,075,931</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w:t>
            </w:r>
          </w:p>
        </w:tc>
        <w:tc>
          <w:tcPr>
            <w:tcW w:w="51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27.1%</w:t>
            </w:r>
          </w:p>
        </w:tc>
      </w:tr>
      <w:tr>
        <w:trPr/>
        <w:tc>
          <w:tcPr>
            <w:tcW w:w="252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23,459,967</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26,310,526</w:t>
            </w:r>
          </w:p>
        </w:tc>
        <w:tc>
          <w:tcPr>
            <w:tcW w:w="83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27,552,320</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w:t>
            </w:r>
          </w:p>
        </w:tc>
        <w:tc>
          <w:tcPr>
            <w:tcW w:w="51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Ratios under Local Regulation</w:t>
      </w:r>
    </w:p>
    <w:p>
      <w:pPr>
        <w:pStyle w:val="TextBody"/>
        <w:bidi w:val="0"/>
        <w:spacing w:before="0" w:after="0"/>
        <w:jc w:val="center"/>
        <w:rPr>
          <w:caps w:val="false"/>
          <w:smallCaps w:val="false"/>
        </w:rPr>
      </w:pPr>
      <w:r>
        <w:rPr>
          <w:caps w:val="false"/>
          <w:smallCaps w:val="false"/>
        </w:rPr>
        <w:t> </w:t>
      </w:r>
    </w:p>
    <w:tbl>
      <w:tblPr>
        <w:tblW w:w="5820" w:type="dxa"/>
        <w:jc w:val="left"/>
        <w:tblInd w:w="-10" w:type="dxa"/>
        <w:tblLayout w:type="fixed"/>
        <w:tblCellMar>
          <w:top w:w="28" w:type="dxa"/>
          <w:left w:w="100" w:type="dxa"/>
          <w:bottom w:w="0" w:type="dxa"/>
          <w:right w:w="28" w:type="dxa"/>
        </w:tblCellMar>
      </w:tblPr>
      <w:tblGrid>
        <w:gridCol w:w="2795"/>
        <w:gridCol w:w="560"/>
        <w:gridCol w:w="560"/>
        <w:gridCol w:w="560"/>
        <w:gridCol w:w="785"/>
        <w:gridCol w:w="560"/>
      </w:tblGrid>
      <w:tr>
        <w:trPr/>
        <w:tc>
          <w:tcPr>
            <w:tcW w:w="2795"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Capital ratios under Local Regulation</w:t>
            </w:r>
          </w:p>
        </w:tc>
        <w:tc>
          <w:tcPr>
            <w:tcW w:w="56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56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56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785"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56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r>
      <w:tr>
        <w:trPr/>
        <w:tc>
          <w:tcPr>
            <w:tcW w:w="2795"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color w:val="FFFFFF"/>
              </w:rPr>
            </w:pPr>
            <w:r>
              <w:rPr>
                <w:color w:val="FFFFFF"/>
              </w:rPr>
              <w:t> </w:t>
            </w:r>
          </w:p>
        </w:tc>
        <w:tc>
          <w:tcPr>
            <w:tcW w:w="5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56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785"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6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2795" w:type="dxa"/>
            <w:tcBorders>
              <w:left w:val="single" w:sz="8" w:space="0" w:color="000000"/>
              <w:right w:val="single" w:sz="8" w:space="0" w:color="000000"/>
            </w:tcBorders>
            <w:tcMar>
              <w:top w:w="0" w:type="dxa"/>
              <w:left w:w="47"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Common Equity Tier 1 ratio</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12.24%</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10.96%</w:t>
            </w:r>
          </w:p>
        </w:tc>
        <w:tc>
          <w:tcPr>
            <w:tcW w:w="5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11.40%</w:t>
            </w:r>
          </w:p>
        </w:tc>
        <w:tc>
          <w:tcPr>
            <w:tcW w:w="78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 bps</w:t>
            </w:r>
          </w:p>
        </w:tc>
        <w:tc>
          <w:tcPr>
            <w:tcW w:w="5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 bps</w:t>
            </w:r>
          </w:p>
        </w:tc>
      </w:tr>
      <w:tr>
        <w:trPr/>
        <w:tc>
          <w:tcPr>
            <w:tcW w:w="2795" w:type="dxa"/>
            <w:tcBorders>
              <w:left w:val="single" w:sz="8" w:space="0" w:color="000000"/>
              <w:right w:val="single" w:sz="8" w:space="0" w:color="000000"/>
            </w:tcBorders>
            <w:tcMar>
              <w:top w:w="0" w:type="dxa"/>
              <w:left w:w="47"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Tier 1 Capital ratio</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12.24%</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10.96%</w:t>
            </w:r>
          </w:p>
        </w:tc>
        <w:tc>
          <w:tcPr>
            <w:tcW w:w="5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11.40%</w:t>
            </w:r>
          </w:p>
        </w:tc>
        <w:tc>
          <w:tcPr>
            <w:tcW w:w="78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 bps</w:t>
            </w:r>
          </w:p>
        </w:tc>
        <w:tc>
          <w:tcPr>
            <w:tcW w:w="5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 bps</w:t>
            </w:r>
          </w:p>
        </w:tc>
      </w:tr>
      <w:tr>
        <w:trPr/>
        <w:tc>
          <w:tcPr>
            <w:tcW w:w="2795"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Regulatory Global Capital ratio</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17.33%</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16.70%</w:t>
            </w:r>
          </w:p>
        </w:tc>
        <w:tc>
          <w:tcPr>
            <w:tcW w:w="5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17.27%</w:t>
            </w:r>
          </w:p>
        </w:tc>
        <w:tc>
          <w:tcPr>
            <w:tcW w:w="78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 bps</w:t>
            </w:r>
          </w:p>
        </w:tc>
        <w:tc>
          <w:tcPr>
            <w:tcW w:w="5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 bps</w:t>
            </w:r>
          </w:p>
        </w:tc>
      </w:tr>
    </w:tbl>
    <w:p>
      <w:pPr>
        <w:pStyle w:val="TextBody"/>
        <w:bidi w:val="0"/>
        <w:ind w:left="1200" w:right="0" w:hanging="0"/>
        <w:jc w:val="both"/>
        <w:rPr>
          <w:caps w:val="false"/>
          <w:smallCaps w:val="false"/>
        </w:rPr>
      </w:pPr>
      <w:r>
        <w:rPr>
          <w:caps w:val="false"/>
          <w:smallCaps w:val="false"/>
        </w:rPr>
        <w:t> </w:t>
      </w:r>
    </w:p>
    <w:p>
      <w:pPr>
        <w:pStyle w:val="TextBody"/>
        <w:bidi w:val="0"/>
        <w:ind w:left="1200" w:right="120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Up to 1.25% of total risk-weighted assets. </w:t>
      </w:r>
    </w:p>
    <w:p>
      <w:pPr>
        <w:pStyle w:val="TextBody"/>
        <w:bidi w:val="0"/>
        <w:spacing w:before="0" w:after="0"/>
        <w:ind w:left="1200" w:right="120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Common Equity Tier 1 = Capital Stock + Reserves + Accumulated earnings – Unrealized profits or losses - 100% deductions (investment in subsidiaries, goodwill, intangible assets and deferred tax assets based on future returns). </w:t>
      </w:r>
    </w:p>
    <w:p>
      <w:pPr>
        <w:pStyle w:val="TextBody"/>
        <w:bidi w:val="0"/>
        <w:ind w:left="1200" w:right="120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Regulatory Tier 1 Capital = Common Equity Tier 1 + Tier 1 Subordinated Debt (Perpetual). </w:t>
      </w:r>
    </w:p>
    <w:p>
      <w:pPr>
        <w:pStyle w:val="TextBody"/>
        <w:bidi w:val="0"/>
        <w:ind w:left="1200" w:right="120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Regulatory Tier 2 Capital = Subordinated Debt + Loan loss reserves.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19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8" descr=""/>
                    <pic:cNvPicPr>
                      <a:picLocks noChangeAspect="1" noChangeArrowheads="1"/>
                    </pic:cNvPicPr>
                  </pic:nvPicPr>
                  <pic:blipFill>
                    <a:blip r:embed="rId174"/>
                    <a:stretch>
                      <a:fillRect/>
                    </a:stretch>
                  </pic:blipFill>
                  <pic:spPr bwMode="auto">
                    <a:xfrm>
                      <a:off x="0" y="0"/>
                      <a:ext cx="7620000" cy="64770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9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59" descr=""/>
                          <pic:cNvPicPr>
                            <a:picLocks noChangeAspect="1" noChangeArrowheads="1"/>
                          </pic:cNvPicPr>
                        </pic:nvPicPr>
                        <pic:blipFill>
                          <a:blip r:embed="rId175"/>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color w:val="FFFFFF"/>
        </w:rPr>
      </w:pPr>
      <w:r>
        <w:rPr>
          <w:caps w:val="false"/>
          <w:smallCaps w:val="false"/>
          <w:color w:val="FFFFFF"/>
        </w:rPr>
        <w:t> </w:t>
      </w:r>
    </w:p>
    <w:p>
      <w:pPr>
        <w:pStyle w:val="TextBody"/>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Regulatory Capital and Capital Adequacy Ratios at Mibanco</w:t>
      </w:r>
    </w:p>
    <w:p>
      <w:pPr>
        <w:pStyle w:val="TextBody"/>
        <w:bidi w:val="0"/>
        <w:spacing w:before="0" w:after="0"/>
        <w:jc w:val="center"/>
        <w:rPr>
          <w:caps w:val="false"/>
          <w:smallCaps w:val="false"/>
        </w:rPr>
      </w:pPr>
      <w:r>
        <w:rPr>
          <w:caps w:val="false"/>
          <w:smallCaps w:val="false"/>
        </w:rPr>
        <w:t> </w:t>
      </w:r>
    </w:p>
    <w:tbl>
      <w:tblPr>
        <w:tblW w:w="9825" w:type="dxa"/>
        <w:jc w:val="left"/>
        <w:tblInd w:w="-10" w:type="dxa"/>
        <w:tblLayout w:type="fixed"/>
        <w:tblCellMar>
          <w:top w:w="28" w:type="dxa"/>
          <w:left w:w="100" w:type="dxa"/>
          <w:bottom w:w="0" w:type="dxa"/>
          <w:right w:w="28" w:type="dxa"/>
        </w:tblCellMar>
      </w:tblPr>
      <w:tblGrid>
        <w:gridCol w:w="6410"/>
        <w:gridCol w:w="740"/>
        <w:gridCol w:w="740"/>
        <w:gridCol w:w="740"/>
        <w:gridCol w:w="620"/>
        <w:gridCol w:w="575"/>
      </w:tblGrid>
      <w:tr>
        <w:trPr/>
        <w:tc>
          <w:tcPr>
            <w:tcW w:w="6410"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Regulatory Capital</w:t>
            </w:r>
          </w:p>
        </w:tc>
        <w:tc>
          <w:tcPr>
            <w:tcW w:w="74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74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74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119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6410"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thousand)</w:t>
            </w:r>
          </w:p>
        </w:tc>
        <w:tc>
          <w:tcPr>
            <w:tcW w:w="74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74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74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62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7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Stock</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1,840,606</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1,840,606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1,840,606</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Reserves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365,847</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420,856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420,856</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15.0%</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Accumulated earnings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238,272</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357,055</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544,583</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52.5%</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128.6%</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Loan loss reserves (1)</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153,732</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173,250</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181,634</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Perpetual subordinated debt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Subordinated debt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261,000</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483,217</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483,217</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85.1%</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Unrealidez Profit or Losses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3,035</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(1,130)</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3,870</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-442.4%</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27.5%</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 in subsidiaries and others, net of unrealized profit and net income in subsidiaries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(208)</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40.2%</w:t>
            </w:r>
          </w:p>
        </w:tc>
      </w:tr>
      <w:tr>
        <w:trPr/>
        <w:tc>
          <w:tcPr>
            <w:tcW w:w="6410"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(124,515)</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(133,121)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(143,742)</w:t>
            </w:r>
          </w:p>
        </w:tc>
        <w:tc>
          <w:tcPr>
            <w:tcW w:w="6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w:t>
            </w:r>
          </w:p>
        </w:tc>
        <w:tc>
          <w:tcPr>
            <w:tcW w:w="57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w:t>
            </w:r>
          </w:p>
        </w:tc>
      </w:tr>
      <w:tr>
        <w:trPr/>
        <w:tc>
          <w:tcPr>
            <w:tcW w:w="6410" w:type="dxa"/>
            <w:tcBorders>
              <w:left w:val="single" w:sz="8" w:space="0" w:color="000000"/>
              <w:bottom w:val="single" w:sz="8" w:space="0" w:color="000000"/>
              <w:right w:val="single" w:sz="8" w:space="0" w:color="000000"/>
            </w:tcBorders>
            <w:tcMar>
              <w:top w:w="0" w:type="dxa"/>
              <w:left w:w="151"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(139,180)</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(139,180)</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(139,180)</w:t>
            </w:r>
          </w:p>
        </w:tc>
        <w:tc>
          <w:tcPr>
            <w:tcW w:w="6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7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6410" w:type="dxa"/>
            <w:tcBorders>
              <w:left w:val="single" w:sz="8" w:space="0" w:color="000000"/>
              <w:bottom w:val="single" w:sz="8" w:space="0" w:color="000000"/>
              <w:right w:val="single" w:sz="8" w:space="0" w:color="000000"/>
            </w:tcBorders>
            <w:tcMar>
              <w:top w:w="0" w:type="dxa"/>
              <w:left w:w="45"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Regulatory Capital</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2,598,649</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3,001,338</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3,191,635</w:t>
            </w:r>
          </w:p>
        </w:tc>
        <w:tc>
          <w:tcPr>
            <w:tcW w:w="6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6.3%</w:t>
            </w:r>
          </w:p>
        </w:tc>
        <w:tc>
          <w:tcPr>
            <w:tcW w:w="57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22.8%</w:t>
            </w:r>
          </w:p>
        </w:tc>
      </w:tr>
      <w:tr>
        <w:trPr/>
        <w:tc>
          <w:tcPr>
            <w:tcW w:w="6410" w:type="dxa"/>
            <w:tcBorders>
              <w:left w:val="single" w:sz="8" w:space="0" w:color="000000"/>
              <w:bottom w:val="single" w:sz="8" w:space="0" w:color="000000"/>
              <w:right w:val="single" w:sz="8" w:space="0" w:color="000000"/>
            </w:tcBorders>
            <w:tcMar>
              <w:top w:w="0" w:type="dxa"/>
              <w:left w:w="45" w:type="dxa"/>
              <w:bottom w:w="28"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Tier Common Equity (2)</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2,183,917</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2,344,871</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2,526,785</w:t>
            </w:r>
          </w:p>
        </w:tc>
        <w:tc>
          <w:tcPr>
            <w:tcW w:w="6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7.8%</w:t>
            </w:r>
          </w:p>
        </w:tc>
        <w:tc>
          <w:tcPr>
            <w:tcW w:w="57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15.7%</w:t>
            </w:r>
          </w:p>
        </w:tc>
      </w:tr>
      <w:tr>
        <w:trPr/>
        <w:tc>
          <w:tcPr>
            <w:tcW w:w="6410" w:type="dxa"/>
            <w:tcBorders>
              <w:left w:val="single" w:sz="8" w:space="0" w:color="000000"/>
              <w:bottom w:val="single" w:sz="8" w:space="0" w:color="000000"/>
              <w:right w:val="single" w:sz="8" w:space="0" w:color="000000"/>
            </w:tcBorders>
            <w:tcMar>
              <w:top w:w="0" w:type="dxa"/>
              <w:left w:w="45" w:type="dxa"/>
              <w:bottom w:w="28"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Regulatory Tier 1 Capital (3)</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2,183,917</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2,344,871</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2,526,785</w:t>
            </w:r>
          </w:p>
        </w:tc>
        <w:tc>
          <w:tcPr>
            <w:tcW w:w="6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7.8%</w:t>
            </w:r>
          </w:p>
        </w:tc>
        <w:tc>
          <w:tcPr>
            <w:tcW w:w="57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15.7%</w:t>
            </w:r>
          </w:p>
        </w:tc>
      </w:tr>
      <w:tr>
        <w:trPr/>
        <w:tc>
          <w:tcPr>
            <w:tcW w:w="6410" w:type="dxa"/>
            <w:tcBorders>
              <w:left w:val="single" w:sz="8" w:space="0" w:color="000000"/>
              <w:bottom w:val="single" w:sz="8" w:space="0" w:color="000000"/>
              <w:right w:val="single" w:sz="8" w:space="0" w:color="000000"/>
            </w:tcBorders>
            <w:tcMar>
              <w:top w:w="0" w:type="dxa"/>
              <w:left w:w="45" w:type="dxa"/>
              <w:bottom w:w="28"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Regulatory Tier 2 Capital (4)</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414,732</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656,467</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664,851</w:t>
            </w:r>
          </w:p>
        </w:tc>
        <w:tc>
          <w:tcPr>
            <w:tcW w:w="6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w:t>
            </w:r>
          </w:p>
        </w:tc>
        <w:tc>
          <w:tcPr>
            <w:tcW w:w="57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60.3%</w:t>
            </w:r>
          </w:p>
        </w:tc>
      </w:tr>
    </w:tbl>
    <w:p>
      <w:pPr>
        <w:pStyle w:val="TextBody"/>
        <w:bidi w:val="0"/>
        <w:jc w:val="left"/>
        <w:rPr>
          <w:caps w:val="false"/>
          <w:smallCaps w:val="false"/>
        </w:rPr>
      </w:pPr>
      <w:r>
        <w:rPr>
          <w:caps w:val="false"/>
          <w:smallCaps w:val="false"/>
        </w:rPr>
        <w:t> </w:t>
      </w:r>
    </w:p>
    <w:tbl>
      <w:tblPr>
        <w:tblW w:w="5730" w:type="dxa"/>
        <w:jc w:val="left"/>
        <w:tblInd w:w="-10" w:type="dxa"/>
        <w:tblLayout w:type="fixed"/>
        <w:tblCellMar>
          <w:top w:w="28" w:type="dxa"/>
          <w:left w:w="100" w:type="dxa"/>
          <w:bottom w:w="0" w:type="dxa"/>
          <w:right w:w="28" w:type="dxa"/>
        </w:tblCellMar>
      </w:tblPr>
      <w:tblGrid>
        <w:gridCol w:w="2255"/>
        <w:gridCol w:w="830"/>
        <w:gridCol w:w="830"/>
        <w:gridCol w:w="830"/>
        <w:gridCol w:w="470"/>
        <w:gridCol w:w="515"/>
      </w:tblGrid>
      <w:tr>
        <w:trPr/>
        <w:tc>
          <w:tcPr>
            <w:tcW w:w="2255"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Total risk-weighted assets</w:t>
            </w:r>
          </w:p>
        </w:tc>
        <w:tc>
          <w:tcPr>
            <w:tcW w:w="83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83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83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98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2255"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thousand)</w:t>
            </w:r>
          </w:p>
        </w:tc>
        <w:tc>
          <w:tcPr>
            <w:tcW w:w="83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83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83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47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1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2255"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 risk-weighted assets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193,276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161,513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183,255</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r>
      <w:tr>
        <w:trPr/>
        <w:tc>
          <w:tcPr>
            <w:tcW w:w="2255"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Credit risk-weighted assets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12,139,570</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13,674,755</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14,341,675</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w:t>
            </w:r>
          </w:p>
        </w:tc>
      </w:tr>
      <w:tr>
        <w:trPr/>
        <w:tc>
          <w:tcPr>
            <w:tcW w:w="2255" w:type="dxa"/>
            <w:tcBorders>
              <w:left w:val="single" w:sz="8" w:space="0" w:color="000000"/>
              <w:bottom w:val="single" w:sz="8" w:space="0" w:color="000000"/>
              <w:right w:val="single" w:sz="8" w:space="0" w:color="000000"/>
            </w:tcBorders>
            <w:tcMar>
              <w:top w:w="0" w:type="dxa"/>
              <w:left w:w="151"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Operational risk-weighted assets</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920,354</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940,160</w:t>
            </w:r>
          </w:p>
        </w:tc>
        <w:tc>
          <w:tcPr>
            <w:tcW w:w="83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958,926</w:t>
            </w:r>
          </w:p>
        </w:tc>
        <w:tc>
          <w:tcPr>
            <w:tcW w:w="4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51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r>
      <w:tr>
        <w:trPr/>
        <w:tc>
          <w:tcPr>
            <w:tcW w:w="2255" w:type="dxa"/>
            <w:tcBorders>
              <w:left w:val="single" w:sz="8" w:space="0" w:color="000000"/>
              <w:bottom w:val="single" w:sz="8" w:space="0" w:color="000000"/>
              <w:right w:val="single" w:sz="8" w:space="0" w:color="000000"/>
            </w:tcBorders>
            <w:tcMar>
              <w:top w:w="0" w:type="dxa"/>
              <w:left w:w="45"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13,253,200</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14,776,429</w:t>
            </w:r>
          </w:p>
        </w:tc>
        <w:tc>
          <w:tcPr>
            <w:tcW w:w="83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15,483,857</w:t>
            </w:r>
          </w:p>
        </w:tc>
        <w:tc>
          <w:tcPr>
            <w:tcW w:w="4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4.8%</w:t>
            </w:r>
          </w:p>
        </w:tc>
        <w:tc>
          <w:tcPr>
            <w:tcW w:w="51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16.8%</w:t>
            </w:r>
          </w:p>
        </w:tc>
      </w:tr>
    </w:tbl>
    <w:p>
      <w:pPr>
        <w:pStyle w:val="TextBody"/>
        <w:bidi w:val="0"/>
        <w:jc w:val="left"/>
        <w:rPr>
          <w:caps w:val="false"/>
          <w:smallCaps w:val="false"/>
        </w:rPr>
      </w:pPr>
      <w:r>
        <w:rPr>
          <w:caps w:val="false"/>
          <w:smallCaps w:val="false"/>
        </w:rPr>
        <w:t> </w:t>
      </w:r>
    </w:p>
    <w:tbl>
      <w:tblPr>
        <w:tblW w:w="5730" w:type="dxa"/>
        <w:jc w:val="left"/>
        <w:tblInd w:w="-10" w:type="dxa"/>
        <w:tblLayout w:type="fixed"/>
        <w:tblCellMar>
          <w:top w:w="28" w:type="dxa"/>
          <w:left w:w="100" w:type="dxa"/>
          <w:bottom w:w="0" w:type="dxa"/>
          <w:right w:w="28" w:type="dxa"/>
        </w:tblCellMar>
      </w:tblPr>
      <w:tblGrid>
        <w:gridCol w:w="2525"/>
        <w:gridCol w:w="740"/>
        <w:gridCol w:w="740"/>
        <w:gridCol w:w="740"/>
        <w:gridCol w:w="470"/>
        <w:gridCol w:w="515"/>
      </w:tblGrid>
      <w:tr>
        <w:trPr/>
        <w:tc>
          <w:tcPr>
            <w:tcW w:w="2525"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Capital requirement</w:t>
            </w:r>
          </w:p>
        </w:tc>
        <w:tc>
          <w:tcPr>
            <w:tcW w:w="74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74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74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98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2525"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thousand)</w:t>
            </w:r>
          </w:p>
        </w:tc>
        <w:tc>
          <w:tcPr>
            <w:tcW w:w="74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74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74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47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1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2525"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 risk capital requirement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19,328</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16,151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18,326</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r>
      <w:tr>
        <w:trPr/>
        <w:tc>
          <w:tcPr>
            <w:tcW w:w="2525"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Credit risk capital requirement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1,213,957</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1,367,476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1,434,168</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w:t>
            </w:r>
          </w:p>
        </w:tc>
      </w:tr>
      <w:tr>
        <w:trPr/>
        <w:tc>
          <w:tcPr>
            <w:tcW w:w="2525" w:type="dxa"/>
            <w:tcBorders>
              <w:left w:val="single" w:sz="8" w:space="0" w:color="000000"/>
              <w:right w:val="single" w:sz="8" w:space="0" w:color="000000"/>
            </w:tcBorders>
            <w:tcMar>
              <w:top w:w="0" w:type="dxa"/>
              <w:left w:w="15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Operational risk capital requirement</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92,035</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94,016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95,893</w:t>
            </w:r>
          </w:p>
        </w:tc>
        <w:tc>
          <w:tcPr>
            <w:tcW w:w="47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r>
      <w:tr>
        <w:trPr/>
        <w:tc>
          <w:tcPr>
            <w:tcW w:w="2525" w:type="dxa"/>
            <w:tcBorders>
              <w:left w:val="single" w:sz="8" w:space="0" w:color="000000"/>
              <w:bottom w:val="single" w:sz="8" w:space="0" w:color="000000"/>
              <w:right w:val="single" w:sz="8" w:space="0" w:color="000000"/>
            </w:tcBorders>
            <w:tcMar>
              <w:top w:w="0" w:type="dxa"/>
              <w:left w:w="151"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Additional capital requirements</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182,094</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205,121</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215,125</w:t>
            </w:r>
          </w:p>
        </w:tc>
        <w:tc>
          <w:tcPr>
            <w:tcW w:w="4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51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w:t>
            </w:r>
          </w:p>
        </w:tc>
      </w:tr>
      <w:tr>
        <w:trPr/>
        <w:tc>
          <w:tcPr>
            <w:tcW w:w="2525" w:type="dxa"/>
            <w:tcBorders>
              <w:left w:val="single" w:sz="8" w:space="0" w:color="000000"/>
              <w:bottom w:val="single" w:sz="8" w:space="0" w:color="000000"/>
              <w:right w:val="single" w:sz="8" w:space="0" w:color="000000"/>
            </w:tcBorders>
            <w:tcMar>
              <w:top w:w="0" w:type="dxa"/>
              <w:left w:w="45"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1,507,414</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1,682,764</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1,763,511</w:t>
            </w:r>
          </w:p>
        </w:tc>
        <w:tc>
          <w:tcPr>
            <w:tcW w:w="4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4.8%</w:t>
            </w:r>
          </w:p>
        </w:tc>
        <w:tc>
          <w:tcPr>
            <w:tcW w:w="51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Ratios under Local Regulation</w:t>
      </w:r>
    </w:p>
    <w:p>
      <w:pPr>
        <w:pStyle w:val="TextBody"/>
        <w:bidi w:val="0"/>
        <w:spacing w:before="0" w:after="0"/>
        <w:jc w:val="center"/>
        <w:rPr>
          <w:caps w:val="false"/>
          <w:smallCaps w:val="false"/>
        </w:rPr>
      </w:pPr>
      <w:r>
        <w:rPr>
          <w:caps w:val="false"/>
          <w:smallCaps w:val="false"/>
        </w:rPr>
        <w:t> </w:t>
      </w:r>
    </w:p>
    <w:tbl>
      <w:tblPr>
        <w:tblW w:w="5550" w:type="dxa"/>
        <w:jc w:val="left"/>
        <w:tblInd w:w="-10" w:type="dxa"/>
        <w:tblLayout w:type="fixed"/>
        <w:tblCellMar>
          <w:top w:w="28" w:type="dxa"/>
          <w:left w:w="100" w:type="dxa"/>
          <w:bottom w:w="0" w:type="dxa"/>
          <w:right w:w="28" w:type="dxa"/>
        </w:tblCellMar>
      </w:tblPr>
      <w:tblGrid>
        <w:gridCol w:w="2795"/>
        <w:gridCol w:w="560"/>
        <w:gridCol w:w="560"/>
        <w:gridCol w:w="560"/>
        <w:gridCol w:w="485"/>
        <w:gridCol w:w="590"/>
      </w:tblGrid>
      <w:tr>
        <w:trPr/>
        <w:tc>
          <w:tcPr>
            <w:tcW w:w="2795"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Capital ratios under Local Regulation</w:t>
            </w:r>
          </w:p>
        </w:tc>
        <w:tc>
          <w:tcPr>
            <w:tcW w:w="56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56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56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107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2795"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color w:val="FFFFFF"/>
              </w:rPr>
            </w:pPr>
            <w:r>
              <w:rPr>
                <w:color w:val="FFFFFF"/>
              </w:rPr>
              <w:t> </w:t>
            </w:r>
          </w:p>
        </w:tc>
        <w:tc>
          <w:tcPr>
            <w:tcW w:w="5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56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485"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9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2795" w:type="dxa"/>
            <w:tcBorders>
              <w:left w:val="single" w:sz="8" w:space="0" w:color="000000"/>
              <w:right w:val="single" w:sz="8" w:space="0" w:color="000000"/>
            </w:tcBorders>
            <w:tcMar>
              <w:top w:w="0" w:type="dxa"/>
              <w:left w:w="43"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Common Equity Tier 1 Ratio</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16.48%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15.87%</w:t>
            </w:r>
          </w:p>
        </w:tc>
        <w:tc>
          <w:tcPr>
            <w:tcW w:w="5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16.32%</w:t>
            </w:r>
          </w:p>
        </w:tc>
        <w:tc>
          <w:tcPr>
            <w:tcW w:w="48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 bps</w:t>
            </w:r>
          </w:p>
        </w:tc>
        <w:tc>
          <w:tcPr>
            <w:tcW w:w="59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 bps</w:t>
            </w:r>
          </w:p>
        </w:tc>
      </w:tr>
      <w:tr>
        <w:trPr/>
        <w:tc>
          <w:tcPr>
            <w:tcW w:w="2795" w:type="dxa"/>
            <w:tcBorders>
              <w:left w:val="single" w:sz="8" w:space="0" w:color="000000"/>
              <w:right w:val="single" w:sz="8" w:space="0" w:color="000000"/>
            </w:tcBorders>
            <w:tcMar>
              <w:top w:w="0" w:type="dxa"/>
              <w:left w:w="43"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Tier 1 Capital ratio</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16.48%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15.87%</w:t>
            </w:r>
          </w:p>
        </w:tc>
        <w:tc>
          <w:tcPr>
            <w:tcW w:w="5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16.32%</w:t>
            </w:r>
          </w:p>
        </w:tc>
        <w:tc>
          <w:tcPr>
            <w:tcW w:w="48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 bps</w:t>
            </w:r>
          </w:p>
        </w:tc>
        <w:tc>
          <w:tcPr>
            <w:tcW w:w="59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 bps</w:t>
            </w:r>
          </w:p>
        </w:tc>
      </w:tr>
      <w:tr>
        <w:trPr/>
        <w:tc>
          <w:tcPr>
            <w:tcW w:w="2795" w:type="dxa"/>
            <w:tcBorders>
              <w:left w:val="single" w:sz="8" w:space="0" w:color="000000"/>
              <w:bottom w:val="single" w:sz="8" w:space="0" w:color="000000"/>
              <w:right w:val="single" w:sz="8" w:space="0" w:color="000000"/>
            </w:tcBorders>
            <w:tcMar>
              <w:top w:w="0" w:type="dxa"/>
              <w:left w:w="43"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Regulatory Global Capital Ratio</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19.61%</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20.31%</w:t>
            </w:r>
          </w:p>
        </w:tc>
        <w:tc>
          <w:tcPr>
            <w:tcW w:w="5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20.61%</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 bps</w:t>
            </w:r>
          </w:p>
        </w:tc>
        <w:tc>
          <w:tcPr>
            <w:tcW w:w="59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 bps</w:t>
            </w:r>
          </w:p>
        </w:tc>
      </w:tr>
    </w:tbl>
    <w:p>
      <w:pPr>
        <w:pStyle w:val="TextBody"/>
        <w:bidi w:val="0"/>
        <w:ind w:left="0" w:right="0" w:hanging="0"/>
        <w:jc w:val="both"/>
        <w:rPr>
          <w:caps w:val="false"/>
          <w:smallCaps w:val="false"/>
        </w:rPr>
      </w:pPr>
      <w:r>
        <w:rPr>
          <w:caps w:val="false"/>
          <w:smallCaps w:val="false"/>
        </w:rPr>
        <w:t> </w:t>
      </w:r>
    </w:p>
    <w:p>
      <w:pPr>
        <w:pStyle w:val="TextBody"/>
        <w:bidi w:val="0"/>
        <w:ind w:left="1440" w:right="144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Up to 1.25% of total risk-weighted assets. </w:t>
      </w:r>
    </w:p>
    <w:p>
      <w:pPr>
        <w:pStyle w:val="TextBody"/>
        <w:bidi w:val="0"/>
        <w:spacing w:before="0" w:after="0"/>
        <w:ind w:left="1440" w:right="144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Common Equity Tier 1 = Capital Stock + Reserves + Accumulated earnings – Unrealized profits or losses - 100% deductions (investment in subsidiaries, goodwill, intangible assets and deferred tax assets based on future returns). </w:t>
      </w:r>
    </w:p>
    <w:p>
      <w:pPr>
        <w:pStyle w:val="TextBody"/>
        <w:bidi w:val="0"/>
        <w:ind w:left="1440" w:right="144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Regulatory Tier 1 Capital = Common Equity Tier 1 + Tier 1 Subordinated Debt (Perpetual). </w:t>
      </w:r>
    </w:p>
    <w:p>
      <w:pPr>
        <w:pStyle w:val="TextBody"/>
        <w:bidi w:val="0"/>
        <w:ind w:left="1440" w:right="144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Regulatory Tier 2 Capital = Subordinated Debt + Loan loss reserves.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19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0" descr=""/>
                    <pic:cNvPicPr>
                      <a:picLocks noChangeAspect="1" noChangeArrowheads="1"/>
                    </pic:cNvPicPr>
                  </pic:nvPicPr>
                  <pic:blipFill>
                    <a:blip r:embed="rId176"/>
                    <a:stretch>
                      <a:fillRect/>
                    </a:stretch>
                  </pic:blipFill>
                  <pic:spPr bwMode="auto">
                    <a:xfrm>
                      <a:off x="0" y="0"/>
                      <a:ext cx="7620000" cy="64770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9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61" descr=""/>
                          <pic:cNvPicPr>
                            <a:picLocks noChangeAspect="1" noChangeArrowheads="1"/>
                          </pic:cNvPicPr>
                        </pic:nvPicPr>
                        <pic:blipFill>
                          <a:blip r:embed="rId177"/>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Equity Tier 1 IFRS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BCP Stand-alone</w:t>
      </w:r>
    </w:p>
    <w:p>
      <w:pPr>
        <w:pStyle w:val="TextBody"/>
        <w:bidi w:val="0"/>
        <w:spacing w:before="0" w:after="0"/>
        <w:jc w:val="center"/>
        <w:rPr>
          <w:caps w:val="false"/>
          <w:smallCaps w:val="false"/>
        </w:rPr>
      </w:pPr>
      <w:r>
        <w:rPr>
          <w:caps w:val="false"/>
          <w:smallCaps w:val="false"/>
        </w:rPr>
        <w:t> </w:t>
      </w:r>
    </w:p>
    <w:tbl>
      <w:tblPr>
        <w:tblW w:w="5745" w:type="dxa"/>
        <w:jc w:val="left"/>
        <w:tblInd w:w="-10" w:type="dxa"/>
        <w:tblLayout w:type="fixed"/>
        <w:tblCellMar>
          <w:top w:w="28" w:type="dxa"/>
          <w:left w:w="100" w:type="dxa"/>
          <w:bottom w:w="0" w:type="dxa"/>
          <w:right w:w="28" w:type="dxa"/>
        </w:tblCellMar>
      </w:tblPr>
      <w:tblGrid>
        <w:gridCol w:w="2120"/>
        <w:gridCol w:w="860"/>
        <w:gridCol w:w="860"/>
        <w:gridCol w:w="860"/>
        <w:gridCol w:w="560"/>
        <w:gridCol w:w="485"/>
      </w:tblGrid>
      <w:tr>
        <w:trPr/>
        <w:tc>
          <w:tcPr>
            <w:tcW w:w="2120"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Common Equity Tier 1 IFRS</w:t>
            </w:r>
          </w:p>
        </w:tc>
        <w:tc>
          <w:tcPr>
            <w:tcW w:w="86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86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86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104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2120"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thousand)</w:t>
            </w:r>
          </w:p>
        </w:tc>
        <w:tc>
          <w:tcPr>
            <w:tcW w:w="8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8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86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48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2120"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and reserves</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18,586,384</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18,586,384</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18,587,768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48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2120"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Retained earnings</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5,926,516</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5,586,466</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7,399,221</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32.4%</w:t>
            </w:r>
          </w:p>
        </w:tc>
        <w:tc>
          <w:tcPr>
            <w:tcW w:w="48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24.8%</w:t>
            </w:r>
          </w:p>
        </w:tc>
      </w:tr>
      <w:tr>
        <w:trPr/>
        <w:tc>
          <w:tcPr>
            <w:tcW w:w="2120"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Unrealized gains (losses)</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282,927</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196,962</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435,898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121.3%</w:t>
            </w:r>
          </w:p>
        </w:tc>
        <w:tc>
          <w:tcPr>
            <w:tcW w:w="48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54.1%</w:t>
            </w:r>
          </w:p>
        </w:tc>
      </w:tr>
      <w:tr>
        <w:trPr/>
        <w:tc>
          <w:tcPr>
            <w:tcW w:w="2120" w:type="dxa"/>
            <w:tcBorders>
              <w:left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 and intangibles</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(1,739,625)</w:t>
            </w:r>
          </w:p>
        </w:tc>
        <w:tc>
          <w:tcPr>
            <w:tcW w:w="8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(1,948,580)</w:t>
            </w:r>
          </w:p>
        </w:tc>
        <w:tc>
          <w:tcPr>
            <w:tcW w:w="86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(2,045,408)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48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17.6%</w:t>
            </w:r>
          </w:p>
        </w:tc>
      </w:tr>
      <w:tr>
        <w:trPr/>
        <w:tc>
          <w:tcPr>
            <w:tcW w:w="2120" w:type="dxa"/>
            <w:tcBorders>
              <w:left w:val="single" w:sz="8" w:space="0" w:color="000000"/>
              <w:bottom w:val="single" w:sz="8" w:space="0" w:color="000000"/>
              <w:right w:val="single" w:sz="8" w:space="0" w:color="000000"/>
            </w:tcBorders>
            <w:tcMar>
              <w:top w:w="0" w:type="dxa"/>
              <w:left w:w="155"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Investments in subsidiaries</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(2,463,279)</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(2,549,601)</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(2,699,950)</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w:t>
            </w:r>
          </w:p>
        </w:tc>
        <w:tc>
          <w:tcPr>
            <w:tcW w:w="48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w:t>
            </w:r>
          </w:p>
        </w:tc>
      </w:tr>
      <w:tr>
        <w:trPr/>
        <w:tc>
          <w:tcPr>
            <w:tcW w:w="2120"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20,592,923</w:t>
            </w:r>
          </w:p>
        </w:tc>
        <w:tc>
          <w:tcPr>
            <w:tcW w:w="8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19,871,630</w:t>
            </w:r>
          </w:p>
        </w:tc>
        <w:tc>
          <w:tcPr>
            <w:tcW w:w="86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21,677,528</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9.1%</w:t>
            </w:r>
          </w:p>
        </w:tc>
        <w:tc>
          <w:tcPr>
            <w:tcW w:w="48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w:t>
            </w:r>
          </w:p>
        </w:tc>
      </w:tr>
    </w:tbl>
    <w:p>
      <w:pPr>
        <w:pStyle w:val="TextBody"/>
        <w:bidi w:val="0"/>
        <w:jc w:val="left"/>
        <w:rPr>
          <w:caps w:val="false"/>
          <w:smallCaps w:val="false"/>
        </w:rPr>
      </w:pPr>
      <w:r>
        <w:rPr>
          <w:caps w:val="false"/>
          <w:smallCaps w:val="false"/>
        </w:rPr>
        <w:t> </w:t>
      </w:r>
    </w:p>
    <w:tbl>
      <w:tblPr>
        <w:tblW w:w="5670" w:type="dxa"/>
        <w:jc w:val="left"/>
        <w:tblInd w:w="-10" w:type="dxa"/>
        <w:tblLayout w:type="fixed"/>
        <w:tblCellMar>
          <w:top w:w="36" w:type="dxa"/>
          <w:left w:w="47" w:type="dxa"/>
          <w:bottom w:w="28" w:type="dxa"/>
          <w:right w:w="28" w:type="dxa"/>
        </w:tblCellMar>
      </w:tblPr>
      <w:tblGrid>
        <w:gridCol w:w="1985"/>
        <w:gridCol w:w="920"/>
        <w:gridCol w:w="920"/>
        <w:gridCol w:w="920"/>
        <w:gridCol w:w="410"/>
        <w:gridCol w:w="515"/>
      </w:tblGrid>
      <w:tr>
        <w:trPr/>
        <w:tc>
          <w:tcPr>
            <w:tcW w:w="19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Adjusted RWAs IFRS</w:t>
            </w:r>
          </w:p>
        </w:tc>
        <w:tc>
          <w:tcPr>
            <w:tcW w:w="9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163,938,888</w:t>
            </w:r>
          </w:p>
        </w:tc>
        <w:tc>
          <w:tcPr>
            <w:tcW w:w="92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175,966,882</w:t>
            </w:r>
          </w:p>
        </w:tc>
        <w:tc>
          <w:tcPr>
            <w:tcW w:w="92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185,328,096</w:t>
            </w:r>
          </w:p>
        </w:tc>
        <w:tc>
          <w:tcPr>
            <w:tcW w:w="4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w:t>
            </w:r>
          </w:p>
        </w:tc>
        <w:tc>
          <w:tcPr>
            <w:tcW w:w="515"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13.0%</w:t>
            </w:r>
          </w:p>
        </w:tc>
      </w:tr>
      <w:tr>
        <w:trPr/>
        <w:tc>
          <w:tcPr>
            <w:tcW w:w="1985" w:type="dxa"/>
            <w:tcBorders>
              <w:left w:val="single" w:sz="8" w:space="0" w:color="000000"/>
              <w:right w:val="single" w:sz="8" w:space="0" w:color="000000"/>
            </w:tcBorders>
            <w:tcMar>
              <w:top w:w="0" w:type="dxa"/>
              <w:left w:w="15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Adjusted Credit RWAs IFRS</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140,154,641</w:t>
            </w:r>
          </w:p>
        </w:tc>
        <w:tc>
          <w:tcPr>
            <w:tcW w:w="9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148,752,762</w:t>
            </w:r>
          </w:p>
        </w:tc>
        <w:tc>
          <w:tcPr>
            <w:tcW w:w="920" w:type="dxa"/>
            <w:tcBorders>
              <w:right w:val="single" w:sz="8" w:space="0" w:color="000000"/>
            </w:tcBorders>
            <w:tcMar>
              <w:top w:w="0" w:type="dxa"/>
              <w:left w:w="0" w:type="dxa"/>
              <w:bottom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157,769,277</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w:t>
            </w:r>
          </w:p>
        </w:tc>
        <w:tc>
          <w:tcPr>
            <w:tcW w:w="515" w:type="dxa"/>
            <w:tcBorders>
              <w:right w:val="single" w:sz="8" w:space="0" w:color="000000"/>
            </w:tcBorders>
            <w:tcMar>
              <w:top w:w="0" w:type="dxa"/>
              <w:left w:w="0" w:type="dxa"/>
              <w:bottom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w:t>
            </w:r>
          </w:p>
        </w:tc>
      </w:tr>
      <w:tr>
        <w:trPr/>
        <w:tc>
          <w:tcPr>
            <w:tcW w:w="1985" w:type="dxa"/>
            <w:tcBorders>
              <w:left w:val="single" w:sz="8" w:space="0" w:color="000000"/>
              <w:bottom w:val="single" w:sz="8" w:space="0" w:color="000000"/>
              <w:right w:val="single" w:sz="8" w:space="0" w:color="000000"/>
            </w:tcBorders>
            <w:tcMar>
              <w:top w:w="0" w:type="dxa"/>
              <w:left w:w="15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Others</w:t>
            </w:r>
          </w:p>
        </w:tc>
        <w:tc>
          <w:tcPr>
            <w:tcW w:w="92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23,784,246</w:t>
            </w:r>
          </w:p>
        </w:tc>
        <w:tc>
          <w:tcPr>
            <w:tcW w:w="92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27,214,120</w:t>
            </w:r>
          </w:p>
        </w:tc>
        <w:tc>
          <w:tcPr>
            <w:tcW w:w="92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27,558,818</w:t>
            </w:r>
          </w:p>
        </w:tc>
        <w:tc>
          <w:tcPr>
            <w:tcW w:w="41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w:t>
            </w:r>
          </w:p>
        </w:tc>
        <w:tc>
          <w:tcPr>
            <w:tcW w:w="51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w:t>
            </w:r>
          </w:p>
        </w:tc>
      </w:tr>
    </w:tbl>
    <w:p>
      <w:pPr>
        <w:pStyle w:val="TextBody"/>
        <w:bidi w:val="0"/>
        <w:jc w:val="left"/>
        <w:rPr>
          <w:caps w:val="false"/>
          <w:smallCaps w:val="false"/>
        </w:rPr>
      </w:pPr>
      <w:r>
        <w:rPr>
          <w:caps w:val="false"/>
          <w:smallCaps w:val="false"/>
        </w:rPr>
        <w:t> </w:t>
      </w:r>
    </w:p>
    <w:tbl>
      <w:tblPr>
        <w:tblW w:w="4095" w:type="dxa"/>
        <w:jc w:val="left"/>
        <w:tblInd w:w="-10" w:type="dxa"/>
        <w:tblLayout w:type="fixed"/>
        <w:tblCellMar>
          <w:top w:w="36" w:type="dxa"/>
          <w:left w:w="47" w:type="dxa"/>
          <w:bottom w:w="28" w:type="dxa"/>
          <w:right w:w="28" w:type="dxa"/>
        </w:tblCellMar>
      </w:tblPr>
      <w:tblGrid>
        <w:gridCol w:w="1280"/>
        <w:gridCol w:w="590"/>
        <w:gridCol w:w="590"/>
        <w:gridCol w:w="590"/>
        <w:gridCol w:w="485"/>
        <w:gridCol w:w="560"/>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CET1 ratio IFRS</w:t>
            </w:r>
          </w:p>
        </w:tc>
        <w:tc>
          <w:tcPr>
            <w:tcW w:w="5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12.56%</w:t>
            </w:r>
          </w:p>
        </w:tc>
        <w:tc>
          <w:tcPr>
            <w:tcW w:w="5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11.29%</w:t>
            </w:r>
          </w:p>
        </w:tc>
        <w:tc>
          <w:tcPr>
            <w:tcW w:w="59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11.70%</w:t>
            </w:r>
          </w:p>
        </w:tc>
        <w:tc>
          <w:tcPr>
            <w:tcW w:w="485" w:type="dxa"/>
            <w:tcBorders>
              <w:top w:val="single" w:sz="8" w:space="0" w:color="000000"/>
              <w:bottom w:val="single" w:sz="8" w:space="0" w:color="000000"/>
            </w:tcBorders>
            <w:tcMar>
              <w:top w:w="46"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 bps</w:t>
            </w:r>
          </w:p>
        </w:tc>
        <w:tc>
          <w:tcPr>
            <w:tcW w:w="560" w:type="dxa"/>
            <w:tcBorders>
              <w:top w:val="single" w:sz="8" w:space="0" w:color="000000"/>
              <w:bottom w:val="single" w:sz="8" w:space="0" w:color="000000"/>
              <w:right w:val="single" w:sz="8" w:space="0" w:color="000000"/>
            </w:tcBorders>
            <w:tcMar>
              <w:top w:w="46"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-86 bps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Mibanco</w:t>
      </w:r>
    </w:p>
    <w:p>
      <w:pPr>
        <w:pStyle w:val="TextBody"/>
        <w:bidi w:val="0"/>
        <w:spacing w:before="0" w:after="0"/>
        <w:jc w:val="center"/>
        <w:rPr>
          <w:caps w:val="false"/>
          <w:smallCaps w:val="false"/>
        </w:rPr>
      </w:pPr>
      <w:r>
        <w:rPr>
          <w:caps w:val="false"/>
          <w:smallCaps w:val="false"/>
        </w:rPr>
        <w:t> </w:t>
      </w:r>
    </w:p>
    <w:tbl>
      <w:tblPr>
        <w:tblW w:w="5445" w:type="dxa"/>
        <w:jc w:val="left"/>
        <w:tblInd w:w="-10" w:type="dxa"/>
        <w:tblLayout w:type="fixed"/>
        <w:tblCellMar>
          <w:top w:w="28" w:type="dxa"/>
          <w:left w:w="100" w:type="dxa"/>
          <w:bottom w:w="0" w:type="dxa"/>
          <w:right w:w="28" w:type="dxa"/>
        </w:tblCellMar>
      </w:tblPr>
      <w:tblGrid>
        <w:gridCol w:w="2120"/>
        <w:gridCol w:w="740"/>
        <w:gridCol w:w="740"/>
        <w:gridCol w:w="740"/>
        <w:gridCol w:w="560"/>
        <w:gridCol w:w="545"/>
      </w:tblGrid>
      <w:tr>
        <w:trPr/>
        <w:tc>
          <w:tcPr>
            <w:tcW w:w="2120"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Common Equity Tier 1 IFRS</w:t>
            </w:r>
          </w:p>
        </w:tc>
        <w:tc>
          <w:tcPr>
            <w:tcW w:w="74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74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74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110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2120"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color w:val="FFFFFF"/>
                <w:sz w:val="16"/>
              </w:rPr>
            </w:pPr>
            <w:r>
              <w:rPr>
                <w:rFonts w:ascii="Times New Roman;Times;Serif" w:hAnsi="Times New Roman;Times;Serif"/>
                <w:b/>
                <w:color w:val="FFFFFF"/>
                <w:sz w:val="16"/>
              </w:rPr>
              <w:t>(S/. thousand)</w:t>
            </w:r>
          </w:p>
        </w:tc>
        <w:tc>
          <w:tcPr>
            <w:tcW w:w="74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74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74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4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2120" w:type="dxa"/>
            <w:tcBorders>
              <w:left w:val="single" w:sz="8" w:space="0" w:color="000000"/>
              <w:right w:val="single" w:sz="8" w:space="0" w:color="000000"/>
            </w:tcBorders>
            <w:tcMar>
              <w:top w:w="0" w:type="dxa"/>
              <w:left w:w="16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and reserves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2,734,582</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2,789,591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2,789,591</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r>
      <w:tr>
        <w:trPr/>
        <w:tc>
          <w:tcPr>
            <w:tcW w:w="2120" w:type="dxa"/>
            <w:tcBorders>
              <w:left w:val="single" w:sz="8" w:space="0" w:color="000000"/>
              <w:right w:val="single" w:sz="8" w:space="0" w:color="000000"/>
            </w:tcBorders>
            <w:tcMar>
              <w:top w:w="0" w:type="dxa"/>
              <w:left w:w="16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Retained earnings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(202,552)</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(170,948)</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(16,167)</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-90.5%</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-92.0%</w:t>
            </w:r>
          </w:p>
        </w:tc>
      </w:tr>
      <w:tr>
        <w:trPr/>
        <w:tc>
          <w:tcPr>
            <w:tcW w:w="2120" w:type="dxa"/>
            <w:tcBorders>
              <w:left w:val="single" w:sz="8" w:space="0" w:color="000000"/>
              <w:right w:val="single" w:sz="8" w:space="0" w:color="000000"/>
            </w:tcBorders>
            <w:tcMar>
              <w:top w:w="0" w:type="dxa"/>
              <w:left w:w="16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Unrealized gains (losses)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2,712</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993</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5,086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412.2%</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87.5%</w:t>
            </w:r>
          </w:p>
        </w:tc>
      </w:tr>
      <w:tr>
        <w:trPr/>
        <w:tc>
          <w:tcPr>
            <w:tcW w:w="2120" w:type="dxa"/>
            <w:tcBorders>
              <w:left w:val="single" w:sz="8" w:space="0" w:color="000000"/>
              <w:right w:val="single" w:sz="8" w:space="0" w:color="000000"/>
            </w:tcBorders>
            <w:tcMar>
              <w:top w:w="0" w:type="dxa"/>
              <w:left w:w="16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 and intangibles</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(296,719)</w:t>
            </w:r>
          </w:p>
        </w:tc>
        <w:tc>
          <w:tcPr>
            <w:tcW w:w="74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(302,651)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(311,455)</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r>
      <w:tr>
        <w:trPr/>
        <w:tc>
          <w:tcPr>
            <w:tcW w:w="2120" w:type="dxa"/>
            <w:tcBorders>
              <w:left w:val="single" w:sz="8" w:space="0" w:color="000000"/>
              <w:bottom w:val="single" w:sz="8" w:space="0" w:color="000000"/>
              <w:right w:val="single" w:sz="8" w:space="0" w:color="000000"/>
            </w:tcBorders>
            <w:tcMar>
              <w:top w:w="0" w:type="dxa"/>
              <w:left w:w="16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Investments in subsidiaries</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(152)</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(212)</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(205)</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34.5%</w:t>
            </w:r>
          </w:p>
        </w:tc>
      </w:tr>
      <w:tr>
        <w:trPr/>
        <w:tc>
          <w:tcPr>
            <w:tcW w:w="2120" w:type="dxa"/>
            <w:tcBorders>
              <w:left w:val="single" w:sz="8" w:space="0" w:color="000000"/>
              <w:bottom w:val="single" w:sz="8" w:space="0" w:color="000000"/>
              <w:right w:val="single" w:sz="8" w:space="0" w:color="000000"/>
            </w:tcBorders>
            <w:tcMar>
              <w:top w:w="0" w:type="dxa"/>
              <w:left w:w="47"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2,237,871</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2,316,772</w:t>
            </w:r>
          </w:p>
        </w:tc>
        <w:tc>
          <w:tcPr>
            <w:tcW w:w="74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2,466,852</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6.5%</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10.2%</w:t>
            </w:r>
          </w:p>
        </w:tc>
      </w:tr>
    </w:tbl>
    <w:p>
      <w:pPr>
        <w:pStyle w:val="TextBody"/>
        <w:bidi w:val="0"/>
        <w:jc w:val="left"/>
        <w:rPr>
          <w:caps w:val="false"/>
          <w:smallCaps w:val="false"/>
        </w:rPr>
      </w:pPr>
      <w:r>
        <w:rPr>
          <w:caps w:val="false"/>
          <w:smallCaps w:val="false"/>
        </w:rPr>
        <w:t> </w:t>
      </w:r>
    </w:p>
    <w:tbl>
      <w:tblPr>
        <w:tblW w:w="5400" w:type="dxa"/>
        <w:jc w:val="left"/>
        <w:tblInd w:w="-10" w:type="dxa"/>
        <w:tblLayout w:type="fixed"/>
        <w:tblCellMar>
          <w:top w:w="32" w:type="dxa"/>
          <w:left w:w="47" w:type="dxa"/>
          <w:bottom w:w="28" w:type="dxa"/>
          <w:right w:w="28" w:type="dxa"/>
        </w:tblCellMar>
      </w:tblPr>
      <w:tblGrid>
        <w:gridCol w:w="1985"/>
        <w:gridCol w:w="830"/>
        <w:gridCol w:w="830"/>
        <w:gridCol w:w="830"/>
        <w:gridCol w:w="410"/>
        <w:gridCol w:w="515"/>
      </w:tblGrid>
      <w:tr>
        <w:trPr/>
        <w:tc>
          <w:tcPr>
            <w:tcW w:w="19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Adjusted RWAs IFRS</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13,378,616</w:t>
            </w:r>
          </w:p>
        </w:tc>
        <w:tc>
          <w:tcPr>
            <w:tcW w:w="8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14,760,089</w:t>
            </w:r>
          </w:p>
        </w:tc>
        <w:tc>
          <w:tcPr>
            <w:tcW w:w="83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15,513,018</w:t>
            </w:r>
          </w:p>
        </w:tc>
        <w:tc>
          <w:tcPr>
            <w:tcW w:w="4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5.1%</w:t>
            </w:r>
          </w:p>
        </w:tc>
        <w:tc>
          <w:tcPr>
            <w:tcW w:w="515"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16.0%</w:t>
            </w:r>
          </w:p>
        </w:tc>
      </w:tr>
      <w:tr>
        <w:trPr/>
        <w:tc>
          <w:tcPr>
            <w:tcW w:w="1985" w:type="dxa"/>
            <w:tcBorders>
              <w:left w:val="single" w:sz="8" w:space="0" w:color="000000"/>
              <w:right w:val="single" w:sz="8" w:space="0" w:color="000000"/>
            </w:tcBorders>
            <w:tcMar>
              <w:top w:w="0" w:type="dxa"/>
              <w:left w:w="16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Adjusted Credit RWAs IFRS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12,264,985</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13,658,416</w:t>
            </w:r>
          </w:p>
        </w:tc>
        <w:tc>
          <w:tcPr>
            <w:tcW w:w="830" w:type="dxa"/>
            <w:tcBorders>
              <w:right w:val="single" w:sz="8" w:space="0" w:color="000000"/>
            </w:tcBorders>
            <w:tcMar>
              <w:top w:w="0" w:type="dxa"/>
              <w:left w:w="0" w:type="dxa"/>
              <w:bottom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14,370,837</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c>
          <w:tcPr>
            <w:tcW w:w="515" w:type="dxa"/>
            <w:tcBorders>
              <w:right w:val="single" w:sz="8" w:space="0" w:color="000000"/>
            </w:tcBorders>
            <w:tcMar>
              <w:top w:w="0" w:type="dxa"/>
              <w:left w:w="0" w:type="dxa"/>
              <w:bottom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17.2%</w:t>
            </w:r>
          </w:p>
        </w:tc>
      </w:tr>
      <w:tr>
        <w:trPr/>
        <w:tc>
          <w:tcPr>
            <w:tcW w:w="1985" w:type="dxa"/>
            <w:tcBorders>
              <w:left w:val="single" w:sz="8" w:space="0" w:color="000000"/>
              <w:bottom w:val="single" w:sz="8" w:space="0" w:color="000000"/>
              <w:right w:val="single" w:sz="8" w:space="0" w:color="000000"/>
            </w:tcBorders>
            <w:tcMar>
              <w:top w:w="0" w:type="dxa"/>
              <w:left w:w="16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Others</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1,113,630</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1,101,673</w:t>
            </w:r>
          </w:p>
        </w:tc>
        <w:tc>
          <w:tcPr>
            <w:tcW w:w="83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1,142,182</w:t>
            </w:r>
          </w:p>
        </w:tc>
        <w:tc>
          <w:tcPr>
            <w:tcW w:w="41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w:t>
            </w:r>
          </w:p>
        </w:tc>
        <w:tc>
          <w:tcPr>
            <w:tcW w:w="515"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r>
    </w:tbl>
    <w:p>
      <w:pPr>
        <w:pStyle w:val="TextBody"/>
        <w:bidi w:val="0"/>
        <w:jc w:val="left"/>
        <w:rPr>
          <w:caps w:val="false"/>
          <w:smallCaps w:val="false"/>
        </w:rPr>
      </w:pPr>
      <w:r>
        <w:rPr>
          <w:caps w:val="false"/>
          <w:smallCaps w:val="false"/>
        </w:rPr>
        <w:t> </w:t>
      </w:r>
    </w:p>
    <w:tbl>
      <w:tblPr>
        <w:tblW w:w="4095" w:type="dxa"/>
        <w:jc w:val="left"/>
        <w:tblInd w:w="-10" w:type="dxa"/>
        <w:tblLayout w:type="fixed"/>
        <w:tblCellMar>
          <w:top w:w="32" w:type="dxa"/>
          <w:left w:w="47" w:type="dxa"/>
          <w:bottom w:w="28" w:type="dxa"/>
          <w:right w:w="28" w:type="dxa"/>
        </w:tblCellMar>
      </w:tblPr>
      <w:tblGrid>
        <w:gridCol w:w="1280"/>
        <w:gridCol w:w="590"/>
        <w:gridCol w:w="590"/>
        <w:gridCol w:w="590"/>
        <w:gridCol w:w="485"/>
        <w:gridCol w:w="560"/>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CET1 ratio IFRS</w:t>
            </w:r>
          </w:p>
        </w:tc>
        <w:tc>
          <w:tcPr>
            <w:tcW w:w="5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16.73%</w:t>
            </w:r>
          </w:p>
        </w:tc>
        <w:tc>
          <w:tcPr>
            <w:tcW w:w="5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15.70%</w:t>
            </w:r>
          </w:p>
        </w:tc>
        <w:tc>
          <w:tcPr>
            <w:tcW w:w="590"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15.90%</w:t>
            </w:r>
          </w:p>
        </w:tc>
        <w:tc>
          <w:tcPr>
            <w:tcW w:w="485" w:type="dxa"/>
            <w:tcBorders>
              <w:top w:val="single" w:sz="8" w:space="0" w:color="000000"/>
              <w:bottom w:val="single" w:sz="8" w:space="0" w:color="000000"/>
            </w:tcBorders>
            <w:tcMar>
              <w:top w:w="41"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 bps</w:t>
            </w:r>
          </w:p>
        </w:tc>
        <w:tc>
          <w:tcPr>
            <w:tcW w:w="560" w:type="dxa"/>
            <w:tcBorders>
              <w:top w:val="single" w:sz="8" w:space="0" w:color="000000"/>
              <w:bottom w:val="single" w:sz="8" w:space="0" w:color="000000"/>
              <w:right w:val="single" w:sz="8" w:space="0" w:color="000000"/>
            </w:tcBorders>
            <w:tcMar>
              <w:top w:w="41"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-83 bps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19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2" descr=""/>
                    <pic:cNvPicPr>
                      <a:picLocks noChangeAspect="1" noChangeArrowheads="1"/>
                    </pic:cNvPicPr>
                  </pic:nvPicPr>
                  <pic:blipFill>
                    <a:blip r:embed="rId178"/>
                    <a:stretch>
                      <a:fillRect/>
                    </a:stretch>
                  </pic:blipFill>
                  <pic:spPr bwMode="auto">
                    <a:xfrm>
                      <a:off x="0" y="0"/>
                      <a:ext cx="7620000" cy="64770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19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63" descr=""/>
                          <pic:cNvPicPr>
                            <a:picLocks noChangeAspect="1" noChangeArrowheads="1"/>
                          </pic:cNvPicPr>
                        </pic:nvPicPr>
                        <pic:blipFill>
                          <a:blip r:embed="rId179"/>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 Financial Statements and Ratios by Business</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12.7.1. Credicorp Consolidated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Consolidated Statement of Financial Position </w:t>
        <w:br/>
        <w:t>(S/ Thousands, IFRS)</w:t>
      </w:r>
    </w:p>
    <w:p>
      <w:pPr>
        <w:pStyle w:val="TextBody"/>
        <w:bidi w:val="0"/>
        <w:spacing w:before="0" w:after="0"/>
        <w:jc w:val="center"/>
        <w:rPr>
          <w:caps w:val="false"/>
          <w:smallCaps w:val="false"/>
        </w:rPr>
      </w:pPr>
      <w:r>
        <w:rPr>
          <w:caps w:val="false"/>
          <w:smallCaps w:val="false"/>
        </w:rPr>
        <w:t> </w:t>
      </w:r>
    </w:p>
    <w:tbl>
      <w:tblPr>
        <w:tblW w:w="8985" w:type="dxa"/>
        <w:jc w:val="center"/>
        <w:tblInd w:w="0" w:type="dxa"/>
        <w:tblLayout w:type="fixed"/>
        <w:tblCellMar>
          <w:top w:w="28" w:type="dxa"/>
          <w:left w:w="100" w:type="dxa"/>
          <w:bottom w:w="0" w:type="dxa"/>
          <w:right w:w="28" w:type="dxa"/>
        </w:tblCellMar>
      </w:tblPr>
      <w:tblGrid>
        <w:gridCol w:w="5000"/>
        <w:gridCol w:w="920"/>
        <w:gridCol w:w="920"/>
        <w:gridCol w:w="920"/>
        <w:gridCol w:w="560"/>
        <w:gridCol w:w="665"/>
      </w:tblGrid>
      <w:tr>
        <w:trPr/>
        <w:tc>
          <w:tcPr>
            <w:tcW w:w="5000"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color w:val="FFFFFF"/>
              </w:rPr>
            </w:pPr>
            <w:r>
              <w:rPr>
                <w:color w:val="FFFFFF"/>
              </w:rPr>
              <w:t> </w:t>
            </w:r>
          </w:p>
        </w:tc>
        <w:tc>
          <w:tcPr>
            <w:tcW w:w="92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92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w:t>
            </w:r>
          </w:p>
        </w:tc>
        <w:tc>
          <w:tcPr>
            <w:tcW w:w="92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122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5000"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color w:val="FFFFFF"/>
              </w:rPr>
            </w:pPr>
            <w:r>
              <w:rPr>
                <w:color w:val="FFFFFF"/>
              </w:rPr>
              <w:t> </w:t>
            </w:r>
          </w:p>
        </w:tc>
        <w:tc>
          <w:tcPr>
            <w:tcW w:w="92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92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6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66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920" w:type="dxa"/>
            <w:tcBorders/>
            <w:tcMar>
              <w:top w:w="0" w:type="dxa"/>
              <w:left w:w="0" w:type="dxa"/>
              <w:right w:w="0" w:type="dxa"/>
            </w:tcMar>
            <w:vAlign w:val="center"/>
          </w:tcPr>
          <w:p>
            <w:pPr>
              <w:pStyle w:val="TableContents"/>
              <w:bidi w:val="0"/>
              <w:spacing w:before="0" w:after="283"/>
              <w:jc w:val="left"/>
              <w:rPr/>
            </w:pPr>
            <w:r>
              <w:rPr/>
              <w:t> </w:t>
            </w:r>
          </w:p>
        </w:tc>
        <w:tc>
          <w:tcPr>
            <w:tcW w:w="920" w:type="dxa"/>
            <w:tcBorders/>
            <w:tcMar>
              <w:top w:w="0" w:type="dxa"/>
              <w:left w:w="0" w:type="dxa"/>
              <w:right w:w="0" w:type="dxa"/>
            </w:tcMar>
            <w:vAlign w:val="center"/>
          </w:tcPr>
          <w:p>
            <w:pPr>
              <w:pStyle w:val="TableContents"/>
              <w:bidi w:val="0"/>
              <w:spacing w:before="0" w:after="283"/>
              <w:jc w:val="left"/>
              <w:rPr/>
            </w:pPr>
            <w:r>
              <w:rPr/>
              <w:t> </w:t>
            </w:r>
          </w:p>
        </w:tc>
        <w:tc>
          <w:tcPr>
            <w:tcW w:w="92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Cash and due from banks</w:t>
            </w:r>
          </w:p>
        </w:tc>
        <w:tc>
          <w:tcPr>
            <w:tcW w:w="920" w:type="dxa"/>
            <w:tcBorders/>
            <w:tcMar>
              <w:top w:w="0" w:type="dxa"/>
              <w:left w:w="0" w:type="dxa"/>
              <w:right w:w="0" w:type="dxa"/>
            </w:tcMar>
            <w:vAlign w:val="center"/>
          </w:tcPr>
          <w:p>
            <w:pPr>
              <w:pStyle w:val="TableContents"/>
              <w:bidi w:val="0"/>
              <w:spacing w:before="0" w:after="283"/>
              <w:jc w:val="left"/>
              <w:rPr/>
            </w:pPr>
            <w:r>
              <w:rPr/>
              <w:t> </w:t>
            </w:r>
          </w:p>
        </w:tc>
        <w:tc>
          <w:tcPr>
            <w:tcW w:w="920" w:type="dxa"/>
            <w:tcBorders/>
            <w:tcMar>
              <w:top w:w="0" w:type="dxa"/>
              <w:left w:w="0" w:type="dxa"/>
              <w:right w:w="0" w:type="dxa"/>
            </w:tcMar>
            <w:vAlign w:val="center"/>
          </w:tcPr>
          <w:p>
            <w:pPr>
              <w:pStyle w:val="TableContents"/>
              <w:bidi w:val="0"/>
              <w:spacing w:before="0" w:after="283"/>
              <w:jc w:val="left"/>
              <w:rPr/>
            </w:pPr>
            <w:r>
              <w:rPr/>
              <w:t> </w:t>
            </w:r>
          </w:p>
        </w:tc>
        <w:tc>
          <w:tcPr>
            <w:tcW w:w="92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Non-interest bearing</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7,266,155</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7,834,921</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8,017,699</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10.3%</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bearing</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34,206,000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42,979,690</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40,553,153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5000" w:type="dxa"/>
            <w:tcBorders>
              <w:left w:val="single" w:sz="8" w:space="0" w:color="000000"/>
              <w:right w:val="single" w:sz="8" w:space="0" w:color="000000"/>
            </w:tcBorders>
            <w:tcMar>
              <w:top w:w="0" w:type="dxa"/>
              <w:left w:w="117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cash and due from banks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41,472,155</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50,814,611</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48,570,852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17.1%</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collateral, reverse repurchase agreements and securities borrowing</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4,593,501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2,211,576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1,185,971</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-74.2%</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through profit or loss investments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4,819,230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5,194,008</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6,082,417</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17.1%</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26.2%</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through other comprehensive income investments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37,852,722</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43,603,824</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43,383,090</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-0.5%</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Amortized cost investments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8,931,495</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8,707,989</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8,964,556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0.4%</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Loans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140,961,978</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152,824,685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159,434,397</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135,917,766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148,349,565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154,930,212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Internal overdue loans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5,044,212</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4,475,120</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4,504,185</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0.6%</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 allowance for loan losses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(7,658,595)</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(7,425,425)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(7,575,313)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Loans, net</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133,303,383</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145,399,260</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151,859,084</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Financial assets designated at fair value through profit or loss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904,621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992,047</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1,163,577</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plant and equipment, net</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2,646,168</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2,655,820</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2,598,345</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Due from customers on acceptances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559,370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608,309</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581,699</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Investments in associates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43,199</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65,888</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59,979</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38.8%</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 assets and goodwill, net</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4,444,424</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4,728,692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4,842,377</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Reinsurance contract assets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949,932</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858,291</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830,164</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Other assets (1)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8,425,176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12,899,931</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12,705,999</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50.8%</w:t>
            </w:r>
          </w:p>
        </w:tc>
      </w:tr>
      <w:tr>
        <w:trPr/>
        <w:tc>
          <w:tcPr>
            <w:tcW w:w="5000" w:type="dxa"/>
            <w:tcBorders>
              <w:left w:val="single" w:sz="8" w:space="0" w:color="000000"/>
              <w:right w:val="single" w:sz="8" w:space="0" w:color="000000"/>
            </w:tcBorders>
            <w:tcMar>
              <w:top w:w="0" w:type="dxa"/>
              <w:left w:w="37"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Assets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248,945,376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278,740,246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282,828,110</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 AND EQUITY</w:t>
            </w:r>
          </w:p>
        </w:tc>
        <w:tc>
          <w:tcPr>
            <w:tcW w:w="920" w:type="dxa"/>
            <w:tcBorders/>
            <w:tcMar>
              <w:top w:w="0" w:type="dxa"/>
              <w:left w:w="0" w:type="dxa"/>
              <w:right w:w="0" w:type="dxa"/>
            </w:tcMar>
            <w:vAlign w:val="center"/>
          </w:tcPr>
          <w:p>
            <w:pPr>
              <w:pStyle w:val="TableContents"/>
              <w:bidi w:val="0"/>
              <w:spacing w:before="0" w:after="283"/>
              <w:jc w:val="left"/>
              <w:rPr/>
            </w:pPr>
            <w:r>
              <w:rPr/>
              <w:t> </w:t>
            </w:r>
          </w:p>
        </w:tc>
        <w:tc>
          <w:tcPr>
            <w:tcW w:w="920" w:type="dxa"/>
            <w:tcBorders/>
            <w:tcMar>
              <w:top w:w="0" w:type="dxa"/>
              <w:left w:w="0" w:type="dxa"/>
              <w:right w:w="0" w:type="dxa"/>
            </w:tcMar>
            <w:vAlign w:val="center"/>
          </w:tcPr>
          <w:p>
            <w:pPr>
              <w:pStyle w:val="TableContents"/>
              <w:bidi w:val="0"/>
              <w:spacing w:before="0" w:after="283"/>
              <w:jc w:val="left"/>
              <w:rPr/>
            </w:pPr>
            <w:r>
              <w:rPr/>
              <w:t> </w:t>
            </w:r>
          </w:p>
        </w:tc>
        <w:tc>
          <w:tcPr>
            <w:tcW w:w="92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Deposits and obligations</w:t>
            </w:r>
          </w:p>
        </w:tc>
        <w:tc>
          <w:tcPr>
            <w:tcW w:w="920" w:type="dxa"/>
            <w:tcBorders/>
            <w:tcMar>
              <w:top w:w="0" w:type="dxa"/>
              <w:left w:w="0" w:type="dxa"/>
              <w:right w:w="0" w:type="dxa"/>
            </w:tcMar>
            <w:vAlign w:val="center"/>
          </w:tcPr>
          <w:p>
            <w:pPr>
              <w:pStyle w:val="TableContents"/>
              <w:bidi w:val="0"/>
              <w:spacing w:before="0" w:after="283"/>
              <w:jc w:val="left"/>
              <w:rPr/>
            </w:pPr>
            <w:r>
              <w:rPr/>
              <w:t> </w:t>
            </w:r>
          </w:p>
        </w:tc>
        <w:tc>
          <w:tcPr>
            <w:tcW w:w="920" w:type="dxa"/>
            <w:tcBorders/>
            <w:tcMar>
              <w:top w:w="0" w:type="dxa"/>
              <w:left w:w="0" w:type="dxa"/>
              <w:right w:w="0" w:type="dxa"/>
            </w:tcMar>
            <w:vAlign w:val="center"/>
          </w:tcPr>
          <w:p>
            <w:pPr>
              <w:pStyle w:val="TableContents"/>
              <w:bidi w:val="0"/>
              <w:spacing w:before="0" w:after="283"/>
              <w:jc w:val="left"/>
              <w:rPr/>
            </w:pPr>
            <w:r>
              <w:rPr/>
              <w:t> </w:t>
            </w:r>
          </w:p>
        </w:tc>
        <w:tc>
          <w:tcPr>
            <w:tcW w:w="92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Non-interest bearing</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45,734,508</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57,658,244</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58,196,203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0.9%</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27.2%</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bearing</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108,988,826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121,222,422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123,924,563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deposits and obligations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154,723,334</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178,880,666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182,120,766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17.7%</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Payables from repurchase agreements and securities lending</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11,265,393</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5,872,475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8,376,486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42.6%</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-25.6%</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BCRP instruments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5,096,459</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2,338,426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4,043,986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72.9%</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-20.7%</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Repurchase agreements with third parties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5,974,353</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3,473,827</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4,126,548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18.8%</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-30.9%</w:t>
            </w:r>
          </w:p>
        </w:tc>
      </w:tr>
      <w:tr>
        <w:trPr/>
        <w:tc>
          <w:tcPr>
            <w:tcW w:w="5000" w:type="dxa"/>
            <w:tcBorders>
              <w:left w:val="single" w:sz="8" w:space="0" w:color="000000"/>
              <w:right w:val="single" w:sz="8" w:space="0" w:color="000000"/>
            </w:tcBorders>
            <w:tcMar>
              <w:top w:w="0" w:type="dxa"/>
              <w:left w:w="22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Repurchase agreements with customers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194,581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60,222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205,952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242.0%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Due to banks and correspondents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11,152,813</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10,213,175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11,755,256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Bonds and notes issued</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12,112,404</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14,750,710</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14,789,015</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0.3%</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22.1%</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Banker’s acceptances outstanding</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559,370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608,309</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581,699</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Insurance contract liability</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13,954,800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14,504,324</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14,996,102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Financial liabilities at fair value through profit or loss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840,022</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1,451,894</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937,843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liabilities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9,262,740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11,810,657</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10,469,093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w:t>
            </w:r>
          </w:p>
        </w:tc>
      </w:tr>
      <w:tr>
        <w:trPr/>
        <w:tc>
          <w:tcPr>
            <w:tcW w:w="5000" w:type="dxa"/>
            <w:tcBorders>
              <w:left w:val="single" w:sz="8" w:space="0" w:color="000000"/>
              <w:right w:val="single" w:sz="8" w:space="0" w:color="000000"/>
            </w:tcBorders>
            <w:tcMar>
              <w:top w:w="0" w:type="dxa"/>
              <w:left w:w="37"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Liabilities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213,870,876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238,092,210</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244,026,260</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14.1%</w:t>
            </w:r>
          </w:p>
        </w:tc>
      </w:tr>
      <w:tr>
        <w:trPr/>
        <w:tc>
          <w:tcPr>
            <w:tcW w:w="5000" w:type="dxa"/>
            <w:tcBorders>
              <w:left w:val="single" w:sz="8" w:space="0" w:color="000000"/>
              <w:right w:val="single" w:sz="8" w:space="0" w:color="000000"/>
            </w:tcBorders>
            <w:tcMar>
              <w:top w:w="0" w:type="dxa"/>
              <w:left w:w="28"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equity</w:t>
            </w:r>
          </w:p>
        </w:tc>
        <w:tc>
          <w:tcPr>
            <w:tcW w:w="920" w:type="dxa"/>
            <w:tcBorders/>
            <w:tcMar>
              <w:top w:w="0" w:type="dxa"/>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34,459,012</w:t>
            </w:r>
          </w:p>
        </w:tc>
        <w:tc>
          <w:tcPr>
            <w:tcW w:w="920" w:type="dxa"/>
            <w:tcBorders/>
            <w:tcMar>
              <w:top w:w="0" w:type="dxa"/>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40,018,343</w:t>
            </w:r>
          </w:p>
        </w:tc>
        <w:tc>
          <w:tcPr>
            <w:tcW w:w="920" w:type="dxa"/>
            <w:tcBorders>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38,121,924</w:t>
            </w:r>
          </w:p>
        </w:tc>
        <w:tc>
          <w:tcPr>
            <w:tcW w:w="560" w:type="dxa"/>
            <w:tcBorders/>
            <w:tcMar>
              <w:top w:w="0" w:type="dxa"/>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-4.7%</w:t>
            </w:r>
          </w:p>
        </w:tc>
        <w:tc>
          <w:tcPr>
            <w:tcW w:w="665" w:type="dxa"/>
            <w:tcBorders>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stock</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1,318,993</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1,318,993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1,318,993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Treasury stock</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(209,845)</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(208,702)</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(209,106)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0.2%</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-0.4%</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surplus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133,388</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112,194</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86,146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-23.2%</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-35.4%</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Reserves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29,602,851</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36,483,716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32,540,118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9.9%</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reserves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19,199</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207,887</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301,385</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1469.8%</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Retained earnings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3,594,426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2,104,255</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4,084,388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94.1%</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Non-controlling interest</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615,488</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629,693</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679,926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w:t>
            </w:r>
          </w:p>
        </w:tc>
      </w:tr>
      <w:tr>
        <w:trPr/>
        <w:tc>
          <w:tcPr>
            <w:tcW w:w="5000" w:type="dxa"/>
            <w:tcBorders>
              <w:left w:val="single" w:sz="8" w:space="0" w:color="000000"/>
              <w:right w:val="single" w:sz="8" w:space="0" w:color="000000"/>
            </w:tcBorders>
            <w:tcMar>
              <w:top w:w="0" w:type="dxa"/>
              <w:left w:w="37"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Net Equity</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35,074,500</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40,648,036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38,801,850</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liabilities and equity</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248,945,376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278,740,246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282,828,110</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13.6%</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Off-balance sheet</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144,197,254</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156,490,608</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162,878,675</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13.0%</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performance bonds, stand-by and L/Cs.</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21,026,042</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21,640,536</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20,624,218</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w:t>
            </w:r>
          </w:p>
        </w:tc>
      </w:tr>
      <w:tr>
        <w:trPr/>
        <w:tc>
          <w:tcPr>
            <w:tcW w:w="5000" w:type="dxa"/>
            <w:tcBorders>
              <w:left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Undrawn credit lines, advised but not committed</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75,858,566</w:t>
            </w:r>
          </w:p>
        </w:tc>
        <w:tc>
          <w:tcPr>
            <w:tcW w:w="92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86,229,700</w:t>
            </w:r>
          </w:p>
        </w:tc>
        <w:tc>
          <w:tcPr>
            <w:tcW w:w="9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90,507,627</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19.3%</w:t>
            </w:r>
          </w:p>
        </w:tc>
      </w:tr>
      <w:tr>
        <w:trPr/>
        <w:tc>
          <w:tcPr>
            <w:tcW w:w="5000" w:type="dxa"/>
            <w:tcBorders>
              <w:left w:val="single" w:sz="8" w:space="0" w:color="000000"/>
              <w:bottom w:val="single" w:sz="8" w:space="0" w:color="000000"/>
              <w:right w:val="single" w:sz="8" w:space="0" w:color="000000"/>
            </w:tcBorders>
            <w:tcMar>
              <w:top w:w="0" w:type="dxa"/>
              <w:left w:w="35"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derivatives (notional) and others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47,312,646</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48,620,372</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51,746,830</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w:t>
            </w:r>
          </w:p>
        </w:tc>
        <w:tc>
          <w:tcPr>
            <w:tcW w:w="6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w:t>
            </w:r>
          </w:p>
        </w:tc>
      </w:tr>
    </w:tbl>
    <w:p>
      <w:pPr>
        <w:pStyle w:val="TextBody"/>
        <w:bidi w:val="0"/>
        <w:ind w:left="0" w:right="0" w:hanging="0"/>
        <w:jc w:val="both"/>
        <w:rPr>
          <w:caps w:val="false"/>
          <w:smallCaps w:val="false"/>
        </w:rPr>
      </w:pPr>
      <w:r>
        <w:rPr>
          <w:caps w:val="false"/>
          <w:smallCaps w:val="false"/>
        </w:rPr>
        <w:t> </w:t>
      </w:r>
    </w:p>
    <w:tbl>
      <w:tblPr>
        <w:tblW w:w="4753" w:type="dxa"/>
        <w:jc w:val="center"/>
        <w:tblInd w:w="0" w:type="dxa"/>
        <w:tblLayout w:type="fixed"/>
        <w:tblCellMar>
          <w:top w:w="0" w:type="dxa"/>
          <w:left w:w="0" w:type="dxa"/>
          <w:bottom w:w="0" w:type="dxa"/>
          <w:right w:w="0" w:type="dxa"/>
        </w:tblCellMar>
      </w:tblPr>
      <w:tblGrid>
        <w:gridCol w:w="38"/>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47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(1)</w:t>
            </w:r>
            <w:r>
              <w:rPr/>
              <w:t xml:space="preserve"> </w:t>
            </w:r>
            <w:r>
              <w:rPr>
                <w:rFonts w:ascii="Times New Roman;Times;Serif" w:hAnsi="Times New Roman;Times;Serif"/>
                <w:sz w:val="16"/>
              </w:rPr>
              <w:t>Includes mainly account receivables from brokerage and others</w:t>
            </w:r>
          </w:p>
        </w:tc>
      </w:tr>
    </w:tbl>
    <w:tbl>
      <w:tblPr>
        <w:tblW w:w="6778" w:type="dxa"/>
        <w:jc w:val="center"/>
        <w:tblInd w:w="0" w:type="dxa"/>
        <w:tblLayout w:type="fixed"/>
        <w:tblCellMar>
          <w:top w:w="0" w:type="dxa"/>
          <w:left w:w="0" w:type="dxa"/>
          <w:bottom w:w="0" w:type="dxa"/>
          <w:right w:w="0" w:type="dxa"/>
        </w:tblCellMar>
      </w:tblPr>
      <w:tblGrid>
        <w:gridCol w:w="38"/>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Due to reclassifications, the Balance Sheet may differ from those reported in previous quarters.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20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64" descr=""/>
                    <pic:cNvPicPr>
                      <a:picLocks noChangeAspect="1" noChangeArrowheads="1"/>
                    </pic:cNvPicPr>
                  </pic:nvPicPr>
                  <pic:blipFill>
                    <a:blip r:embed="rId180"/>
                    <a:stretch>
                      <a:fillRect/>
                    </a:stretch>
                  </pic:blipFill>
                  <pic:spPr bwMode="auto">
                    <a:xfrm>
                      <a:off x="0" y="0"/>
                      <a:ext cx="7620000" cy="64770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0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65" descr=""/>
                          <pic:cNvPicPr>
                            <a:picLocks noChangeAspect="1" noChangeArrowheads="1"/>
                          </pic:cNvPicPr>
                        </pic:nvPicPr>
                        <pic:blipFill>
                          <a:blip r:embed="rId181"/>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Consolidated Statement of Income</w:t>
        <w:br/>
        <w:t>(S/ Thousands, IFRS)</w:t>
      </w:r>
    </w:p>
    <w:p>
      <w:pPr>
        <w:pStyle w:val="TextBody"/>
        <w:bidi w:val="0"/>
        <w:spacing w:before="0" w:after="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28" w:type="dxa"/>
        </w:tblCellMar>
      </w:tblPr>
      <w:tblGrid>
        <w:gridCol w:w="3963"/>
        <w:gridCol w:w="830"/>
        <w:gridCol w:w="830"/>
        <w:gridCol w:w="830"/>
        <w:gridCol w:w="554"/>
        <w:gridCol w:w="554"/>
        <w:gridCol w:w="830"/>
        <w:gridCol w:w="845"/>
        <w:gridCol w:w="969"/>
      </w:tblGrid>
      <w:tr>
        <w:trPr/>
        <w:tc>
          <w:tcPr>
            <w:tcW w:w="3963"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color w:val="FFFFFF"/>
              </w:rPr>
            </w:pPr>
            <w:r>
              <w:rPr>
                <w:color w:val="FFFFFF"/>
              </w:rPr>
              <w:t> </w:t>
            </w:r>
          </w:p>
        </w:tc>
        <w:tc>
          <w:tcPr>
            <w:tcW w:w="830" w:type="dxa"/>
            <w:tcBorders>
              <w:top w:val="single" w:sz="8" w:space="0" w:color="000000"/>
            </w:tcBorders>
            <w:shd w:fill="29D2C7" w:val="clear"/>
            <w:tcMar>
              <w:left w:w="0" w:type="dxa"/>
              <w:right w:w="0" w:type="dxa"/>
            </w:tcMar>
            <w:vAlign w:val="center"/>
          </w:tcPr>
          <w:p>
            <w:pPr>
              <w:pStyle w:val="TableContents"/>
              <w:bidi w:val="0"/>
              <w:spacing w:before="0" w:after="283"/>
              <w:jc w:val="center"/>
              <w:rPr>
                <w:color w:val="FFFFFF"/>
              </w:rPr>
            </w:pPr>
            <w:r>
              <w:rPr>
                <w:color w:val="FFFFFF"/>
              </w:rPr>
              <w:t> </w:t>
            </w:r>
          </w:p>
        </w:tc>
        <w:tc>
          <w:tcPr>
            <w:tcW w:w="830"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830"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color w:val="FFFFFF"/>
              </w:rPr>
            </w:pPr>
            <w:r>
              <w:rPr>
                <w:color w:val="FFFFFF"/>
              </w:rPr>
              <w:t> </w:t>
            </w:r>
          </w:p>
        </w:tc>
        <w:tc>
          <w:tcPr>
            <w:tcW w:w="1108"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675" w:type="dxa"/>
            <w:gridSpan w:val="2"/>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969" w:type="dxa"/>
            <w:tcBorders>
              <w:top w:val="single" w:sz="8" w:space="0" w:color="000000"/>
              <w:right w:val="single" w:sz="8" w:space="0" w:color="000000"/>
            </w:tcBorders>
            <w:shd w:fill="29D2C7" w:val="clear"/>
            <w:tcMar>
              <w:left w:w="0"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963"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color w:val="FFFFFF"/>
              </w:rPr>
            </w:pPr>
            <w:r>
              <w:rPr>
                <w:color w:val="FFFFFF"/>
              </w:rPr>
              <w:t> </w:t>
            </w:r>
          </w:p>
        </w:tc>
        <w:tc>
          <w:tcPr>
            <w:tcW w:w="83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83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830"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554"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54"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83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845"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969" w:type="dxa"/>
            <w:tcBorders>
              <w:bottom w:val="single" w:sz="8" w:space="0" w:color="000000"/>
              <w:right w:val="single" w:sz="8" w:space="0" w:color="000000"/>
            </w:tcBorders>
            <w:shd w:fill="29D2C7"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Interest income and expense</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554" w:type="dxa"/>
            <w:tcBorders/>
            <w:tcMar>
              <w:top w:w="0" w:type="dxa"/>
              <w:left w:w="0" w:type="dxa"/>
              <w:right w:w="0" w:type="dxa"/>
            </w:tcMar>
            <w:vAlign w:val="center"/>
          </w:tcPr>
          <w:p>
            <w:pPr>
              <w:pStyle w:val="TableContents"/>
              <w:bidi w:val="0"/>
              <w:spacing w:before="0" w:after="283"/>
              <w:jc w:val="center"/>
              <w:rPr/>
            </w:pPr>
            <w:r>
              <w:rPr/>
              <w:t> </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and similar income</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4,922,292</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5,212,412</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5,413,885</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9,817,082</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10,626,297</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8.2%</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and similar expenses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(1,306,921)</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(1,249,685)</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(1,316,934)</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0.8%</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(2,629,699)</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(2,566,619)</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interest, similar income and expenses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3,615,371</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3,962,727</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4,096,951</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3.4%</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7,187,383</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8,059,678</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12.1%</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Provision for credit losses on loan portfolio</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(683,965)</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(612,011)</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(854,827)</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39.7%</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(1,379,698)</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(1,466,838)</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Recoveries of written-off loans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108,806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129,923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123,619</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222,646</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253,542</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Provision for credit losses on loan portfolio, net of recoveries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(575,159)</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(482,088)</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(731,208)</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51.7%</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27.1%</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(1,157,052)</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(1,213,296)</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interest, similar income and expenses, after provision for credit losses on loan portfolio</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3,040,212</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3,480,639</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3,365,743</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10.7%</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6,030,331</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6,846,382</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Other income</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1108" w:type="dxa"/>
            <w:gridSpan w:val="2"/>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 income</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1,024,553</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1,149,284</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1,187,608</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2,018,577</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2,336,892</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on foreign exchange transactions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377,016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448,884</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489,479</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29.8%</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720,830</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938,363</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30.2%</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on securities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179,174</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135,637</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248,844</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83.5%</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38.9%</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151,025</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384,481</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154.6%</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from associates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6,556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9,296</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6,156</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-33.8%</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30,624</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15,452</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-49.5%</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on derivatives held for trading</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21,418</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27,463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(14,697)</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-153.5%</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39,917</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12,766</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-68.0%</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from exchange differences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10,195</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8,557</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44,160</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416.1%</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333.2%</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26,154</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52,717</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101.6%</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58,461</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77,203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80,652</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38.0%</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380,462</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157,855</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-58.5%</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other income</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1,677,373</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1,856,324</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2,042,202</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21.8%</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3,367,589</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3,898,526</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15.8%</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Insurance underwriting result</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1108" w:type="dxa"/>
            <w:gridSpan w:val="2"/>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Insurance Service Result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445,152</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345,846</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429,944</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24.3%</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861,258</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775,790</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-9.9%</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Reinsurance Result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(94,279)</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(46,783)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(141,930)</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203.4%</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50.5%</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(181,251)</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(188,713)</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insurance underwriting result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350,873</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299,063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288,014</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-3.7%</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-17.9%</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680,007</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587,077</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-13.7%</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Medical services result</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1108" w:type="dxa"/>
            <w:gridSpan w:val="2"/>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Sales of medical services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473,746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424,565</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440,364</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551,867</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864,929</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56.7%</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sales of medical services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(350,427)</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(300,727)</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(306,925)</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-12.4%</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(385,859)</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(607,652)</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57.5%</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medical services result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123,319</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123,838</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133,439</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7.8%</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8.2%</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166,008</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257,277</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55.0%</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expenses</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1108" w:type="dxa"/>
            <w:gridSpan w:val="2"/>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830" w:type="dxa"/>
            <w:tcBorders/>
            <w:tcMar>
              <w:top w:w="0" w:type="dxa"/>
              <w:left w:w="0" w:type="dxa"/>
              <w:right w:w="0" w:type="dxa"/>
            </w:tcMar>
            <w:vAlign w:val="center"/>
          </w:tcPr>
          <w:p>
            <w:pPr>
              <w:pStyle w:val="TableContents"/>
              <w:bidi w:val="0"/>
              <w:spacing w:before="0" w:after="283"/>
              <w:jc w:val="center"/>
              <w:rPr/>
            </w:pPr>
            <w:r>
              <w:rPr/>
              <w:t> </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Salaries and employee benefits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(1,304,466)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(1,459,421)</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(1,475,704)</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(2,666,156)</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(2,935,125)</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10.1%</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Administrative expenses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(965,994)</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(1,061,666)</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(1,114,932)</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15.4%</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(1,835,828)</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(2,176,598)</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Depreciation and amortization</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(212,662)</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(241,368)</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(235,204)</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(416,428)</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(476,572)</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14.4%</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Impairment loss on goodwill</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Association in participation</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(371)</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(155)</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-10.4%</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-58.2%</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(7,170)</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(328)</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-95.4%</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expenses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(146,817)</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(78,203)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(163,467)</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109.0%</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11.3%</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(237,602)</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(241,670)</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expenses</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(2,630,310)</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(2,840,831)</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(2,989,462)</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13.7%</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(5,163,184)</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(5,830,293)</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12.9%</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Profit before income tax</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2,561,467</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2,919,033</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2,839,936</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10.9%</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5,080,751</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5,758,969</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w:t>
            </w:r>
          </w:p>
        </w:tc>
      </w:tr>
      <w:tr>
        <w:trPr/>
        <w:tc>
          <w:tcPr>
            <w:tcW w:w="3963" w:type="dxa"/>
            <w:tcBorders>
              <w:left w:val="single" w:sz="8" w:space="0" w:color="000000"/>
              <w:right w:val="single" w:sz="8" w:space="0" w:color="000000"/>
            </w:tcBorders>
            <w:tcMar>
              <w:top w:w="0" w:type="dxa"/>
              <w:left w:w="29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(696,969)</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(808,891)</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(814,357)</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0.7%</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(1,401,438)</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(1,623,248)</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15.8%</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profit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1,864,498</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2,110,142</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2,025,579</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8.6%</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3,679,313</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4,135,721</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12.4%</w:t>
            </w:r>
          </w:p>
        </w:tc>
      </w:tr>
      <w:tr>
        <w:trPr/>
        <w:tc>
          <w:tcPr>
            <w:tcW w:w="396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Non-controlling interest</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42,483</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46,958</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43,657</w:t>
            </w:r>
          </w:p>
        </w:tc>
        <w:tc>
          <w:tcPr>
            <w:tcW w:w="554"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w:t>
            </w:r>
          </w:p>
        </w:tc>
        <w:tc>
          <w:tcPr>
            <w:tcW w:w="554"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83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79,601</w:t>
            </w:r>
          </w:p>
        </w:tc>
        <w:tc>
          <w:tcPr>
            <w:tcW w:w="8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90,615</w:t>
            </w:r>
          </w:p>
        </w:tc>
        <w:tc>
          <w:tcPr>
            <w:tcW w:w="96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13.8%</w:t>
            </w:r>
          </w:p>
        </w:tc>
      </w:tr>
      <w:tr>
        <w:trPr/>
        <w:tc>
          <w:tcPr>
            <w:tcW w:w="3963"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profit attributable to Credicorp</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1,822,015</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2,063,184</w:t>
            </w:r>
          </w:p>
        </w:tc>
        <w:tc>
          <w:tcPr>
            <w:tcW w:w="83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1,981,922</w:t>
            </w:r>
          </w:p>
        </w:tc>
        <w:tc>
          <w:tcPr>
            <w:tcW w:w="554"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w:t>
            </w:r>
          </w:p>
        </w:tc>
        <w:tc>
          <w:tcPr>
            <w:tcW w:w="554"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8.8%</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3,599,712</w:t>
            </w:r>
          </w:p>
        </w:tc>
        <w:tc>
          <w:tcPr>
            <w:tcW w:w="8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4,045,106</w:t>
            </w:r>
          </w:p>
        </w:tc>
        <w:tc>
          <w:tcPr>
            <w:tcW w:w="969"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20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66" descr=""/>
                    <pic:cNvPicPr>
                      <a:picLocks noChangeAspect="1" noChangeArrowheads="1"/>
                    </pic:cNvPicPr>
                  </pic:nvPicPr>
                  <pic:blipFill>
                    <a:blip r:embed="rId182"/>
                    <a:stretch>
                      <a:fillRect/>
                    </a:stretch>
                  </pic:blipFill>
                  <pic:spPr bwMode="auto">
                    <a:xfrm>
                      <a:off x="0" y="0"/>
                      <a:ext cx="7620000" cy="64770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0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67" descr=""/>
                          <pic:cNvPicPr>
                            <a:picLocks noChangeAspect="1" noChangeArrowheads="1"/>
                          </pic:cNvPicPr>
                        </pic:nvPicPr>
                        <pic:blipFill>
                          <a:blip r:embed="rId183"/>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12.7.2. Credicorp Stand-alone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Statement of Financial Position </w:t>
        <w:br/>
        <w:t>(S/ Thousands, IFRS)</w:t>
      </w:r>
    </w:p>
    <w:p>
      <w:pPr>
        <w:pStyle w:val="TextBody"/>
        <w:bidi w:val="0"/>
        <w:spacing w:before="0" w:after="0"/>
        <w:jc w:val="center"/>
        <w:rPr>
          <w:caps w:val="false"/>
          <w:smallCaps w:val="false"/>
        </w:rPr>
      </w:pPr>
      <w:r>
        <w:rPr>
          <w:caps w:val="false"/>
          <w:smallCaps w:val="false"/>
        </w:rPr>
        <w:t> </w:t>
      </w:r>
    </w:p>
    <w:tbl>
      <w:tblPr>
        <w:tblW w:w="8350" w:type="dxa"/>
        <w:jc w:val="center"/>
        <w:tblInd w:w="0" w:type="dxa"/>
        <w:tblLayout w:type="fixed"/>
        <w:tblCellMar>
          <w:top w:w="28" w:type="dxa"/>
          <w:left w:w="60" w:type="dxa"/>
          <w:bottom w:w="28" w:type="dxa"/>
          <w:right w:w="60" w:type="dxa"/>
        </w:tblCellMar>
      </w:tblPr>
      <w:tblGrid>
        <w:gridCol w:w="4235"/>
        <w:gridCol w:w="830"/>
        <w:gridCol w:w="830"/>
        <w:gridCol w:w="830"/>
        <w:gridCol w:w="797"/>
        <w:gridCol w:w="828"/>
      </w:tblGrid>
      <w:tr>
        <w:trPr/>
        <w:tc>
          <w:tcPr>
            <w:tcW w:w="423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44" w:right="14" w:hanging="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Jun 25</w:t>
            </w:r>
            <w:r>
              <w:rPr>
                <w:rFonts w:ascii="Times New Roman;Times;Serif" w:hAnsi="Times New Roman;Times;Serif"/>
                <w:b w:val="false"/>
                <w:i w:val="false"/>
                <w:caps w:val="false"/>
                <w:smallCaps w:val="false"/>
                <w:color w:val="FFFFFF"/>
                <w:sz w:val="16"/>
              </w:rPr>
              <w:t> </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44" w:right="45" w:hanging="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As of</w:t>
            </w:r>
            <w:r>
              <w:rPr>
                <w:rFonts w:ascii="Times New Roman;Times;Serif" w:hAnsi="Times New Roman;Times;Serif"/>
                <w:b w:val="false"/>
                <w:i w:val="false"/>
                <w:caps w:val="false"/>
                <w:smallCaps w:val="false"/>
                <w:color w:val="FFFFFF"/>
                <w:sz w:val="16"/>
              </w:rPr>
              <w:t> </w:t>
            </w:r>
          </w:p>
          <w:p>
            <w:pPr>
              <w:pStyle w:val="TableContents"/>
              <w:bidi w:val="0"/>
              <w:spacing w:before="0" w:after="0"/>
              <w:ind w:left="44" w:right="14" w:hanging="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Mar 26</w:t>
            </w:r>
            <w:r>
              <w:rPr>
                <w:rFonts w:ascii="Times New Roman;Times;Serif" w:hAnsi="Times New Roman;Times;Serif"/>
                <w:b w:val="false"/>
                <w:i w:val="false"/>
                <w:caps w:val="false"/>
                <w:smallCaps w:val="false"/>
                <w:color w:val="FFFFFF"/>
                <w:sz w:val="16"/>
              </w:rPr>
              <w:t> </w:t>
            </w:r>
          </w:p>
        </w:tc>
        <w:tc>
          <w:tcPr>
            <w:tcW w:w="83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65" w:right="12" w:hanging="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Jun 26</w:t>
            </w:r>
            <w:r>
              <w:rPr>
                <w:rFonts w:ascii="Times New Roman;Times;Serif" w:hAnsi="Times New Roman;Times;Serif"/>
                <w:b w:val="false"/>
                <w:i w:val="false"/>
                <w:caps w:val="false"/>
                <w:smallCaps w:val="false"/>
                <w:color w:val="FFFFFF"/>
                <w:sz w:val="16"/>
              </w:rPr>
              <w:t> </w:t>
            </w:r>
          </w:p>
        </w:tc>
        <w:tc>
          <w:tcPr>
            <w:tcW w:w="1625"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 change</w:t>
            </w:r>
            <w:r>
              <w:rPr>
                <w:rFonts w:ascii="Times New Roman;Times;Serif" w:hAnsi="Times New Roman;Times;Serif"/>
                <w:b w:val="false"/>
                <w:i w:val="false"/>
                <w:caps w:val="false"/>
                <w:smallCaps w:val="false"/>
                <w:color w:val="FFFFFF"/>
                <w:sz w:val="16"/>
              </w:rPr>
              <w:t> </w:t>
            </w:r>
          </w:p>
          <w:p>
            <w:pPr>
              <w:pStyle w:val="TableContents"/>
              <w:bidi w:val="0"/>
              <w:spacing w:before="0" w:after="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QoQ                   YoY</w:t>
            </w:r>
            <w:r>
              <w:rPr>
                <w:rFonts w:ascii="Times New Roman;Times;Serif" w:hAnsi="Times New Roman;Times;Serif"/>
                <w:b w:val="false"/>
                <w:i w:val="false"/>
                <w:caps w:val="false"/>
                <w:smallCaps w:val="false"/>
                <w:color w:val="FFFFFF"/>
                <w:sz w:val="16"/>
              </w:rPr>
              <w:t> </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cash equivalents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141,342</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321,003</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103,664</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-67.7%</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-26.7%</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At fair value through profit or loss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n.a.</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n.a.</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through other comprehensive income investments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109,057</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102,795</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102,521</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-0.3%</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-6.0%</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 subsidiaries and associates investments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38,318,421</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43,803,642</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42,353,237</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-3.3%</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10.5%</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Investments at amortized cost</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n.a.</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n.a.</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assets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9,359</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269,011</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10,304</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-96.2%</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10.1%</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Assets</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38,578,179</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44,496,451</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42,569,726</w:t>
            </w:r>
          </w:p>
        </w:tc>
        <w:tc>
          <w:tcPr>
            <w:tcW w:w="79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-4.3%</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10.3%</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 AND NET SHAREHOLDERS’ EQUITY</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625" w:type="dxa"/>
            <w:gridSpan w:val="2"/>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Due to banks, correspondents and other entities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n.a.</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n.a.</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Bonds and notes issued</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n.a.</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n.a.</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liabilities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150,294</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342,671</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206,504</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-39.7%</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37.4%</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Liabilities</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150,294</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342,671</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206,504</w:t>
            </w:r>
          </w:p>
        </w:tc>
        <w:tc>
          <w:tcPr>
            <w:tcW w:w="79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-39.7%</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37.4%</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EQUITY</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stock</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1,318,993</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1,318,993</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1,318,993</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0.0%</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0.0%</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Surplus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384,542</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384,542</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384,542</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0.0%</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0.0%</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Reserve</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28,465,226</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35,324,402</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30,611,123</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-13.3%</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7.5%</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Unrealized results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(323,985)</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(55,555)</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101,416</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n.a.</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n.a.</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Retained earnings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8,583,109</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7,181,398</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9,947,148</w:t>
            </w:r>
          </w:p>
        </w:tc>
        <w:tc>
          <w:tcPr>
            <w:tcW w:w="79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38.5%</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15.9%</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net equity</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38,427,885</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44,153,780</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42,363,222</w:t>
            </w:r>
          </w:p>
        </w:tc>
        <w:tc>
          <w:tcPr>
            <w:tcW w:w="79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-4.1%</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10.2%</w:t>
            </w:r>
          </w:p>
        </w:tc>
      </w:tr>
      <w:tr>
        <w:trPr/>
        <w:tc>
          <w:tcPr>
            <w:tcW w:w="4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42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Liabilities And Equity</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38,578,179</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44,496,451</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42,569,726</w:t>
            </w:r>
          </w:p>
        </w:tc>
        <w:tc>
          <w:tcPr>
            <w:tcW w:w="797"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-4.3%</w:t>
            </w:r>
          </w:p>
        </w:tc>
        <w:tc>
          <w:tcPr>
            <w:tcW w:w="8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10.3%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Statement of Income </w:t>
        <w:br/>
        <w:t>(S/ Thousands, IFRS)</w:t>
      </w:r>
    </w:p>
    <w:p>
      <w:pPr>
        <w:pStyle w:val="TextBody"/>
        <w:bidi w:val="0"/>
        <w:spacing w:before="0" w:after="0"/>
        <w:ind w:left="477" w:right="5112" w:hanging="0"/>
        <w:jc w:val="center"/>
        <w:rPr>
          <w:caps w:val="false"/>
          <w:smallCaps w:val="false"/>
        </w:rPr>
      </w:pPr>
      <w:r>
        <w:rPr>
          <w:caps w:val="false"/>
          <w:smallCaps w:val="false"/>
        </w:rPr>
        <w:t> </w:t>
      </w:r>
    </w:p>
    <w:tbl>
      <w:tblPr>
        <w:tblW w:w="10205" w:type="dxa"/>
        <w:jc w:val="left"/>
        <w:tblInd w:w="-10" w:type="dxa"/>
        <w:tblLayout w:type="fixed"/>
        <w:tblCellMar>
          <w:top w:w="28" w:type="dxa"/>
          <w:left w:w="60" w:type="dxa"/>
          <w:bottom w:w="0" w:type="dxa"/>
          <w:right w:w="60" w:type="dxa"/>
        </w:tblCellMar>
      </w:tblPr>
      <w:tblGrid>
        <w:gridCol w:w="4240"/>
        <w:gridCol w:w="740"/>
        <w:gridCol w:w="740"/>
        <w:gridCol w:w="740"/>
        <w:gridCol w:w="595"/>
        <w:gridCol w:w="595"/>
        <w:gridCol w:w="740"/>
        <w:gridCol w:w="740"/>
        <w:gridCol w:w="1075"/>
      </w:tblGrid>
      <w:tr>
        <w:trPr/>
        <w:tc>
          <w:tcPr>
            <w:tcW w:w="424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pPr>
            <w:r>
              <w:rPr/>
              <w:t> </w:t>
            </w:r>
          </w:p>
        </w:tc>
        <w:tc>
          <w:tcPr>
            <w:tcW w:w="222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Quarter</w:t>
            </w:r>
          </w:p>
        </w:tc>
        <w:tc>
          <w:tcPr>
            <w:tcW w:w="119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 change</w:t>
            </w:r>
          </w:p>
        </w:tc>
        <w:tc>
          <w:tcPr>
            <w:tcW w:w="148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Up to</w:t>
            </w:r>
          </w:p>
        </w:tc>
        <w:tc>
          <w:tcPr>
            <w:tcW w:w="1075"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 change</w:t>
            </w:r>
          </w:p>
        </w:tc>
      </w:tr>
      <w:tr>
        <w:trPr/>
        <w:tc>
          <w:tcPr>
            <w:tcW w:w="424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2Q25</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1Q26</w:t>
            </w:r>
          </w:p>
        </w:tc>
        <w:tc>
          <w:tcPr>
            <w:tcW w:w="74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2Q26</w:t>
            </w:r>
          </w:p>
        </w:tc>
        <w:tc>
          <w:tcPr>
            <w:tcW w:w="5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QoQ</w:t>
            </w:r>
          </w:p>
        </w:tc>
        <w:tc>
          <w:tcPr>
            <w:tcW w:w="59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YoY</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Jun 25</w:t>
            </w:r>
          </w:p>
        </w:tc>
        <w:tc>
          <w:tcPr>
            <w:tcW w:w="74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Jun 26</w:t>
            </w:r>
          </w:p>
        </w:tc>
        <w:tc>
          <w:tcPr>
            <w:tcW w:w="107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Jun 26 / Jun 25</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Interest income</w:t>
            </w:r>
          </w:p>
        </w:tc>
        <w:tc>
          <w:tcPr>
            <w:tcW w:w="740" w:type="dxa"/>
            <w:tcBorders>
              <w:left w:val="single" w:sz="8" w:space="0" w:color="000000"/>
            </w:tcBorders>
            <w:shd w:fill="FFFFFF" w:val="clear"/>
            <w:tcMar>
              <w:top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Net share of the income from investments in subsidiaries and associates</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sz w:val="16"/>
              </w:rPr>
            </w:pPr>
            <w:r>
              <w:rPr>
                <w:sz w:val="16"/>
              </w:rPr>
              <w:t>2,490,224</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2,158,931</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2,848,937</w:t>
            </w:r>
          </w:p>
        </w:tc>
        <w:tc>
          <w:tcPr>
            <w:tcW w:w="59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32.0%</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14.4%</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4,150,692</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5,007,868</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20.7%</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Interest and similar income</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sz w:val="16"/>
              </w:rPr>
            </w:pPr>
            <w:r>
              <w:rPr>
                <w:sz w:val="16"/>
              </w:rPr>
              <w:t>19,281</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787</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4,403</w:t>
            </w:r>
          </w:p>
        </w:tc>
        <w:tc>
          <w:tcPr>
            <w:tcW w:w="59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n.a.</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-77.2%</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40,593</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5,190</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-87.2%</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Net gain on financial assets at fair value through profit or loss </w:t>
            </w:r>
          </w:p>
        </w:tc>
        <w:tc>
          <w:tcPr>
            <w:tcW w:w="740"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6"/>
              </w:rPr>
            </w:pPr>
            <w:r>
              <w:rPr>
                <w:sz w:val="16"/>
              </w:rPr>
              <w:t>-   </w:t>
            </w:r>
          </w:p>
        </w:tc>
        <w:tc>
          <w:tcPr>
            <w:tcW w:w="740"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   </w:t>
            </w:r>
          </w:p>
        </w:tc>
        <w:tc>
          <w:tcPr>
            <w:tcW w:w="74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   </w:t>
            </w:r>
          </w:p>
        </w:tc>
        <w:tc>
          <w:tcPr>
            <w:tcW w:w="59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n.a.</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n.a.</w:t>
            </w:r>
          </w:p>
        </w:tc>
        <w:tc>
          <w:tcPr>
            <w:tcW w:w="740"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   </w:t>
            </w:r>
          </w:p>
        </w:tc>
        <w:tc>
          <w:tcPr>
            <w:tcW w:w="74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   </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n.a.</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Total income</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b/>
                <w:sz w:val="16"/>
              </w:rPr>
            </w:pPr>
            <w:r>
              <w:rPr>
                <w:b/>
                <w:sz w:val="16"/>
              </w:rPr>
              <w:t>2,509,505</w:t>
            </w:r>
          </w:p>
        </w:tc>
        <w:tc>
          <w:tcPr>
            <w:tcW w:w="740" w:type="dxa"/>
            <w:tcBorders/>
            <w:tcMar>
              <w:top w:w="0" w:type="dxa"/>
              <w:left w:w="0" w:type="dxa"/>
              <w:right w:w="0" w:type="dxa"/>
            </w:tcMar>
            <w:vAlign w:val="center"/>
          </w:tcPr>
          <w:p>
            <w:pPr>
              <w:pStyle w:val="TableContents"/>
              <w:bidi w:val="0"/>
              <w:spacing w:before="0" w:after="283"/>
              <w:jc w:val="center"/>
              <w:rPr>
                <w:b/>
                <w:sz w:val="16"/>
              </w:rPr>
            </w:pPr>
            <w:r>
              <w:rPr>
                <w:b/>
                <w:sz w:val="16"/>
              </w:rPr>
              <w:t>2,159,718</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2,853,340</w:t>
            </w:r>
          </w:p>
        </w:tc>
        <w:tc>
          <w:tcPr>
            <w:tcW w:w="59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32.1%</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13.7%</w:t>
            </w:r>
          </w:p>
        </w:tc>
        <w:tc>
          <w:tcPr>
            <w:tcW w:w="740" w:type="dxa"/>
            <w:tcBorders/>
            <w:tcMar>
              <w:top w:w="0" w:type="dxa"/>
              <w:left w:w="0" w:type="dxa"/>
              <w:right w:w="0" w:type="dxa"/>
            </w:tcMar>
            <w:vAlign w:val="center"/>
          </w:tcPr>
          <w:p>
            <w:pPr>
              <w:pStyle w:val="TableContents"/>
              <w:bidi w:val="0"/>
              <w:spacing w:before="0" w:after="283"/>
              <w:jc w:val="center"/>
              <w:rPr>
                <w:b/>
                <w:sz w:val="16"/>
              </w:rPr>
            </w:pPr>
            <w:r>
              <w:rPr>
                <w:b/>
                <w:sz w:val="16"/>
              </w:rPr>
              <w:t>4,191,285</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5,013,058</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19.6%</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pPr>
            <w:r>
              <w:rPr/>
              <w:t> </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pPr>
            <w:r>
              <w:rPr/>
              <w:t> </w:t>
            </w:r>
          </w:p>
        </w:tc>
        <w:tc>
          <w:tcPr>
            <w:tcW w:w="740" w:type="dxa"/>
            <w:tcBorders/>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740" w:type="dxa"/>
            <w:tcBorders/>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Interest and similar expense</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sz w:val="16"/>
              </w:rPr>
            </w:pPr>
            <w:r>
              <w:rPr>
                <w:sz w:val="16"/>
              </w:rPr>
              <w:t>(11,387)</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0</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0</w:t>
            </w:r>
          </w:p>
        </w:tc>
        <w:tc>
          <w:tcPr>
            <w:tcW w:w="59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-100.0%</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-100.0%</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(24,516)</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0</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-100.0%</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Administrative and general expenses</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sz w:val="16"/>
              </w:rPr>
            </w:pPr>
            <w:r>
              <w:rPr>
                <w:sz w:val="16"/>
              </w:rPr>
              <w:t>(5,321)</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(3,842)</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(7,404)</w:t>
            </w:r>
          </w:p>
        </w:tc>
        <w:tc>
          <w:tcPr>
            <w:tcW w:w="59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92.7%</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39.1%</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(10,279)</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(11,246)</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9.4%</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Total expenses</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b/>
                <w:sz w:val="16"/>
              </w:rPr>
            </w:pPr>
            <w:r>
              <w:rPr>
                <w:b/>
                <w:sz w:val="16"/>
              </w:rPr>
              <w:t>(16,708)</w:t>
            </w:r>
          </w:p>
        </w:tc>
        <w:tc>
          <w:tcPr>
            <w:tcW w:w="740" w:type="dxa"/>
            <w:tcBorders/>
            <w:tcMar>
              <w:top w:w="0" w:type="dxa"/>
              <w:left w:w="0" w:type="dxa"/>
              <w:right w:w="0" w:type="dxa"/>
            </w:tcMar>
            <w:vAlign w:val="center"/>
          </w:tcPr>
          <w:p>
            <w:pPr>
              <w:pStyle w:val="TableContents"/>
              <w:bidi w:val="0"/>
              <w:spacing w:before="0" w:after="283"/>
              <w:jc w:val="center"/>
              <w:rPr>
                <w:b/>
                <w:sz w:val="16"/>
              </w:rPr>
            </w:pPr>
            <w:r>
              <w:rPr>
                <w:b/>
                <w:sz w:val="16"/>
              </w:rPr>
              <w:t>(3,842)</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(7,404)</w:t>
            </w:r>
          </w:p>
        </w:tc>
        <w:tc>
          <w:tcPr>
            <w:tcW w:w="59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92.7%</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-55.7%</w:t>
            </w:r>
          </w:p>
        </w:tc>
        <w:tc>
          <w:tcPr>
            <w:tcW w:w="740" w:type="dxa"/>
            <w:tcBorders/>
            <w:tcMar>
              <w:top w:w="0" w:type="dxa"/>
              <w:left w:w="0" w:type="dxa"/>
              <w:right w:w="0" w:type="dxa"/>
            </w:tcMar>
            <w:vAlign w:val="center"/>
          </w:tcPr>
          <w:p>
            <w:pPr>
              <w:pStyle w:val="TableContents"/>
              <w:bidi w:val="0"/>
              <w:spacing w:before="0" w:after="283"/>
              <w:jc w:val="center"/>
              <w:rPr>
                <w:b/>
                <w:sz w:val="16"/>
              </w:rPr>
            </w:pPr>
            <w:r>
              <w:rPr>
                <w:b/>
                <w:sz w:val="16"/>
              </w:rPr>
              <w:t>(34,795)</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(11,246)</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-67.7%</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pPr>
            <w:r>
              <w:rPr/>
              <w:t> </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pPr>
            <w:r>
              <w:rPr/>
              <w:t> </w:t>
            </w:r>
          </w:p>
        </w:tc>
        <w:tc>
          <w:tcPr>
            <w:tcW w:w="740" w:type="dxa"/>
            <w:tcBorders/>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740" w:type="dxa"/>
            <w:tcBorders/>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Operating income</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b/>
                <w:sz w:val="16"/>
              </w:rPr>
            </w:pPr>
            <w:r>
              <w:rPr>
                <w:b/>
                <w:sz w:val="16"/>
              </w:rPr>
              <w:t>2,492,797</w:t>
            </w:r>
          </w:p>
        </w:tc>
        <w:tc>
          <w:tcPr>
            <w:tcW w:w="740" w:type="dxa"/>
            <w:tcBorders/>
            <w:tcMar>
              <w:top w:w="0" w:type="dxa"/>
              <w:left w:w="0" w:type="dxa"/>
              <w:right w:w="0" w:type="dxa"/>
            </w:tcMar>
            <w:vAlign w:val="center"/>
          </w:tcPr>
          <w:p>
            <w:pPr>
              <w:pStyle w:val="TableContents"/>
              <w:bidi w:val="0"/>
              <w:spacing w:before="0" w:after="283"/>
              <w:jc w:val="center"/>
              <w:rPr>
                <w:b/>
                <w:sz w:val="16"/>
              </w:rPr>
            </w:pPr>
            <w:r>
              <w:rPr>
                <w:b/>
                <w:sz w:val="16"/>
              </w:rPr>
              <w:t>2,155,876</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2,845,936</w:t>
            </w:r>
          </w:p>
        </w:tc>
        <w:tc>
          <w:tcPr>
            <w:tcW w:w="59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32.0%</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14.2%</w:t>
            </w:r>
          </w:p>
        </w:tc>
        <w:tc>
          <w:tcPr>
            <w:tcW w:w="740" w:type="dxa"/>
            <w:tcBorders/>
            <w:tcMar>
              <w:top w:w="0" w:type="dxa"/>
              <w:left w:w="0" w:type="dxa"/>
              <w:right w:w="0" w:type="dxa"/>
            </w:tcMar>
            <w:vAlign w:val="center"/>
          </w:tcPr>
          <w:p>
            <w:pPr>
              <w:pStyle w:val="TableContents"/>
              <w:bidi w:val="0"/>
              <w:spacing w:before="0" w:after="283"/>
              <w:jc w:val="center"/>
              <w:rPr>
                <w:b/>
                <w:sz w:val="16"/>
              </w:rPr>
            </w:pPr>
            <w:r>
              <w:rPr>
                <w:b/>
                <w:sz w:val="16"/>
              </w:rPr>
              <w:t>4,156,490</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5,001,812</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20.3%</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pPr>
            <w:r>
              <w:rPr/>
              <w:t> </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pPr>
            <w:r>
              <w:rPr/>
              <w:t> </w:t>
            </w:r>
          </w:p>
        </w:tc>
        <w:tc>
          <w:tcPr>
            <w:tcW w:w="740" w:type="dxa"/>
            <w:tcBorders/>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740" w:type="dxa"/>
            <w:tcBorders/>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240" w:type="dxa"/>
            <w:tcBorders>
              <w:left w:val="single" w:sz="8" w:space="0" w:color="000000"/>
            </w:tcBorders>
            <w:tcMar>
              <w:top w:w="0" w:type="dxa"/>
              <w:right w:w="0" w:type="dxa"/>
            </w:tcMar>
            <w:vAlign w:val="center"/>
          </w:tcPr>
          <w:p>
            <w:pPr>
              <w:pStyle w:val="TableContents"/>
              <w:bidi w:val="0"/>
              <w:spacing w:before="0" w:after="283"/>
              <w:jc w:val="left"/>
              <w:rPr>
                <w:sz w:val="16"/>
              </w:rPr>
            </w:pPr>
            <w:r>
              <w:rPr>
                <w:sz w:val="16"/>
              </w:rPr>
              <w:t>Results from exchange differences</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sz w:val="16"/>
              </w:rPr>
            </w:pPr>
            <w:r>
              <w:rPr>
                <w:sz w:val="16"/>
              </w:rPr>
              <w:t>(3,468)</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368</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(3,868)</w:t>
            </w:r>
          </w:p>
        </w:tc>
        <w:tc>
          <w:tcPr>
            <w:tcW w:w="59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n.a.</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11.5%</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(3,403)</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(3,500)</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2.9%</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Other, net</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sz w:val="16"/>
              </w:rPr>
            </w:pPr>
            <w:r>
              <w:rPr>
                <w:sz w:val="16"/>
              </w:rPr>
              <w:t>(11)</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(458)</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(9)</w:t>
            </w:r>
          </w:p>
        </w:tc>
        <w:tc>
          <w:tcPr>
            <w:tcW w:w="59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-98.0%</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-18.2%</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(306)</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(467)</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52.6%</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pPr>
            <w:r>
              <w:rPr/>
              <w:t> </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pPr>
            <w:r>
              <w:rPr/>
              <w:t> </w:t>
            </w:r>
          </w:p>
        </w:tc>
        <w:tc>
          <w:tcPr>
            <w:tcW w:w="740" w:type="dxa"/>
            <w:tcBorders/>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740" w:type="dxa"/>
            <w:tcBorders/>
            <w:tcMar>
              <w:top w:w="0" w:type="dxa"/>
              <w:left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Profit before income tax</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b/>
                <w:sz w:val="16"/>
              </w:rPr>
            </w:pPr>
            <w:r>
              <w:rPr>
                <w:b/>
                <w:sz w:val="16"/>
              </w:rPr>
              <w:t>2,489,318</w:t>
            </w:r>
          </w:p>
        </w:tc>
        <w:tc>
          <w:tcPr>
            <w:tcW w:w="740" w:type="dxa"/>
            <w:tcBorders/>
            <w:tcMar>
              <w:top w:w="0" w:type="dxa"/>
              <w:left w:w="0" w:type="dxa"/>
              <w:right w:w="0" w:type="dxa"/>
            </w:tcMar>
            <w:vAlign w:val="center"/>
          </w:tcPr>
          <w:p>
            <w:pPr>
              <w:pStyle w:val="TableContents"/>
              <w:bidi w:val="0"/>
              <w:spacing w:before="0" w:after="283"/>
              <w:jc w:val="center"/>
              <w:rPr>
                <w:b/>
                <w:sz w:val="16"/>
              </w:rPr>
            </w:pPr>
            <w:r>
              <w:rPr>
                <w:b/>
                <w:sz w:val="16"/>
              </w:rPr>
              <w:t>2,155,786</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2,842,059</w:t>
            </w:r>
          </w:p>
        </w:tc>
        <w:tc>
          <w:tcPr>
            <w:tcW w:w="59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31.8%</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14.2%</w:t>
            </w:r>
          </w:p>
        </w:tc>
        <w:tc>
          <w:tcPr>
            <w:tcW w:w="740" w:type="dxa"/>
            <w:tcBorders/>
            <w:tcMar>
              <w:top w:w="0" w:type="dxa"/>
              <w:left w:w="0" w:type="dxa"/>
              <w:right w:w="0" w:type="dxa"/>
            </w:tcMar>
            <w:vAlign w:val="center"/>
          </w:tcPr>
          <w:p>
            <w:pPr>
              <w:pStyle w:val="TableContents"/>
              <w:bidi w:val="0"/>
              <w:spacing w:before="0" w:after="283"/>
              <w:jc w:val="center"/>
              <w:rPr>
                <w:b/>
                <w:sz w:val="16"/>
              </w:rPr>
            </w:pPr>
            <w:r>
              <w:rPr>
                <w:b/>
                <w:sz w:val="16"/>
              </w:rPr>
              <w:t>4,152,781</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b/>
                <w:sz w:val="16"/>
              </w:rPr>
            </w:pPr>
            <w:r>
              <w:rPr>
                <w:b/>
                <w:sz w:val="16"/>
              </w:rPr>
              <w:t>4,997,845</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20.3%</w:t>
            </w:r>
          </w:p>
        </w:tc>
      </w:tr>
      <w:tr>
        <w:trPr/>
        <w:tc>
          <w:tcPr>
            <w:tcW w:w="424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Income tax</w:t>
            </w:r>
          </w:p>
        </w:tc>
        <w:tc>
          <w:tcPr>
            <w:tcW w:w="740" w:type="dxa"/>
            <w:tcBorders>
              <w:left w:val="single" w:sz="8" w:space="0" w:color="000000"/>
            </w:tcBorders>
            <w:tcMar>
              <w:top w:w="0" w:type="dxa"/>
              <w:right w:w="0" w:type="dxa"/>
            </w:tcMar>
            <w:vAlign w:val="center"/>
          </w:tcPr>
          <w:p>
            <w:pPr>
              <w:pStyle w:val="TableContents"/>
              <w:bidi w:val="0"/>
              <w:spacing w:before="0" w:after="283"/>
              <w:jc w:val="center"/>
              <w:rPr>
                <w:sz w:val="16"/>
              </w:rPr>
            </w:pPr>
            <w:r>
              <w:rPr>
                <w:sz w:val="16"/>
              </w:rPr>
              <w:t>(52,310)</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(66,365)</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(74,722)</w:t>
            </w:r>
          </w:p>
        </w:tc>
        <w:tc>
          <w:tcPr>
            <w:tcW w:w="59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12.6%</w:t>
            </w:r>
          </w:p>
        </w:tc>
        <w:tc>
          <w:tcPr>
            <w:tcW w:w="59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42.8%</w:t>
            </w:r>
          </w:p>
        </w:tc>
        <w:tc>
          <w:tcPr>
            <w:tcW w:w="740" w:type="dxa"/>
            <w:tcBorders/>
            <w:tcMar>
              <w:top w:w="0" w:type="dxa"/>
              <w:left w:w="0" w:type="dxa"/>
              <w:right w:w="0" w:type="dxa"/>
            </w:tcMar>
            <w:vAlign w:val="center"/>
          </w:tcPr>
          <w:p>
            <w:pPr>
              <w:pStyle w:val="TableContents"/>
              <w:bidi w:val="0"/>
              <w:spacing w:before="0" w:after="283"/>
              <w:jc w:val="center"/>
              <w:rPr>
                <w:sz w:val="16"/>
              </w:rPr>
            </w:pPr>
            <w:r>
              <w:rPr>
                <w:sz w:val="16"/>
              </w:rPr>
              <w:t>(97,381)</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(141,087)</w:t>
            </w:r>
          </w:p>
        </w:tc>
        <w:tc>
          <w:tcPr>
            <w:tcW w:w="107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44.9%</w:t>
            </w:r>
          </w:p>
        </w:tc>
      </w:tr>
      <w:tr>
        <w:trPr/>
        <w:tc>
          <w:tcPr>
            <w:tcW w:w="4240"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left"/>
              <w:rPr>
                <w:b/>
                <w:sz w:val="16"/>
              </w:rPr>
            </w:pPr>
            <w:r>
              <w:rPr>
                <w:b/>
                <w:sz w:val="16"/>
              </w:rPr>
              <w:t>Net income</w:t>
            </w:r>
          </w:p>
        </w:tc>
        <w:tc>
          <w:tcPr>
            <w:tcW w:w="740"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b/>
                <w:sz w:val="16"/>
              </w:rPr>
            </w:pPr>
            <w:r>
              <w:rPr>
                <w:b/>
                <w:sz w:val="16"/>
              </w:rPr>
              <w:t>2,437,008</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2,089,421</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2,767,337</w:t>
            </w:r>
          </w:p>
        </w:tc>
        <w:tc>
          <w:tcPr>
            <w:tcW w:w="595"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b/>
                <w:sz w:val="16"/>
              </w:rPr>
            </w:pPr>
            <w:r>
              <w:rPr>
                <w:b/>
                <w:sz w:val="16"/>
              </w:rPr>
              <w:t>32.4%</w:t>
            </w:r>
          </w:p>
        </w:tc>
        <w:tc>
          <w:tcPr>
            <w:tcW w:w="59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6"/>
              </w:rPr>
            </w:pPr>
            <w:r>
              <w:rPr>
                <w:b/>
                <w:sz w:val="16"/>
              </w:rPr>
              <w:t>13.6%</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16"/>
              </w:rPr>
            </w:pPr>
            <w:r>
              <w:rPr>
                <w:b/>
                <w:sz w:val="16"/>
              </w:rPr>
              <w:t>4,055,400</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4,856,758</w:t>
            </w:r>
          </w:p>
        </w:tc>
        <w:tc>
          <w:tcPr>
            <w:tcW w:w="107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6"/>
              </w:rPr>
            </w:pPr>
            <w:r>
              <w:rPr>
                <w:b/>
                <w:sz w:val="16"/>
              </w:rPr>
              <w:t>19.8%</w:t>
            </w:r>
          </w:p>
        </w:tc>
      </w:tr>
    </w:tbl>
    <w:p>
      <w:pPr>
        <w:pStyle w:val="TextBody"/>
        <w:bidi w:val="0"/>
        <w:ind w:left="477" w:right="5112" w:hanging="0"/>
        <w:jc w:val="left"/>
        <w:rPr>
          <w:caps w:val="false"/>
          <w:smallCaps w:val="false"/>
        </w:rPr>
      </w:pPr>
      <w:r>
        <w:rPr>
          <w:caps w:val="false"/>
          <w:smallCaps w:val="false"/>
        </w:rPr>
        <w:t> </w:t>
      </w:r>
    </w:p>
    <w:tbl>
      <w:tblPr>
        <w:tblW w:w="6750" w:type="dxa"/>
        <w:jc w:val="left"/>
        <w:tblInd w:w="-10" w:type="dxa"/>
        <w:tblLayout w:type="fixed"/>
        <w:tblCellMar>
          <w:top w:w="28" w:type="dxa"/>
          <w:left w:w="60" w:type="dxa"/>
          <w:bottom w:w="28" w:type="dxa"/>
          <w:right w:w="60" w:type="dxa"/>
        </w:tblCellMar>
      </w:tblPr>
      <w:tblGrid>
        <w:gridCol w:w="1985"/>
        <w:gridCol w:w="575"/>
        <w:gridCol w:w="575"/>
        <w:gridCol w:w="680"/>
        <w:gridCol w:w="560"/>
        <w:gridCol w:w="560"/>
        <w:gridCol w:w="575"/>
        <w:gridCol w:w="680"/>
        <w:gridCol w:w="560"/>
      </w:tblGrid>
      <w:tr>
        <w:trPr/>
        <w:tc>
          <w:tcPr>
            <w:tcW w:w="19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Double Leverage Ratio</w:t>
            </w:r>
          </w:p>
        </w:tc>
        <w:tc>
          <w:tcPr>
            <w:tcW w:w="5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99.7%</w:t>
            </w:r>
          </w:p>
        </w:tc>
        <w:tc>
          <w:tcPr>
            <w:tcW w:w="5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99.2%</w:t>
            </w:r>
          </w:p>
        </w:tc>
        <w:tc>
          <w:tcPr>
            <w:tcW w:w="6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100.0%</w:t>
            </w:r>
          </w:p>
        </w:tc>
        <w:tc>
          <w:tcPr>
            <w:tcW w:w="5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 bps</w:t>
            </w:r>
          </w:p>
        </w:tc>
        <w:tc>
          <w:tcPr>
            <w:tcW w:w="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26 bps</w:t>
            </w:r>
          </w:p>
        </w:tc>
        <w:tc>
          <w:tcPr>
            <w:tcW w:w="5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99.7%</w:t>
            </w:r>
          </w:p>
        </w:tc>
        <w:tc>
          <w:tcPr>
            <w:tcW w:w="6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100.0%</w:t>
            </w:r>
          </w:p>
        </w:tc>
        <w:tc>
          <w:tcPr>
            <w:tcW w:w="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26 bps</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628650"/>
            <wp:effectExtent l="0" t="0" r="0" b="0"/>
            <wp:docPr id="20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68" descr=""/>
                    <pic:cNvPicPr>
                      <a:picLocks noChangeAspect="1" noChangeArrowheads="1"/>
                    </pic:cNvPicPr>
                  </pic:nvPicPr>
                  <pic:blipFill>
                    <a:blip r:embed="rId184"/>
                    <a:stretch>
                      <a:fillRect/>
                    </a:stretch>
                  </pic:blipFill>
                  <pic:spPr bwMode="auto">
                    <a:xfrm>
                      <a:off x="0" y="0"/>
                      <a:ext cx="7620000" cy="6286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0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69" descr=""/>
                          <pic:cNvPicPr>
                            <a:picLocks noChangeAspect="1" noChangeArrowheads="1"/>
                          </pic:cNvPicPr>
                        </pic:nvPicPr>
                        <pic:blipFill>
                          <a:blip r:embed="rId185"/>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12.7.3 BCP Consolidated</w:t>
      </w:r>
    </w:p>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Consolidated Statement of Financial Position</w:t>
      </w:r>
      <w:r>
        <w:rPr>
          <w:rFonts w:ascii="Times New Roman;Times;Serif" w:hAnsi="Times New Roman;Times;Serif"/>
          <w:b w:val="false"/>
          <w:i w:val="false"/>
          <w:caps w:val="false"/>
          <w:smallCaps w:val="false"/>
          <w:sz w:val="18"/>
        </w:rPr>
        <w:br/>
      </w:r>
      <w:r>
        <w:rPr>
          <w:rFonts w:ascii="Times New Roman;Times;Serif" w:hAnsi="Times New Roman;Times;Serif"/>
          <w:b/>
          <w:i w:val="false"/>
          <w:caps w:val="false"/>
          <w:smallCaps w:val="false"/>
          <w:sz w:val="18"/>
        </w:rPr>
        <w:t>(S/ Thousands, IFRS)</w:t>
      </w:r>
      <w:r>
        <w:rPr>
          <w:rFonts w:ascii="Times New Roman;Times;Serif" w:hAnsi="Times New Roman;Times;Serif"/>
          <w:b w:val="false"/>
          <w:i w:val="false"/>
          <w:caps w:val="false"/>
          <w:smallCaps w:val="false"/>
          <w:sz w:val="18"/>
        </w:rPr>
        <w:t> </w:t>
      </w:r>
    </w:p>
    <w:p>
      <w:pPr>
        <w:pStyle w:val="TextBody"/>
        <w:bidi w:val="0"/>
        <w:spacing w:before="0" w:after="0"/>
        <w:jc w:val="center"/>
        <w:rPr>
          <w:caps w:val="false"/>
          <w:smallCaps w:val="false"/>
        </w:rPr>
      </w:pPr>
      <w:r>
        <w:rPr>
          <w:caps w:val="false"/>
          <w:smallCaps w:val="false"/>
        </w:rPr>
        <w:t> </w:t>
      </w:r>
    </w:p>
    <w:tbl>
      <w:tblPr>
        <w:tblW w:w="9489" w:type="dxa"/>
        <w:jc w:val="left"/>
        <w:tblInd w:w="-10" w:type="dxa"/>
        <w:tblLayout w:type="fixed"/>
        <w:tblCellMar>
          <w:top w:w="28" w:type="dxa"/>
          <w:left w:w="60" w:type="dxa"/>
          <w:bottom w:w="28" w:type="dxa"/>
          <w:right w:w="60" w:type="dxa"/>
        </w:tblCellMar>
      </w:tblPr>
      <w:tblGrid>
        <w:gridCol w:w="5285"/>
        <w:gridCol w:w="920"/>
        <w:gridCol w:w="920"/>
        <w:gridCol w:w="920"/>
        <w:gridCol w:w="732"/>
        <w:gridCol w:w="712"/>
      </w:tblGrid>
      <w:tr>
        <w:trPr/>
        <w:tc>
          <w:tcPr>
            <w:tcW w:w="528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92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15" w:right="4"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 </w:t>
            </w:r>
          </w:p>
        </w:tc>
        <w:tc>
          <w:tcPr>
            <w:tcW w:w="92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26" w:right="1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As of </w:t>
            </w:r>
          </w:p>
          <w:p>
            <w:pPr>
              <w:pStyle w:val="TableContents"/>
              <w:bidi w:val="0"/>
              <w:spacing w:before="0" w:after="0"/>
              <w:ind w:left="26"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Mar 25 </w:t>
            </w:r>
          </w:p>
        </w:tc>
        <w:tc>
          <w:tcPr>
            <w:tcW w:w="92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63"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w:t>
            </w:r>
          </w:p>
        </w:tc>
        <w:tc>
          <w:tcPr>
            <w:tcW w:w="1444"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8"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 </w:t>
            </w:r>
          </w:p>
          <w:p>
            <w:pPr>
              <w:pStyle w:val="TableContents"/>
              <w:bidi w:val="0"/>
              <w:spacing w:before="0" w:after="0"/>
              <w:ind w:left="43"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ASSETS</w:t>
            </w:r>
          </w:p>
        </w:tc>
        <w:tc>
          <w:tcPr>
            <w:tcW w:w="92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Cash and due from banks</w:t>
            </w:r>
          </w:p>
        </w:tc>
        <w:tc>
          <w:tcPr>
            <w:tcW w:w="92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Non-interest bearing</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5,990,377</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5,716,550</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6,333,246</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10.8%</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5.7%</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Interest bearing</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32,653,406</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40,573,684</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38,532,091</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18.0%</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Total cash and due from banks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38,643,783</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46,290,234</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44,865,337</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-3.1%</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16.1%</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Cash collateral, reverse repurchase agreements and securities borrowing</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574,653</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877,929</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688,747</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-21.5%</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19.9%</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Fair value through profit or loss investments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617,368</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551,864</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671,728</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21.7%</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8.8%</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Fair value through other comprehensive income investments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21,881,734</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27,197,340</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25,698,691</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-5.5%</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17.4%</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Amortized cost investments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8,262,941</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8,090,030</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8,415,578</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1.8%</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Loans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133,011,844</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141,129,333</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148,016,682</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4.9%</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11.3%</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Current</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128,218,187</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136,977,465</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143,838,433</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12.2%</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Internal overdue loans</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4,793,657</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4,151,868</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4,178,249</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0.6%</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-12.8%</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Less - allowance for loan losses</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(7,310,931)</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(6,944,235)</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(7,099,026)</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2.2%</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-2.9%</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Loans, net</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125,700,913</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134,185,098</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140,917,656</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12.1%</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Property, furniture and equipment, net (1)</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1,604,393</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1,516,211</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1,523,338</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0.5%</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-5.1%</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Due from customers on acceptances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559,370</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608,592</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581,699</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-4.4%</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4.0%</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Investments in associates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22,452</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33,218</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34,128</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2.7%</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52.0%</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b/>
                <w:sz w:val="16"/>
              </w:rPr>
            </w:pPr>
            <w:r>
              <w:rPr>
                <w:b/>
                <w:sz w:val="16"/>
              </w:rPr>
              <w:t>Other assets (2)</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7,431,802</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9,857,231</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10,389,466</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5.4%</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39.8%</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sz w:val="16"/>
              </w:rPr>
            </w:pPr>
            <w:r>
              <w:rPr>
                <w:b/>
                <w:sz w:val="16"/>
              </w:rPr>
              <w:t>Total Assets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205,299,409</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229,207,747</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233,786,368</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13.9%</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Liabilities and Equity</w:t>
            </w:r>
          </w:p>
        </w:tc>
        <w:tc>
          <w:tcPr>
            <w:tcW w:w="92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Deposits and obligations</w:t>
            </w:r>
          </w:p>
        </w:tc>
        <w:tc>
          <w:tcPr>
            <w:tcW w:w="92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32"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Non-interest bearing</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44,615,769</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53,556,252</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55,615,167</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3.8%</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24.7%</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Interest bearing</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102,043,442</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112,129,605</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114,559,259</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2.2%</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12.3%</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Total deposits and obligations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146,659,211</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165,685,857</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170,174,426</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2.7%</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16.0%</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Payables from repurchase agreements and securities lending</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5,968,190</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3,495,042</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5,734,750</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64.1%</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-3.9%</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BCRP instruments</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5,096,459</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2,338,426</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4,037,936</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72.7%</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-20.8%</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Repurchase agreements with third parties</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871,731</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1,156,616</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1,696,814</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46.7%</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94.6%</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Due to banks and correspondents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10,402,291</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9,195,995</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10,864,183</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18.1%</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4.4%</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Bonds and notes issued</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10,170,286</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12,162,209</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12,082,162</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-0.7%</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18.8%</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Banker’s acceptances outstanding</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559,370</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608,592</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581,699</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-4.4%</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4.0%</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Financial liabilities at fair value through profit or loss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387,867</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784,502</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604,407</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-23.0%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55.8%</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b/>
                <w:sz w:val="16"/>
              </w:rPr>
            </w:pPr>
            <w:r>
              <w:rPr>
                <w:b/>
                <w:sz w:val="16"/>
              </w:rPr>
              <w:t>Other liabilities (3)</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6,224,139</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12,768,058</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7,177,416</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-43.8%</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15.3%</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sz w:val="16"/>
              </w:rPr>
            </w:pPr>
            <w:r>
              <w:rPr>
                <w:b/>
                <w:sz w:val="16"/>
              </w:rPr>
              <w:t>Total Liabilities</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180,371,354</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204,700,255</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207,219,043</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1.2%</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14.9%</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Net equity</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24,790,836</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24,366,155</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26,417,998</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8.4%</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6.6%</w:t>
            </w:r>
          </w:p>
        </w:tc>
      </w:tr>
      <w:tr>
        <w:trPr/>
        <w:tc>
          <w:tcPr>
            <w:tcW w:w="5285"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Capital stock</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12,679,794</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12,679,794</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12,679,794</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0.0%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0.0%</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Reserves</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5,906,590</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5,906,590</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5,907,974</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0.0%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0.0%</w:t>
            </w:r>
          </w:p>
        </w:tc>
      </w:tr>
      <w:tr>
        <w:trPr/>
        <w:tc>
          <w:tcPr>
            <w:tcW w:w="5285"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Unrealized gains and losses</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284,780</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195,628</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435,541</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122.6%</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52.9%</w:t>
            </w:r>
          </w:p>
        </w:tc>
      </w:tr>
      <w:tr>
        <w:trPr/>
        <w:tc>
          <w:tcPr>
            <w:tcW w:w="5285"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Retained earnings</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5,919,672</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5,584,143</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7,394,689</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32.4%</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24.9%</w:t>
            </w:r>
          </w:p>
        </w:tc>
      </w:tr>
      <w:tr>
        <w:trPr/>
        <w:tc>
          <w:tcPr>
            <w:tcW w:w="5285"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Non-controlling interest</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137,219</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141,337</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149,327</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5.7%</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8.8%</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sz w:val="16"/>
              </w:rPr>
            </w:pPr>
            <w:r>
              <w:rPr>
                <w:b/>
                <w:sz w:val="16"/>
              </w:rPr>
              <w:t>Total Net Equity</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24,928,055</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24,507,492</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26,567,325</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8.4%</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6.6%</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Total liabilities and equity</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205,299,409</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229,207,747</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233,786,368</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2.0%</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13.9%</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7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Off-balance sheet</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139,056,539</w:t>
            </w:r>
          </w:p>
        </w:tc>
        <w:tc>
          <w:tcPr>
            <w:tcW w:w="92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147,078,826</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150,106,967</w:t>
            </w:r>
          </w:p>
        </w:tc>
        <w:tc>
          <w:tcPr>
            <w:tcW w:w="732"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2.1%</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7.9%</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Total performance bonds, stand-by and L/Cs.</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20,908,399</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21,519,458</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20,280,743</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-5.8%</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-3.0%</w:t>
            </w:r>
          </w:p>
        </w:tc>
      </w:tr>
      <w:tr>
        <w:trPr/>
        <w:tc>
          <w:tcPr>
            <w:tcW w:w="52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Undrawn credit lines, advised but not committed</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71,484,467</w:t>
            </w:r>
          </w:p>
        </w:tc>
        <w:tc>
          <w:tcPr>
            <w:tcW w:w="92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77,343,334</w:t>
            </w:r>
          </w:p>
        </w:tc>
        <w:tc>
          <w:tcPr>
            <w:tcW w:w="92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78,605,209</w:t>
            </w:r>
          </w:p>
        </w:tc>
        <w:tc>
          <w:tcPr>
            <w:tcW w:w="732"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1.6%</w:t>
            </w:r>
          </w:p>
        </w:tc>
        <w:tc>
          <w:tcPr>
            <w:tcW w:w="712"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10.0%</w:t>
            </w:r>
          </w:p>
        </w:tc>
      </w:tr>
      <w:tr>
        <w:trPr/>
        <w:tc>
          <w:tcPr>
            <w:tcW w:w="52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Total derivatives (notional) and others</w:t>
            </w:r>
          </w:p>
        </w:tc>
        <w:tc>
          <w:tcPr>
            <w:tcW w:w="920" w:type="dxa"/>
            <w:tcBorders>
              <w:bottom w:val="single" w:sz="8" w:space="0" w:color="000000"/>
            </w:tcBorders>
            <w:tcMar>
              <w:top w:w="0" w:type="dxa"/>
              <w:left w:w="0" w:type="dxa"/>
              <w:right w:w="0" w:type="dxa"/>
            </w:tcMar>
            <w:vAlign w:val="center"/>
          </w:tcPr>
          <w:p>
            <w:pPr>
              <w:pStyle w:val="TableContents"/>
              <w:bidi w:val="0"/>
              <w:spacing w:before="0" w:after="283"/>
              <w:jc w:val="center"/>
              <w:rPr>
                <w:sz w:val="16"/>
              </w:rPr>
            </w:pPr>
            <w:r>
              <w:rPr>
                <w:sz w:val="16"/>
              </w:rPr>
              <w:t>46,663,673</w:t>
            </w:r>
          </w:p>
        </w:tc>
        <w:tc>
          <w:tcPr>
            <w:tcW w:w="920" w:type="dxa"/>
            <w:tcBorders>
              <w:bottom w:val="single" w:sz="8" w:space="0" w:color="000000"/>
            </w:tcBorders>
            <w:tcMar>
              <w:top w:w="0" w:type="dxa"/>
              <w:left w:w="0" w:type="dxa"/>
              <w:right w:w="0" w:type="dxa"/>
            </w:tcMar>
            <w:vAlign w:val="center"/>
          </w:tcPr>
          <w:p>
            <w:pPr>
              <w:pStyle w:val="TableContents"/>
              <w:bidi w:val="0"/>
              <w:spacing w:before="0" w:after="283"/>
              <w:jc w:val="center"/>
              <w:rPr>
                <w:sz w:val="16"/>
              </w:rPr>
            </w:pPr>
            <w:r>
              <w:rPr>
                <w:sz w:val="16"/>
              </w:rPr>
              <w:t>48,216,034</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51,221,015</w:t>
            </w:r>
          </w:p>
        </w:tc>
        <w:tc>
          <w:tcPr>
            <w:tcW w:w="732" w:type="dxa"/>
            <w:tcBorders>
              <w:bottom w:val="single" w:sz="8" w:space="0" w:color="000000"/>
            </w:tcBorders>
            <w:tcMar>
              <w:top w:w="0" w:type="dxa"/>
              <w:left w:w="0" w:type="dxa"/>
              <w:right w:w="0" w:type="dxa"/>
            </w:tcMar>
            <w:vAlign w:val="center"/>
          </w:tcPr>
          <w:p>
            <w:pPr>
              <w:pStyle w:val="TableContents"/>
              <w:bidi w:val="0"/>
              <w:spacing w:before="0" w:after="283"/>
              <w:jc w:val="center"/>
              <w:rPr>
                <w:sz w:val="16"/>
              </w:rPr>
            </w:pPr>
            <w:r>
              <w:rPr>
                <w:sz w:val="16"/>
              </w:rPr>
              <w:t>6.2%</w:t>
            </w:r>
          </w:p>
        </w:tc>
        <w:tc>
          <w:tcPr>
            <w:tcW w:w="7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9.8%</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Right of use asset of lease contracts is included by application of IFRS 16. </w:t>
      </w:r>
    </w:p>
    <w:p>
      <w:pPr>
        <w:pStyle w:val="TextBody"/>
        <w:bidi w:val="0"/>
        <w:spacing w:before="0" w:after="0"/>
        <w:ind w:left="108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Mainly includes intangible assets, other receivable accounts, trading derivatives receivable accounts and tax credit. </w:t>
      </w:r>
    </w:p>
    <w:p>
      <w:pPr>
        <w:pStyle w:val="TextBody"/>
        <w:bidi w:val="0"/>
        <w:spacing w:before="0" w:after="0"/>
        <w:ind w:left="108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Mainly includes other payable accounts, trading derivatives payable accounts and taxes for payable.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20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0" descr=""/>
                    <pic:cNvPicPr>
                      <a:picLocks noChangeAspect="1" noChangeArrowheads="1"/>
                    </pic:cNvPicPr>
                  </pic:nvPicPr>
                  <pic:blipFill>
                    <a:blip r:embed="rId186"/>
                    <a:stretch>
                      <a:fillRect/>
                    </a:stretch>
                  </pic:blipFill>
                  <pic:spPr bwMode="auto">
                    <a:xfrm>
                      <a:off x="0" y="0"/>
                      <a:ext cx="7620000" cy="6381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0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1" descr=""/>
                          <pic:cNvPicPr>
                            <a:picLocks noChangeAspect="1" noChangeArrowheads="1"/>
                          </pic:cNvPicPr>
                        </pic:nvPicPr>
                        <pic:blipFill>
                          <a:blip r:embed="rId187"/>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ind w:left="4163" w:right="4589" w:hanging="0"/>
        <w:jc w:val="center"/>
        <w:rPr>
          <w:caps w:val="false"/>
          <w:smallCaps w:val="false"/>
        </w:rPr>
      </w:pPr>
      <w:r>
        <w:rPr>
          <w:caps w:val="false"/>
          <w:smallCaps w:val="false"/>
        </w:rPr>
        <w:t> </w:t>
      </w:r>
    </w:p>
    <w:p>
      <w:pPr>
        <w:pStyle w:val="TextBody"/>
        <w:bidi w:val="0"/>
        <w:spacing w:before="0" w:after="0"/>
        <w:ind w:left="4163" w:right="4589" w:hanging="0"/>
        <w:jc w:val="center"/>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 xml:space="preserve">Consolidated Statement of Income </w:t>
      </w:r>
      <w:r>
        <w:rPr>
          <w:rFonts w:ascii="Times New Roman;Times;Serif" w:hAnsi="Times New Roman;Times;Serif"/>
          <w:b w:val="false"/>
          <w:i w:val="false"/>
          <w:caps w:val="false"/>
          <w:smallCaps w:val="false"/>
          <w:sz w:val="18"/>
        </w:rPr>
        <w:br/>
      </w:r>
      <w:r>
        <w:rPr>
          <w:rFonts w:ascii="Times New Roman;Times;Serif" w:hAnsi="Times New Roman;Times;Serif"/>
          <w:b/>
          <w:i w:val="false"/>
          <w:caps w:val="false"/>
          <w:smallCaps w:val="false"/>
          <w:sz w:val="18"/>
        </w:rPr>
        <w:t>(S/ Thousands, IFRS)</w:t>
      </w:r>
      <w:r>
        <w:rPr>
          <w:rFonts w:ascii="Times New Roman;Times;Serif" w:hAnsi="Times New Roman;Times;Serif"/>
          <w:b w:val="false"/>
          <w:i w:val="false"/>
          <w:caps w:val="false"/>
          <w:smallCaps w:val="false"/>
          <w:sz w:val="18"/>
        </w:rPr>
        <w:t> </w:t>
      </w:r>
    </w:p>
    <w:p>
      <w:pPr>
        <w:pStyle w:val="TextBody"/>
        <w:bidi w:val="0"/>
        <w:spacing w:before="0" w:after="0"/>
        <w:ind w:left="4163" w:right="4589" w:hanging="0"/>
        <w:jc w:val="center"/>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60" w:type="dxa"/>
        </w:tblCellMar>
      </w:tblPr>
      <w:tblGrid>
        <w:gridCol w:w="3948"/>
        <w:gridCol w:w="830"/>
        <w:gridCol w:w="830"/>
        <w:gridCol w:w="830"/>
        <w:gridCol w:w="527"/>
        <w:gridCol w:w="527"/>
        <w:gridCol w:w="833"/>
        <w:gridCol w:w="833"/>
        <w:gridCol w:w="1047"/>
      </w:tblGrid>
      <w:tr>
        <w:trPr/>
        <w:tc>
          <w:tcPr>
            <w:tcW w:w="3948"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14" w:right="0" w:hanging="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2Q25</w:t>
            </w:r>
            <w:r>
              <w:rPr>
                <w:rFonts w:ascii="Times New Roman;Times;Serif" w:hAnsi="Times New Roman;Times;Serif"/>
                <w:b w:val="false"/>
                <w:i w:val="false"/>
                <w:caps w:val="false"/>
                <w:smallCaps w:val="false"/>
                <w:color w:val="FFFFFF"/>
                <w:sz w:val="16"/>
              </w:rPr>
              <w:t> </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190" w:right="0" w:hanging="0"/>
              <w:jc w:val="left"/>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 </w:t>
            </w:r>
          </w:p>
          <w:p>
            <w:pPr>
              <w:pStyle w:val="TableContents"/>
              <w:bidi w:val="0"/>
              <w:spacing w:before="0" w:after="0"/>
              <w:ind w:left="245" w:right="0" w:hanging="0"/>
              <w:jc w:val="left"/>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 </w:t>
            </w:r>
          </w:p>
        </w:tc>
        <w:tc>
          <w:tcPr>
            <w:tcW w:w="83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0" w:right="3"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 </w:t>
            </w:r>
          </w:p>
        </w:tc>
        <w:tc>
          <w:tcPr>
            <w:tcW w:w="1054"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9"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 </w:t>
            </w:r>
          </w:p>
          <w:p>
            <w:pPr>
              <w:pStyle w:val="TableContents"/>
              <w:bidi w:val="0"/>
              <w:spacing w:before="0" w:after="0"/>
              <w:ind w:left="24"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 </w:t>
            </w:r>
          </w:p>
        </w:tc>
        <w:tc>
          <w:tcPr>
            <w:tcW w:w="1666"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53"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Up to </w:t>
            </w:r>
          </w:p>
          <w:p>
            <w:pPr>
              <w:pStyle w:val="TableContents"/>
              <w:bidi w:val="0"/>
              <w:spacing w:before="0" w:after="0"/>
              <w:ind w:left="68"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               Jun 26 </w:t>
            </w:r>
          </w:p>
        </w:tc>
        <w:tc>
          <w:tcPr>
            <w:tcW w:w="1047"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60" w:right="16"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 </w:t>
            </w:r>
          </w:p>
          <w:p>
            <w:pPr>
              <w:pStyle w:val="TableContents"/>
              <w:bidi w:val="0"/>
              <w:spacing w:before="0" w:after="0"/>
              <w:ind w:left="60" w:right="12" w:hanging="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Jun 26 / Jun 25</w:t>
            </w:r>
            <w:r>
              <w:rPr>
                <w:rFonts w:ascii="Times New Roman;Times;Serif" w:hAnsi="Times New Roman;Times;Serif"/>
                <w:b w:val="false"/>
                <w:i w:val="false"/>
                <w:caps w:val="false"/>
                <w:smallCaps w:val="false"/>
                <w:color w:val="FFFFFF"/>
                <w:sz w:val="16"/>
              </w:rPr>
              <w:t> </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Interest income and expense</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Interest and similar income</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4,309,923</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4,494,642</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4,704,069</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4.7%</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9.1%</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8,570,307</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9,198,711</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7.3%</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lineRule="auto" w:line="240" w:before="0" w:after="283"/>
              <w:jc w:val="left"/>
              <w:rPr>
                <w:sz w:val="16"/>
              </w:rPr>
            </w:pPr>
            <w:r>
              <w:rPr>
                <w:sz w:val="16"/>
              </w:rPr>
              <w:t>Interest and similar expense (1)</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(953,011)</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(865,903)</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(902,791)</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4.3%</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-5.3%</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(1,928,348)</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(1,768,694)</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-8.3%</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Interest income and expense</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3,356,912</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3,628,739</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3,801,278</w:t>
            </w:r>
          </w:p>
        </w:tc>
        <w:tc>
          <w:tcPr>
            <w:tcW w:w="52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4.8%</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13.2%</w:t>
            </w:r>
          </w:p>
        </w:tc>
        <w:tc>
          <w:tcPr>
            <w:tcW w:w="833"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6,641,959</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7,430,017</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11.9%</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Provision for credit losses on loan portfolio</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(633,987)</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(538,747)</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(776,343)</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44.1%</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22.5%</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(1,282,870)</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(1,315,090)</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2.5%</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Recoveries of written-off loans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105,024</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125,768</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115,665</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-8.0%</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10.1%</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214,002</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241,433</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12.8%</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Provision for credit losses on loan portfolio, net of recoveries</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(528,963)</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(412,979)</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(660,678)</w:t>
            </w:r>
          </w:p>
        </w:tc>
        <w:tc>
          <w:tcPr>
            <w:tcW w:w="52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60.0%</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24.9%</w:t>
            </w:r>
          </w:p>
        </w:tc>
        <w:tc>
          <w:tcPr>
            <w:tcW w:w="833"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(1,068,868)</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(1,073,657)</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0.4%</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Net interest, similar income and expenses, after provision for credit losses on loan portfolio</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2,827,949</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3,215,760</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3,140,600</w:t>
            </w:r>
          </w:p>
        </w:tc>
        <w:tc>
          <w:tcPr>
            <w:tcW w:w="52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-2.3%</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11.1%</w:t>
            </w:r>
          </w:p>
        </w:tc>
        <w:tc>
          <w:tcPr>
            <w:tcW w:w="833"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5,573,091</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6,356,360</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14.1%</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Other income</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Fee income</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881,866</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996,706</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1,009,878</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14.5%</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1,741,955</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2,006,584</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15.2%</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Net gain on foreign exchange transactions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349,277</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389,372</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419,458</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7.7%</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20.1%</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655,076</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808,830</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23.5%</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Net gain (loss) on securities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121,126</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70,261</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11,349</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-83.8%</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-90.6%</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132,487</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81,610</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-38.4%</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Net gain on derivatives held for trading</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30,207</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21,280</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62,255</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192.6%</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106.1%</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44,842</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83,535</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86.3%</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Net loss (gain) from exchange differences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7,541</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12,384</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13,692</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10.6%</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81.6%</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8,325</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26,076</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213.2%</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Others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30,424</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19,439</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28,408</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46.1%</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-6.6%</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54,399</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47,847</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-12.0%</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b/>
                <w:sz w:val="16"/>
              </w:rPr>
            </w:pPr>
            <w:r>
              <w:rPr>
                <w:b/>
                <w:sz w:val="16"/>
              </w:rPr>
              <w:t>Total other income</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1,420,441</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1,509,442</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1,545,040</w:t>
            </w:r>
          </w:p>
        </w:tc>
        <w:tc>
          <w:tcPr>
            <w:tcW w:w="52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2.4%</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8.8%</w:t>
            </w:r>
          </w:p>
        </w:tc>
        <w:tc>
          <w:tcPr>
            <w:tcW w:w="833"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2,637,084</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3,054,482</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15.8%</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Total expenses</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Salaries and employee benefits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(951,711)</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(1,050,981)</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(1,070,222)</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1.8%</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12.5%</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(1,931,245)</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(2,121,203)</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9.8%</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Administrative expenses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(732,854)</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(783,220)</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(849,887)</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8.5%</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16.0%</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(1,361,595)</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(1,633,107)</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19.9%</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lineRule="auto" w:line="240" w:before="0" w:after="283"/>
              <w:jc w:val="left"/>
              <w:rPr>
                <w:sz w:val="16"/>
              </w:rPr>
            </w:pPr>
            <w:r>
              <w:rPr>
                <w:sz w:val="16"/>
              </w:rPr>
              <w:t>Depreciation and amortization (2)</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(176,020)</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(191,573)</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(188,401)</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-1.7%</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7.0%</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(344,156)</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(379,974)</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10.4%</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sz w:val="16"/>
              </w:rPr>
            </w:pPr>
            <w:r>
              <w:rPr>
                <w:sz w:val="16"/>
              </w:rPr>
              <w:t>Other expenses</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(57,092)</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(61,203)</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(103,916)</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69.8%</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82.0%</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(110,618)</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(165,119)</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49.3%</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b/>
                <w:sz w:val="16"/>
              </w:rPr>
            </w:pPr>
            <w:r>
              <w:rPr>
                <w:b/>
                <w:sz w:val="16"/>
              </w:rPr>
              <w:t>Total expenses</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(1,917,677)</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(2,086,977)</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(2,212,426)</w:t>
            </w:r>
          </w:p>
        </w:tc>
        <w:tc>
          <w:tcPr>
            <w:tcW w:w="52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6.0%</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15.4%</w:t>
            </w:r>
          </w:p>
        </w:tc>
        <w:tc>
          <w:tcPr>
            <w:tcW w:w="833"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(3,747,614)</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(4,299,403)</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14.7%</w:t>
            </w:r>
          </w:p>
        </w:tc>
      </w:tr>
      <w:tr>
        <w:trPr/>
        <w:tc>
          <w:tcPr>
            <w:tcW w:w="3948" w:type="dxa"/>
            <w:tcBorders>
              <w:left w:val="single" w:sz="8" w:space="0" w:color="000000"/>
              <w:right w:val="single" w:sz="8" w:space="0" w:color="000000"/>
            </w:tcBorders>
            <w:tcMar>
              <w:top w:w="0" w:type="dxa"/>
              <w:left w:w="180" w:type="dxa"/>
              <w:bottom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Profit before income tax</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2,330,713</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2,638,225</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2,473,214</w:t>
            </w:r>
          </w:p>
        </w:tc>
        <w:tc>
          <w:tcPr>
            <w:tcW w:w="52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-6.3%</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6.1%</w:t>
            </w:r>
          </w:p>
        </w:tc>
        <w:tc>
          <w:tcPr>
            <w:tcW w:w="833"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4,462,561</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5,111,439</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14.5%</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Income tax</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(576,345)</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(676,089)</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(654,887)</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-3.1%</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13.6%</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(1,125,807)</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(1,330,976)</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18.2%</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5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16"/>
              </w:rPr>
            </w:pPr>
            <w:r>
              <w:rPr>
                <w:b/>
                <w:sz w:val="16"/>
              </w:rPr>
              <w:t>Net profit</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1,754,368</w:t>
            </w:r>
          </w:p>
        </w:tc>
        <w:tc>
          <w:tcPr>
            <w:tcW w:w="8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1,962,136</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1,818,327</w:t>
            </w:r>
          </w:p>
        </w:tc>
        <w:tc>
          <w:tcPr>
            <w:tcW w:w="527"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-7.3%</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3.6%</w:t>
            </w:r>
          </w:p>
        </w:tc>
        <w:tc>
          <w:tcPr>
            <w:tcW w:w="833"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3,336,754</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3,780,463</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13.3%</w:t>
            </w:r>
          </w:p>
        </w:tc>
      </w:tr>
      <w:tr>
        <w:trPr/>
        <w:tc>
          <w:tcPr>
            <w:tcW w:w="3948"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Non-controlling interest</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(5,135)</w:t>
            </w:r>
          </w:p>
        </w:tc>
        <w:tc>
          <w:tcPr>
            <w:tcW w:w="8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(7,453)</w:t>
            </w:r>
          </w:p>
        </w:tc>
        <w:tc>
          <w:tcPr>
            <w:tcW w:w="8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(7,782)</w:t>
            </w:r>
          </w:p>
        </w:tc>
        <w:tc>
          <w:tcPr>
            <w:tcW w:w="527"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4.4%</w:t>
            </w:r>
          </w:p>
        </w:tc>
        <w:tc>
          <w:tcPr>
            <w:tcW w:w="52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51.5%</w:t>
            </w:r>
          </w:p>
        </w:tc>
        <w:tc>
          <w:tcPr>
            <w:tcW w:w="833"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(9,856)</w:t>
            </w:r>
          </w:p>
        </w:tc>
        <w:tc>
          <w:tcPr>
            <w:tcW w:w="83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(15,235)</w:t>
            </w:r>
          </w:p>
        </w:tc>
        <w:tc>
          <w:tcPr>
            <w:tcW w:w="1047"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54.6%</w:t>
            </w:r>
          </w:p>
        </w:tc>
      </w:tr>
      <w:tr>
        <w:trPr/>
        <w:tc>
          <w:tcPr>
            <w:tcW w:w="394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16"/>
              </w:rPr>
            </w:pPr>
            <w:r>
              <w:rPr>
                <w:b/>
                <w:sz w:val="16"/>
              </w:rPr>
              <w:t>Net profit attributable to BCP Consolidated</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1,749,233</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1,954,683</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1,810,545</w:t>
            </w:r>
          </w:p>
        </w:tc>
        <w:tc>
          <w:tcPr>
            <w:tcW w:w="527"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-7.4%</w:t>
            </w:r>
          </w:p>
        </w:tc>
        <w:tc>
          <w:tcPr>
            <w:tcW w:w="5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3.5%</w:t>
            </w:r>
          </w:p>
        </w:tc>
        <w:tc>
          <w:tcPr>
            <w:tcW w:w="833"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3,326,898</w:t>
            </w:r>
          </w:p>
        </w:tc>
        <w:tc>
          <w:tcPr>
            <w:tcW w:w="83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3,765,228</w:t>
            </w:r>
          </w:p>
        </w:tc>
        <w:tc>
          <w:tcPr>
            <w:tcW w:w="10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13.2%</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Financing expenses related to lease agreements are included according to the application of IFRS 16. </w:t>
      </w:r>
    </w:p>
    <w:p>
      <w:pPr>
        <w:pStyle w:val="TextBody"/>
        <w:bidi w:val="0"/>
        <w:spacing w:before="0" w:after="0"/>
        <w:ind w:left="108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The effect of the application of IFRS 16 is included, which corresponds to a greater depreciation for the asset for right-of-use”.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51" w:right="576" w:hanging="0"/>
        <w:jc w:val="center"/>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Selected Financial Indicators</w:t>
      </w:r>
      <w:r>
        <w:rPr>
          <w:rFonts w:ascii="Times New Roman;Times;Serif" w:hAnsi="Times New Roman;Times;Serif"/>
          <w:b w:val="false"/>
          <w:i w:val="false"/>
          <w:caps w:val="false"/>
          <w:smallCaps w:val="false"/>
          <w:sz w:val="18"/>
        </w:rPr>
        <w:t> </w:t>
      </w:r>
    </w:p>
    <w:tbl>
      <w:tblPr>
        <w:tblW w:w="8820" w:type="dxa"/>
        <w:jc w:val="left"/>
        <w:tblInd w:w="-10" w:type="dxa"/>
        <w:tblLayout w:type="fixed"/>
        <w:tblCellMar>
          <w:top w:w="28" w:type="dxa"/>
          <w:left w:w="180" w:type="dxa"/>
          <w:bottom w:w="0" w:type="dxa"/>
          <w:right w:w="60" w:type="dxa"/>
        </w:tblCellMar>
      </w:tblPr>
      <w:tblGrid>
        <w:gridCol w:w="3560"/>
        <w:gridCol w:w="560"/>
        <w:gridCol w:w="560"/>
        <w:gridCol w:w="560"/>
        <w:gridCol w:w="635"/>
        <w:gridCol w:w="665"/>
        <w:gridCol w:w="560"/>
        <w:gridCol w:w="560"/>
        <w:gridCol w:w="1160"/>
      </w:tblGrid>
      <w:tr>
        <w:trPr/>
        <w:tc>
          <w:tcPr>
            <w:tcW w:w="356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pPr>
            <w:r>
              <w:rPr/>
              <w:t> </w:t>
            </w:r>
          </w:p>
        </w:tc>
        <w:tc>
          <w:tcPr>
            <w:tcW w:w="168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Quarter</w:t>
            </w:r>
          </w:p>
        </w:tc>
        <w:tc>
          <w:tcPr>
            <w:tcW w:w="130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Change</w:t>
            </w:r>
          </w:p>
        </w:tc>
        <w:tc>
          <w:tcPr>
            <w:tcW w:w="112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Up to</w:t>
            </w:r>
          </w:p>
        </w:tc>
        <w:tc>
          <w:tcPr>
            <w:tcW w:w="1160"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 Change</w:t>
            </w:r>
          </w:p>
        </w:tc>
      </w:tr>
      <w:tr>
        <w:trPr/>
        <w:tc>
          <w:tcPr>
            <w:tcW w:w="356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2Q25</w:t>
            </w:r>
          </w:p>
        </w:tc>
        <w:tc>
          <w:tcPr>
            <w:tcW w:w="56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1Q26</w:t>
            </w:r>
          </w:p>
        </w:tc>
        <w:tc>
          <w:tcPr>
            <w:tcW w:w="56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2Q26</w:t>
            </w:r>
          </w:p>
        </w:tc>
        <w:tc>
          <w:tcPr>
            <w:tcW w:w="63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QoQ</w:t>
            </w:r>
          </w:p>
        </w:tc>
        <w:tc>
          <w:tcPr>
            <w:tcW w:w="66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YoY</w:t>
            </w:r>
          </w:p>
        </w:tc>
        <w:tc>
          <w:tcPr>
            <w:tcW w:w="56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Jun 25</w:t>
            </w:r>
          </w:p>
        </w:tc>
        <w:tc>
          <w:tcPr>
            <w:tcW w:w="56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Jun 26</w:t>
            </w:r>
          </w:p>
        </w:tc>
        <w:tc>
          <w:tcPr>
            <w:tcW w:w="116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Jun 26 / Jun 25</w:t>
            </w:r>
          </w:p>
        </w:tc>
      </w:tr>
      <w:tr>
        <w:trPr/>
        <w:tc>
          <w:tcPr>
            <w:tcW w:w="3560" w:type="dxa"/>
            <w:tcBorders>
              <w:left w:val="single" w:sz="8" w:space="0" w:color="000000"/>
              <w:right w:val="single" w:sz="8" w:space="0" w:color="000000"/>
            </w:tcBorders>
            <w:shd w:fill="FFFFFF" w:val="clear"/>
            <w:tcMar>
              <w:top w:w="0" w:type="dxa"/>
              <w:left w:w="60" w:type="dxa"/>
            </w:tcMar>
            <w:vAlign w:val="center"/>
          </w:tcPr>
          <w:p>
            <w:pPr>
              <w:pStyle w:val="TableContents"/>
              <w:bidi w:val="0"/>
              <w:spacing w:before="0" w:after="283"/>
              <w:jc w:val="left"/>
              <w:rPr>
                <w:b/>
                <w:sz w:val="16"/>
              </w:rPr>
            </w:pPr>
            <w:r>
              <w:rPr>
                <w:b/>
                <w:sz w:val="16"/>
              </w:rPr>
              <w:t>Profitability</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635"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right"/>
              <w:rPr/>
            </w:pPr>
            <w:r>
              <w:rPr/>
              <w:t> </w:t>
            </w:r>
          </w:p>
        </w:tc>
        <w:tc>
          <w:tcPr>
            <w:tcW w:w="560" w:type="dxa"/>
            <w:tcBorders>
              <w:right w:val="single" w:sz="8" w:space="0" w:color="000000"/>
            </w:tcBorders>
            <w:shd w:fill="FFFFFF" w:val="clear"/>
            <w:tcMar>
              <w:top w:w="0" w:type="dxa"/>
              <w:left w:w="0" w:type="dxa"/>
            </w:tcMar>
            <w:vAlign w:val="center"/>
          </w:tcPr>
          <w:p>
            <w:pPr>
              <w:pStyle w:val="TableContents"/>
              <w:bidi w:val="0"/>
              <w:spacing w:before="0" w:after="283"/>
              <w:jc w:val="right"/>
              <w:rPr/>
            </w:pPr>
            <w:r>
              <w:rPr/>
              <w:t> </w:t>
            </w:r>
          </w:p>
        </w:tc>
        <w:tc>
          <w:tcPr>
            <w:tcW w:w="1160"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560" w:type="dxa"/>
            <w:tcBorders>
              <w:left w:val="single" w:sz="8" w:space="0" w:color="000000"/>
              <w:right w:val="single" w:sz="8" w:space="0" w:color="000000"/>
            </w:tcBorders>
            <w:shd w:fill="FFFFFF" w:val="clear"/>
            <w:tcMar>
              <w:top w:w="0" w:type="dxa"/>
            </w:tcMar>
            <w:vAlign w:val="center"/>
          </w:tcPr>
          <w:p>
            <w:pPr>
              <w:pStyle w:val="TableContents"/>
              <w:bidi w:val="0"/>
              <w:spacing w:lineRule="auto" w:line="240" w:before="0" w:after="283"/>
              <w:jc w:val="left"/>
              <w:rPr>
                <w:sz w:val="16"/>
              </w:rPr>
            </w:pPr>
            <w:r>
              <w:rPr>
                <w:sz w:val="16"/>
              </w:rPr>
              <w:t xml:space="preserve">ROAA </w:t>
            </w:r>
            <w:r>
              <w:rPr>
                <w:rFonts w:ascii="Times New Roman;Times;Serif" w:hAnsi="Times New Roman;Times;Serif"/>
                <w:b w:val="false"/>
                <w:i w:val="false"/>
                <w:caps w:val="false"/>
                <w:smallCaps w:val="false"/>
                <w:sz w:val="16"/>
              </w:rPr>
              <w:t>(1)(2)</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3.4%</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3.5%</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3.1%</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-35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-24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3.2%</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3.3%</w:t>
            </w:r>
          </w:p>
        </w:tc>
        <w:tc>
          <w:tcPr>
            <w:tcW w:w="116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13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sz w:val="16"/>
              </w:rPr>
            </w:pPr>
            <w:r>
              <w:rPr>
                <w:sz w:val="16"/>
              </w:rPr>
              <w:t xml:space="preserve">ROAE </w:t>
            </w:r>
            <w:r>
              <w:rPr>
                <w:rFonts w:ascii="Times New Roman;Times;Serif" w:hAnsi="Times New Roman;Times;Serif"/>
                <w:b w:val="false"/>
                <w:i w:val="false"/>
                <w:caps w:val="false"/>
                <w:smallCaps w:val="false"/>
                <w:sz w:val="16"/>
              </w:rPr>
              <w:t>(1)(2)</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29.3%</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29.7%</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28.5%</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-117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-82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26.2%</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27.5%</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133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sz w:val="16"/>
              </w:rPr>
            </w:pPr>
            <w:r>
              <w:rPr>
                <w:sz w:val="16"/>
              </w:rPr>
              <w:t xml:space="preserve">Net interest margin </w:t>
            </w:r>
            <w:r>
              <w:rPr>
                <w:rFonts w:ascii="Times New Roman;Times;Serif" w:hAnsi="Times New Roman;Times;Serif"/>
                <w:b w:val="false"/>
                <w:i w:val="false"/>
                <w:caps w:val="false"/>
                <w:smallCaps w:val="false"/>
                <w:sz w:val="16"/>
              </w:rPr>
              <w:t>(1)(2)</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6.73%</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6.77%</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6.90%</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14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17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6.63%</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6.87%</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24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sz w:val="16"/>
              </w:rPr>
            </w:pPr>
            <w:r>
              <w:rPr>
                <w:sz w:val="16"/>
              </w:rPr>
              <w:t>Risk-adjusted Net interest margin  </w:t>
            </w:r>
            <w:r>
              <w:rPr>
                <w:rFonts w:ascii="Times New Roman;Times;Serif" w:hAnsi="Times New Roman;Times;Serif"/>
                <w:b w:val="false"/>
                <w:i w:val="false"/>
                <w:caps w:val="false"/>
                <w:smallCaps w:val="false"/>
                <w:sz w:val="16"/>
              </w:rPr>
              <w:t>(1)(2)</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5.67%</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6.00%</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5.70%</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-29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5.57%</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5.88%</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31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sz w:val="16"/>
              </w:rPr>
            </w:pPr>
            <w:r>
              <w:rPr>
                <w:sz w:val="16"/>
              </w:rPr>
              <w:t xml:space="preserve">Funding cost </w:t>
            </w:r>
            <w:r>
              <w:rPr>
                <w:rFonts w:ascii="Times New Roman;Times;Serif" w:hAnsi="Times New Roman;Times;Serif"/>
                <w:b w:val="false"/>
                <w:i w:val="false"/>
                <w:caps w:val="false"/>
                <w:smallCaps w:val="false"/>
                <w:sz w:val="16"/>
              </w:rPr>
              <w:t>(1)(2)(3)</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2.19%</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1.85%</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1.86%</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1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-33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2.19%</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1.85%</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-35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635" w:type="dxa"/>
            <w:tcBorders/>
            <w:tcMar>
              <w:top w:w="0" w:type="dxa"/>
              <w:left w:w="0" w:type="dxa"/>
              <w:right w:w="0" w:type="dxa"/>
            </w:tcMar>
            <w:vAlign w:val="center"/>
          </w:tcPr>
          <w:p>
            <w:pPr>
              <w:pStyle w:val="TableContents"/>
              <w:bidi w:val="0"/>
              <w:spacing w:before="0" w:after="283"/>
              <w:jc w:val="center"/>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560" w:type="dxa"/>
            <w:tcBorders>
              <w:left w:val="single" w:sz="8" w:space="0" w:color="000000"/>
              <w:right w:val="single" w:sz="8" w:space="0" w:color="000000"/>
            </w:tcBorders>
            <w:tcMar>
              <w:top w:w="0" w:type="dxa"/>
              <w:left w:w="60" w:type="dxa"/>
            </w:tcMar>
            <w:vAlign w:val="center"/>
          </w:tcPr>
          <w:p>
            <w:pPr>
              <w:pStyle w:val="TableContents"/>
              <w:bidi w:val="0"/>
              <w:spacing w:before="0" w:after="283"/>
              <w:jc w:val="left"/>
              <w:rPr>
                <w:b/>
                <w:sz w:val="16"/>
              </w:rPr>
            </w:pPr>
            <w:r>
              <w:rPr>
                <w:b/>
                <w:sz w:val="16"/>
              </w:rPr>
              <w:t>Loan portfolio quality</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635" w:type="dxa"/>
            <w:tcBorders/>
            <w:tcMar>
              <w:top w:w="0" w:type="dxa"/>
              <w:left w:w="0" w:type="dxa"/>
              <w:right w:w="0" w:type="dxa"/>
            </w:tcMar>
            <w:vAlign w:val="center"/>
          </w:tcPr>
          <w:p>
            <w:pPr>
              <w:pStyle w:val="TableContents"/>
              <w:bidi w:val="0"/>
              <w:spacing w:before="0" w:after="283"/>
              <w:jc w:val="center"/>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Internal overdue ratio</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3.6%</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2.9%</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2.8%</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-12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-78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3.6%</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2.8%</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-78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NPL ratio</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5.0%</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4.3%</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4.0%</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-24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-97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5.0%</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4.0%</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-97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Coverage ratio of IOLs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152.5%</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167.3%</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169.9%</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265 bps</w:t>
            </w:r>
          </w:p>
        </w:tc>
        <w:tc>
          <w:tcPr>
            <w:tcW w:w="665"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1739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152.5%</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169.9%</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1739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Coverage ratio of NPLs </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109.8%</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115.1%</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118.9%</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380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904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109.8%</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118.9%</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904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sz w:val="16"/>
              </w:rPr>
            </w:pPr>
            <w:r>
              <w:rPr>
                <w:sz w:val="16"/>
              </w:rPr>
              <w:t xml:space="preserve">Cost of risk </w:t>
            </w:r>
            <w:r>
              <w:rPr>
                <w:rFonts w:ascii="Times New Roman;Times;Serif" w:hAnsi="Times New Roman;Times;Serif"/>
                <w:b w:val="false"/>
                <w:i w:val="false"/>
                <w:caps w:val="false"/>
                <w:smallCaps w:val="false"/>
                <w:sz w:val="16"/>
              </w:rPr>
              <w:t>(4)</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1.6%</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1.2%</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1.8%</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65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23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1.6%</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1.5%</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-11 bps</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635" w:type="dxa"/>
            <w:tcBorders/>
            <w:tcMar>
              <w:top w:w="0" w:type="dxa"/>
              <w:left w:w="0" w:type="dxa"/>
              <w:right w:w="0" w:type="dxa"/>
            </w:tcMar>
            <w:vAlign w:val="center"/>
          </w:tcPr>
          <w:p>
            <w:pPr>
              <w:pStyle w:val="TableContents"/>
              <w:bidi w:val="0"/>
              <w:spacing w:before="0" w:after="283"/>
              <w:jc w:val="center"/>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560" w:type="dxa"/>
            <w:tcBorders>
              <w:left w:val="single" w:sz="8" w:space="0" w:color="000000"/>
              <w:right w:val="single" w:sz="8" w:space="0" w:color="000000"/>
            </w:tcBorders>
            <w:tcMar>
              <w:top w:w="0" w:type="dxa"/>
              <w:left w:w="60" w:type="dxa"/>
            </w:tcMar>
            <w:vAlign w:val="center"/>
          </w:tcPr>
          <w:p>
            <w:pPr>
              <w:pStyle w:val="TableContents"/>
              <w:bidi w:val="0"/>
              <w:spacing w:before="0" w:after="283"/>
              <w:jc w:val="left"/>
              <w:rPr>
                <w:b/>
                <w:sz w:val="16"/>
              </w:rPr>
            </w:pPr>
            <w:r>
              <w:rPr>
                <w:b/>
                <w:sz w:val="16"/>
              </w:rPr>
              <w:t>Operating efficiency</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635" w:type="dxa"/>
            <w:tcBorders/>
            <w:tcMar>
              <w:top w:w="0" w:type="dxa"/>
              <w:left w:w="0" w:type="dxa"/>
              <w:right w:w="0" w:type="dxa"/>
            </w:tcMar>
            <w:vAlign w:val="center"/>
          </w:tcPr>
          <w:p>
            <w:pPr>
              <w:pStyle w:val="TableContents"/>
              <w:bidi w:val="0"/>
              <w:spacing w:before="0" w:after="283"/>
              <w:jc w:val="center"/>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560" w:type="dxa"/>
            <w:tcBorders/>
            <w:tcMar>
              <w:top w:w="0" w:type="dxa"/>
              <w:left w:w="0" w:type="dxa"/>
              <w:right w:w="0" w:type="dxa"/>
            </w:tcMar>
            <w:vAlign w:val="center"/>
          </w:tcPr>
          <w:p>
            <w:pPr>
              <w:pStyle w:val="TableContents"/>
              <w:bidi w:val="0"/>
              <w:spacing w:before="0" w:after="283"/>
              <w:jc w:val="center"/>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560"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sz w:val="16"/>
              </w:rPr>
            </w:pPr>
            <w:r>
              <w:rPr>
                <w:sz w:val="16"/>
              </w:rPr>
              <w:t xml:space="preserve">Operating expenses / Total income </w:t>
            </w:r>
            <w:r>
              <w:rPr>
                <w:rFonts w:ascii="Times New Roman;Times;Serif" w:hAnsi="Times New Roman;Times;Serif"/>
                <w:b w:val="false"/>
                <w:i w:val="false"/>
                <w:caps w:val="false"/>
                <w:smallCaps w:val="false"/>
                <w:sz w:val="16"/>
              </w:rPr>
              <w:t>(5)</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40.2%</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40.1%</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39.7%</w:t>
            </w:r>
          </w:p>
        </w:tc>
        <w:tc>
          <w:tcPr>
            <w:tcW w:w="635" w:type="dxa"/>
            <w:tcBorders/>
            <w:tcMar>
              <w:top w:w="0" w:type="dxa"/>
              <w:left w:w="0" w:type="dxa"/>
              <w:right w:w="0" w:type="dxa"/>
            </w:tcMar>
            <w:vAlign w:val="center"/>
          </w:tcPr>
          <w:p>
            <w:pPr>
              <w:pStyle w:val="TableContents"/>
              <w:bidi w:val="0"/>
              <w:spacing w:before="0" w:after="283"/>
              <w:jc w:val="center"/>
              <w:rPr>
                <w:sz w:val="16"/>
              </w:rPr>
            </w:pPr>
            <w:r>
              <w:rPr>
                <w:sz w:val="16"/>
              </w:rPr>
              <w:t>-39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-49 bps</w:t>
            </w:r>
          </w:p>
        </w:tc>
        <w:tc>
          <w:tcPr>
            <w:tcW w:w="560" w:type="dxa"/>
            <w:tcBorders/>
            <w:tcMar>
              <w:top w:w="0" w:type="dxa"/>
              <w:left w:w="0" w:type="dxa"/>
              <w:right w:w="0" w:type="dxa"/>
            </w:tcMar>
            <w:vAlign w:val="center"/>
          </w:tcPr>
          <w:p>
            <w:pPr>
              <w:pStyle w:val="TableContents"/>
              <w:bidi w:val="0"/>
              <w:spacing w:before="0" w:after="283"/>
              <w:jc w:val="center"/>
              <w:rPr>
                <w:sz w:val="16"/>
              </w:rPr>
            </w:pPr>
            <w:r>
              <w:rPr>
                <w:sz w:val="16"/>
              </w:rPr>
              <w:t>40.0%</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39.9%</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-8 bps</w:t>
            </w:r>
          </w:p>
        </w:tc>
      </w:tr>
      <w:tr>
        <w:trPr/>
        <w:tc>
          <w:tcPr>
            <w:tcW w:w="356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lineRule="auto" w:line="240" w:before="0" w:after="283"/>
              <w:jc w:val="left"/>
              <w:rPr>
                <w:sz w:val="16"/>
              </w:rPr>
            </w:pPr>
            <w:r>
              <w:rPr>
                <w:sz w:val="16"/>
              </w:rPr>
              <w:t xml:space="preserve">Operating expenses / Total average assets </w:t>
            </w:r>
            <w:r>
              <w:rPr>
                <w:rFonts w:ascii="Times New Roman;Times;Serif" w:hAnsi="Times New Roman;Times;Serif"/>
                <w:b w:val="false"/>
                <w:i w:val="false"/>
                <w:caps w:val="false"/>
                <w:smallCaps w:val="false"/>
                <w:sz w:val="16"/>
              </w:rPr>
              <w:t>(1)(2)(5)</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3.6%</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3.6%</w:t>
            </w:r>
          </w:p>
        </w:tc>
        <w:tc>
          <w:tcPr>
            <w:tcW w:w="5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3.6%</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3 bps</w:t>
            </w:r>
          </w:p>
        </w:tc>
        <w:tc>
          <w:tcPr>
            <w:tcW w:w="6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6 bps</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16"/>
              </w:rPr>
            </w:pPr>
            <w:r>
              <w:rPr>
                <w:sz w:val="16"/>
              </w:rPr>
              <w:t>3.5%</w:t>
            </w:r>
          </w:p>
        </w:tc>
        <w:tc>
          <w:tcPr>
            <w:tcW w:w="5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3.6%</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15 bps</w:t>
            </w:r>
          </w:p>
        </w:tc>
      </w:tr>
    </w:tbl>
    <w:p>
      <w:pPr>
        <w:pStyle w:val="TextBody"/>
        <w:bidi w:val="0"/>
        <w:spacing w:before="0" w:after="0"/>
        <w:ind w:left="854" w:right="75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Ratios are annualized. </w:t>
      </w:r>
    </w:p>
    <w:p>
      <w:pPr>
        <w:pStyle w:val="TextBody"/>
        <w:bidi w:val="0"/>
        <w:spacing w:before="0" w:after="0"/>
        <w:ind w:left="72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Averages are determined as the average of period-beginning and period-ending balances. </w:t>
      </w:r>
    </w:p>
    <w:p>
      <w:pPr>
        <w:pStyle w:val="TextBody"/>
        <w:bidi w:val="0"/>
        <w:spacing w:before="0" w:after="0"/>
        <w:ind w:left="72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The funding costs differ from previously reported due to a methodology change in the denominator, which no longer includes the following accounts: acceptances outstanding, reserves for property and casualty claims, reserve for unearned premiums, reinsurance payable and other liabilities. </w:t>
      </w:r>
    </w:p>
    <w:p>
      <w:pPr>
        <w:pStyle w:val="TextBody"/>
        <w:bidi w:val="0"/>
        <w:spacing w:before="0" w:after="0"/>
        <w:ind w:left="72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Cost of risk: Annualized provision for loan losses / Total loans. </w:t>
      </w:r>
    </w:p>
    <w:p>
      <w:pPr>
        <w:pStyle w:val="TextBody"/>
        <w:bidi w:val="0"/>
        <w:spacing w:before="0" w:after="0"/>
        <w:ind w:left="72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 Total income includes net interest income, fee income, net gain on foreign exchange transactions, result on exchange difference and net gain on derivatives. Operating expenses include Salaries and social benefits, administrative, general and tax expenses and depreciation and amortization.</w:t>
      </w:r>
    </w:p>
    <w:p>
      <w:pPr>
        <w:pStyle w:val="TextBody"/>
        <w:bidi w:val="0"/>
        <w:spacing w:before="0" w:after="0"/>
        <w:ind w:left="854" w:right="75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20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2" descr=""/>
                    <pic:cNvPicPr>
                      <a:picLocks noChangeAspect="1" noChangeArrowheads="1"/>
                    </pic:cNvPicPr>
                  </pic:nvPicPr>
                  <pic:blipFill>
                    <a:blip r:embed="rId188"/>
                    <a:stretch>
                      <a:fillRect/>
                    </a:stretch>
                  </pic:blipFill>
                  <pic:spPr bwMode="auto">
                    <a:xfrm>
                      <a:off x="0" y="0"/>
                      <a:ext cx="7620000" cy="647700"/>
                    </a:xfrm>
                    <a:prstGeom prst="rect">
                      <a:avLst/>
                    </a:prstGeom>
                  </pic:spPr>
                </pic:pic>
              </a:graphicData>
            </a:graphic>
          </wp:inline>
        </w:drawing>
      </w:r>
    </w:p>
    <w:p>
      <w:pPr>
        <w:pStyle w:val="TextBody"/>
        <w:bidi w:val="0"/>
        <w:spacing w:before="0" w:after="0"/>
        <w:ind w:left="854" w:right="750" w:hanging="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0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3" descr=""/>
                          <pic:cNvPicPr>
                            <a:picLocks noChangeAspect="1" noChangeArrowheads="1"/>
                          </pic:cNvPicPr>
                        </pic:nvPicPr>
                        <pic:blipFill>
                          <a:blip r:embed="rId189"/>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12.7.4. BCP Stand-alone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 xml:space="preserve">Statement of Financial Position </w:t>
        <w:br/>
        <w:t>(S/ Thousands, IFRS)</w:t>
      </w:r>
      <w:r>
        <w:rPr>
          <w:rFonts w:ascii="Times New Roman;Times;Serif" w:hAnsi="Times New Roman;Times;Serif"/>
          <w:b w:val="false"/>
          <w:i w:val="false"/>
          <w:caps w:val="false"/>
          <w:smallCaps w:val="false"/>
          <w:sz w:val="18"/>
        </w:rPr>
        <w:t> </w:t>
      </w:r>
    </w:p>
    <w:p>
      <w:pPr>
        <w:pStyle w:val="TextBody"/>
        <w:bidi w:val="0"/>
        <w:spacing w:before="0" w:after="0"/>
        <w:jc w:val="center"/>
        <w:rPr>
          <w:caps w:val="false"/>
          <w:smallCaps w:val="false"/>
        </w:rPr>
      </w:pPr>
      <w:r>
        <w:rPr>
          <w:caps w:val="false"/>
          <w:smallCaps w:val="false"/>
        </w:rPr>
        <w:t> </w:t>
      </w:r>
    </w:p>
    <w:tbl>
      <w:tblPr>
        <w:tblW w:w="9120" w:type="dxa"/>
        <w:jc w:val="left"/>
        <w:tblInd w:w="-10" w:type="dxa"/>
        <w:tblLayout w:type="fixed"/>
        <w:tblCellMar>
          <w:top w:w="28" w:type="dxa"/>
          <w:left w:w="28" w:type="dxa"/>
          <w:bottom w:w="0" w:type="dxa"/>
          <w:right w:w="28" w:type="dxa"/>
        </w:tblCellMar>
      </w:tblPr>
      <w:tblGrid>
        <w:gridCol w:w="5270"/>
        <w:gridCol w:w="920"/>
        <w:gridCol w:w="920"/>
        <w:gridCol w:w="920"/>
        <w:gridCol w:w="560"/>
        <w:gridCol w:w="530"/>
      </w:tblGrid>
      <w:tr>
        <w:trPr/>
        <w:tc>
          <w:tcPr>
            <w:tcW w:w="527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pPr>
            <w:r>
              <w:rPr/>
              <w:t> </w:t>
            </w:r>
          </w:p>
        </w:tc>
        <w:tc>
          <w:tcPr>
            <w:tcW w:w="276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As of </w:t>
            </w:r>
          </w:p>
        </w:tc>
        <w:tc>
          <w:tcPr>
            <w:tcW w:w="109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527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center"/>
              <w:rPr/>
            </w:pPr>
            <w:r>
              <w:rPr/>
              <w:t> </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Mar 26</w:t>
            </w:r>
          </w:p>
        </w:tc>
        <w:tc>
          <w:tcPr>
            <w:tcW w:w="92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56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53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Cash and due from banks</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Non-interest bearing</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5,338,286</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6,477,304</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5,723,761</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bearing</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31,838,979</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37,134,802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37,486,290</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0.9%</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17.7%</w:t>
            </w:r>
          </w:p>
        </w:tc>
      </w:tr>
      <w:tr>
        <w:trPr/>
        <w:tc>
          <w:tcPr>
            <w:tcW w:w="5270"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cash and due from banks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37,177,265</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43,612,106</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43,210,051</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-0.9%</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16.2%</w:t>
            </w:r>
          </w:p>
        </w:tc>
      </w:tr>
      <w:tr>
        <w:trPr/>
        <w:tc>
          <w:tcPr>
            <w:tcW w:w="5270"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Cash collateral, reverse repurchase agreements and securities borrowing</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574,653</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877,929</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688,747</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-21.5%</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19.9%</w:t>
            </w:r>
          </w:p>
        </w:tc>
      </w:tr>
      <w:tr>
        <w:trPr/>
        <w:tc>
          <w:tcPr>
            <w:tcW w:w="527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Fair value through profit or loss investments </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617,368</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551,864</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671,728</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21.7%</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8.8%</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Fair value through other comprehensive income investments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19,097,277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24,896,990</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23,015,307</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-7.6%</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20.5%</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Amortized cost investments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8,169,062</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7,991,186</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8,293,837</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3.8%</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w:t>
            </w:r>
          </w:p>
        </w:tc>
      </w:tr>
      <w:tr>
        <w:trPr/>
        <w:tc>
          <w:tcPr>
            <w:tcW w:w="52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Loans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120,998,975</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128,142,162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134,206,650</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10.9%</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116,868,257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124,556,355</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130,594,244</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Internal overdue loans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4,130,718</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3,585,807</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3,612,406</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0.7%</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-12.5%</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 allowance for loan losses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(6,418,672)</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(5,986,238)</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(6,084,399)</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Loans, net</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114,580,303</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122,155,924</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128,122,251</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11.8%</w:t>
            </w:r>
          </w:p>
        </w:tc>
      </w:tr>
      <w:tr>
        <w:trPr/>
        <w:tc>
          <w:tcPr>
            <w:tcW w:w="52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tcBorders>
            <w:shd w:fill="FFFFFF" w:val="clear"/>
            <w:tcMar>
              <w:top w:w="0" w:type="dxa"/>
              <w:left w:w="40" w:type="dxa"/>
              <w:right w:w="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 xml:space="preserve">Property, furniture and equipment, net </w:t>
            </w:r>
            <w:r>
              <w:rPr>
                <w:rFonts w:ascii="Times New Roman;Times;Serif" w:hAnsi="Times New Roman;Times;Serif"/>
                <w:b/>
                <w:i w:val="false"/>
                <w:caps w:val="false"/>
                <w:smallCaps w:val="false"/>
                <w:sz w:val="16"/>
              </w:rPr>
              <w:t>(1)</w:t>
            </w:r>
          </w:p>
        </w:tc>
        <w:tc>
          <w:tcPr>
            <w:tcW w:w="920" w:type="dxa"/>
            <w:tcBorders>
              <w:left w:val="single" w:sz="8" w:space="0" w:color="000000"/>
            </w:tcBorders>
            <w:shd w:fill="FFFFFF" w:val="clear"/>
            <w:tcMar>
              <w:top w:w="0" w:type="dxa"/>
              <w:left w:w="6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1,395,819</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1,332,154</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1,345,462</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w:t>
            </w:r>
          </w:p>
        </w:tc>
      </w:tr>
      <w:tr>
        <w:trPr/>
        <w:tc>
          <w:tcPr>
            <w:tcW w:w="5270" w:type="dxa"/>
            <w:tcBorders>
              <w:left w:val="single" w:sz="8" w:space="0" w:color="000000"/>
            </w:tcBorders>
            <w:shd w:fill="FFFFFF" w:val="clear"/>
            <w:tcMar>
              <w:top w:w="0" w:type="dxa"/>
              <w:left w:w="4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Due from customers on acceptances</w:t>
            </w:r>
          </w:p>
        </w:tc>
        <w:tc>
          <w:tcPr>
            <w:tcW w:w="920" w:type="dxa"/>
            <w:tcBorders>
              <w:left w:val="single" w:sz="8" w:space="0" w:color="000000"/>
            </w:tcBorders>
            <w:shd w:fill="FFFFFF" w:val="clear"/>
            <w:tcMar>
              <w:top w:w="0" w:type="dxa"/>
              <w:left w:w="6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559,370</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608,592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581,699</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w:t>
            </w:r>
          </w:p>
        </w:tc>
      </w:tr>
      <w:tr>
        <w:trPr/>
        <w:tc>
          <w:tcPr>
            <w:tcW w:w="5270" w:type="dxa"/>
            <w:tcBorders>
              <w:left w:val="single" w:sz="8" w:space="0" w:color="000000"/>
            </w:tcBorders>
            <w:shd w:fill="FFFFFF" w:val="clear"/>
            <w:tcMar>
              <w:top w:w="0" w:type="dxa"/>
              <w:left w:w="4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Investments in associates</w:t>
            </w:r>
          </w:p>
        </w:tc>
        <w:tc>
          <w:tcPr>
            <w:tcW w:w="920" w:type="dxa"/>
            <w:tcBorders>
              <w:left w:val="single" w:sz="8" w:space="0" w:color="000000"/>
            </w:tcBorders>
            <w:shd w:fill="FFFFFF" w:val="clear"/>
            <w:tcMar>
              <w:top w:w="0" w:type="dxa"/>
              <w:left w:w="6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2,478,728</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2,569,443</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2,721,368</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5.9%</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9.8%</w:t>
            </w:r>
          </w:p>
        </w:tc>
      </w:tr>
      <w:tr>
        <w:trPr/>
        <w:tc>
          <w:tcPr>
            <w:tcW w:w="5270" w:type="dxa"/>
            <w:tcBorders>
              <w:left w:val="single" w:sz="8" w:space="0" w:color="000000"/>
            </w:tcBorders>
            <w:shd w:fill="FFFFFF" w:val="clear"/>
            <w:tcMar>
              <w:top w:w="0" w:type="dxa"/>
              <w:left w:w="40" w:type="dxa"/>
              <w:right w:w="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 xml:space="preserve">Other assets </w:t>
            </w:r>
            <w:r>
              <w:rPr>
                <w:rFonts w:ascii="Times New Roman;Times;Serif" w:hAnsi="Times New Roman;Times;Serif"/>
                <w:b/>
                <w:i w:val="false"/>
                <w:caps w:val="false"/>
                <w:smallCaps w:val="false"/>
                <w:sz w:val="16"/>
              </w:rPr>
              <w:t>(2)</w:t>
            </w:r>
          </w:p>
        </w:tc>
        <w:tc>
          <w:tcPr>
            <w:tcW w:w="920" w:type="dxa"/>
            <w:tcBorders>
              <w:left w:val="single" w:sz="8" w:space="0" w:color="000000"/>
            </w:tcBorders>
            <w:shd w:fill="FFFFFF" w:val="clear"/>
            <w:tcMar>
              <w:top w:w="0" w:type="dxa"/>
              <w:left w:w="6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6,772,832</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9,485,856</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9,684,450</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43.0%</w:t>
            </w:r>
          </w:p>
        </w:tc>
      </w:tr>
      <w:tr>
        <w:trPr/>
        <w:tc>
          <w:tcPr>
            <w:tcW w:w="52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Assets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191,422,677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214,082,044</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218,334,900</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14.1%</w:t>
            </w:r>
          </w:p>
        </w:tc>
      </w:tr>
      <w:tr>
        <w:trPr/>
        <w:tc>
          <w:tcPr>
            <w:tcW w:w="52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 and Equity</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Deposits and obligations</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Non-interest bearing</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44,639,208</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53,520,520</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55,589,242</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24.5%</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bearing</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91,339,219</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101,116,887</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103,225,868</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deposits and obligations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135,978,427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154,637,407</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158,815,110</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16.8%</w:t>
            </w:r>
          </w:p>
        </w:tc>
      </w:tr>
      <w:tr>
        <w:trPr/>
        <w:tc>
          <w:tcPr>
            <w:tcW w:w="527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Payables from repurchase agreements and securities lending</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5,227,145</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2,734,061</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4,967,176</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81.7%</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-5.0%</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BCRP instruments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4,355,414</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1,577,445</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3,270,362</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107.3%</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-24.9%</w:t>
            </w:r>
          </w:p>
        </w:tc>
      </w:tr>
      <w:tr>
        <w:trPr/>
        <w:tc>
          <w:tcPr>
            <w:tcW w:w="52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Repurchase agreements with third parties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871,731</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1,156,616</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1,696,814</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46.7%</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94.6%</w:t>
            </w:r>
          </w:p>
        </w:tc>
      </w:tr>
      <w:tr>
        <w:trPr/>
        <w:tc>
          <w:tcPr>
            <w:tcW w:w="52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color w:val="FFFFFF"/>
              </w:rPr>
            </w:pPr>
            <w:r>
              <w:rPr>
                <w:color w:val="FFFFFF"/>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Due to banks and correspondents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8,935,346</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7,563,884</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9,160,586</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21.1%</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Bonds and notes issued</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9,772,249</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11,246,413</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11,171,934</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-0.7%</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14.3%</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Due from customers on acceptances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559,370</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608,592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581,699</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Financial liabilities at fair value through profit or loss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387,867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784,502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604,407</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-23.0%</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55.8%</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lineRule="auto" w:line="240" w:before="0" w:after="283"/>
              <w:jc w:val="left"/>
              <w:rPr>
                <w:rFonts w:ascii="Times New Roman;Times;Serif" w:hAnsi="Times New Roman;Times;Serif"/>
                <w:b/>
                <w:sz w:val="16"/>
              </w:rPr>
            </w:pPr>
            <w:r>
              <w:rPr>
                <w:rFonts w:ascii="Times New Roman;Times;Serif" w:hAnsi="Times New Roman;Times;Serif"/>
                <w:b/>
                <w:sz w:val="16"/>
              </w:rPr>
              <w:t xml:space="preserve">Other liabilities </w:t>
            </w:r>
            <w:r>
              <w:rPr>
                <w:rFonts w:ascii="Times New Roman;Times;Serif" w:hAnsi="Times New Roman;Times;Serif"/>
                <w:b/>
                <w:i w:val="false"/>
                <w:caps w:val="false"/>
                <w:smallCaps w:val="false"/>
                <w:sz w:val="16"/>
              </w:rPr>
              <w:t>(3)</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5,766,446</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12,137,373</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6,611,101</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-45.5%</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14.6%</w:t>
            </w:r>
          </w:p>
        </w:tc>
      </w:tr>
      <w:tr>
        <w:trPr/>
        <w:tc>
          <w:tcPr>
            <w:tcW w:w="52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Liabilities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166,626,850</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189,712,232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191,912,013</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15.2%</w:t>
            </w:r>
          </w:p>
        </w:tc>
      </w:tr>
      <w:tr>
        <w:trPr/>
        <w:tc>
          <w:tcPr>
            <w:tcW w:w="527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shd w:fill="FFFFFF" w:val="clear"/>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equity</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24,795,827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24,369,812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26,422,887</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8.4%</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w:t>
            </w:r>
          </w:p>
        </w:tc>
      </w:tr>
      <w:tr>
        <w:trPr/>
        <w:tc>
          <w:tcPr>
            <w:tcW w:w="5270"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stock</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12,679,794</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12,679,794</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12,679,794</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5270"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Reserves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5,906,590</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5,906,590</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5,907,974</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5270"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Unrealized gains and losses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282,927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196,962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435,898</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121.3%</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54.1%</w:t>
            </w:r>
          </w:p>
        </w:tc>
      </w:tr>
      <w:tr>
        <w:trPr/>
        <w:tc>
          <w:tcPr>
            <w:tcW w:w="5270"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Retained earnings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5,926,516</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5,586,466</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7,399,221</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32.4%</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24.8%</w:t>
            </w:r>
          </w:p>
        </w:tc>
      </w:tr>
      <w:tr>
        <w:trPr/>
        <w:tc>
          <w:tcPr>
            <w:tcW w:w="5270"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Net Equity</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24,795,827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24,369,812</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26,422,887</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8.4%</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w:t>
            </w:r>
          </w:p>
        </w:tc>
      </w:tr>
      <w:tr>
        <w:trPr/>
        <w:tc>
          <w:tcPr>
            <w:tcW w:w="527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liabilities and equity</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191,422,677</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214,082,044</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218,334,900</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14.1%</w:t>
            </w:r>
          </w:p>
        </w:tc>
      </w:tr>
      <w:tr>
        <w:trPr/>
        <w:tc>
          <w:tcPr>
            <w:tcW w:w="527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c>
          <w:tcPr>
            <w:tcW w:w="56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p>
        </w:tc>
      </w:tr>
      <w:tr>
        <w:trPr/>
        <w:tc>
          <w:tcPr>
            <w:tcW w:w="5270" w:type="dxa"/>
            <w:tcBorders>
              <w:left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Off-balance sheet</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135,664,961</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142,330,825</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145,192,871</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7.0%</w:t>
            </w:r>
          </w:p>
        </w:tc>
      </w:tr>
      <w:tr>
        <w:trPr/>
        <w:tc>
          <w:tcPr>
            <w:tcW w:w="5270" w:type="dxa"/>
            <w:tcBorders>
              <w:left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performance bonds, stand-by and L/Cs.</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20,908,399</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21,519,458</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20,280,743</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w:t>
            </w:r>
          </w:p>
        </w:tc>
      </w:tr>
      <w:tr>
        <w:trPr/>
        <w:tc>
          <w:tcPr>
            <w:tcW w:w="5270" w:type="dxa"/>
            <w:tcBorders>
              <w:left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Undrawn credit lines, advised but not committed</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68,251,113</w:t>
            </w:r>
          </w:p>
        </w:tc>
        <w:tc>
          <w:tcPr>
            <w:tcW w:w="92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72,715,349</w:t>
            </w:r>
          </w:p>
        </w:tc>
        <w:tc>
          <w:tcPr>
            <w:tcW w:w="92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73,700,933</w:t>
            </w:r>
          </w:p>
        </w:tc>
        <w:tc>
          <w:tcPr>
            <w:tcW w:w="560" w:type="dxa"/>
            <w:tcBorders/>
            <w:shd w:fill="FFFFFF" w:val="clear"/>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w:t>
            </w:r>
          </w:p>
        </w:tc>
        <w:tc>
          <w:tcPr>
            <w:tcW w:w="5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w:t>
            </w:r>
          </w:p>
        </w:tc>
      </w:tr>
      <w:tr>
        <w:trPr/>
        <w:tc>
          <w:tcPr>
            <w:tcW w:w="5270" w:type="dxa"/>
            <w:tcBorders>
              <w:left w:val="single" w:sz="8" w:space="0" w:color="000000"/>
              <w:bottom w:val="single" w:sz="8" w:space="0" w:color="000000"/>
              <w:right w:val="single" w:sz="8" w:space="0" w:color="000000"/>
            </w:tcBorders>
            <w:tcMar>
              <w:top w:w="0" w:type="dxa"/>
              <w:left w:w="4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derivatives (notional) and others</w:t>
            </w:r>
          </w:p>
        </w:tc>
        <w:tc>
          <w:tcPr>
            <w:tcW w:w="92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46,505,449</w:t>
            </w:r>
          </w:p>
        </w:tc>
        <w:tc>
          <w:tcPr>
            <w:tcW w:w="92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48,096,018</w:t>
            </w:r>
          </w:p>
        </w:tc>
        <w:tc>
          <w:tcPr>
            <w:tcW w:w="92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51,211,195</w:t>
            </w:r>
          </w:p>
        </w:tc>
        <w:tc>
          <w:tcPr>
            <w:tcW w:w="56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w:t>
            </w:r>
          </w:p>
        </w:tc>
        <w:tc>
          <w:tcPr>
            <w:tcW w:w="53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10.1%</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Right of use asset of lease contracts is included by application of IFRS 16. </w:t>
      </w:r>
    </w:p>
    <w:p>
      <w:pPr>
        <w:pStyle w:val="TextBody"/>
        <w:bidi w:val="0"/>
        <w:spacing w:before="0" w:after="0"/>
        <w:ind w:left="108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Mainly includes intangible assets, other receivable accounts, trading derivatives receivable accounts and tax credit </w:t>
      </w:r>
    </w:p>
    <w:p>
      <w:pPr>
        <w:pStyle w:val="TextBody"/>
        <w:bidi w:val="0"/>
        <w:spacing w:before="0" w:after="0"/>
        <w:ind w:left="108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Mainly includes other payable accounts, trading derivatives payable accounts and taxes for payable.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21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74" descr=""/>
                    <pic:cNvPicPr>
                      <a:picLocks noChangeAspect="1" noChangeArrowheads="1"/>
                    </pic:cNvPicPr>
                  </pic:nvPicPr>
                  <pic:blipFill>
                    <a:blip r:embed="rId190"/>
                    <a:stretch>
                      <a:fillRect/>
                    </a:stretch>
                  </pic:blipFill>
                  <pic:spPr bwMode="auto">
                    <a:xfrm>
                      <a:off x="0" y="0"/>
                      <a:ext cx="7620000" cy="6381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1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5" descr=""/>
                          <pic:cNvPicPr>
                            <a:picLocks noChangeAspect="1" noChangeArrowheads="1"/>
                          </pic:cNvPicPr>
                        </pic:nvPicPr>
                        <pic:blipFill>
                          <a:blip r:embed="rId191"/>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pPr>
            <w:r>
              <w:rPr/>
              <w:t> </w:t>
            </w:r>
          </w:p>
        </w:tc>
      </w:tr>
    </w:tbl>
    <w:p>
      <w:pPr>
        <w:pStyle w:val="TextBody"/>
        <w:bidi w:val="0"/>
        <w:spacing w:before="0" w:after="0"/>
        <w:ind w:left="4683" w:right="5112" w:hanging="0"/>
        <w:jc w:val="center"/>
        <w:rPr>
          <w:caps w:val="false"/>
          <w:smallCaps w:val="false"/>
        </w:rPr>
      </w:pPr>
      <w:r>
        <w:rPr>
          <w:caps w:val="false"/>
          <w:smallCaps w:val="false"/>
        </w:rPr>
        <w:t> </w:t>
      </w:r>
    </w:p>
    <w:p>
      <w:pPr>
        <w:pStyle w:val="TextBody"/>
        <w:bidi w:val="0"/>
        <w:spacing w:before="0" w:after="0"/>
        <w:ind w:left="4683" w:right="5112" w:hanging="0"/>
        <w:jc w:val="center"/>
        <w:rPr>
          <w:rFonts w:ascii="Times New Roman;Times;Serif" w:hAnsi="Times New Roman;Times;Serif"/>
          <w:b w:val="false"/>
          <w:i w:val="false"/>
          <w:caps w:val="false"/>
          <w:smallCaps w:val="false"/>
          <w:sz w:val="18"/>
        </w:rPr>
      </w:pPr>
      <w:r>
        <w:rPr>
          <w:rFonts w:ascii="Times New Roman;Times;Serif" w:hAnsi="Times New Roman;Times;Serif"/>
          <w:b/>
          <w:i w:val="false"/>
          <w:caps w:val="false"/>
          <w:smallCaps w:val="false"/>
          <w:sz w:val="18"/>
        </w:rPr>
        <w:t xml:space="preserve">Statement of Income </w:t>
      </w:r>
      <w:r>
        <w:rPr>
          <w:rFonts w:ascii="Times New Roman;Times;Serif" w:hAnsi="Times New Roman;Times;Serif"/>
          <w:b w:val="false"/>
          <w:i w:val="false"/>
          <w:caps w:val="false"/>
          <w:smallCaps w:val="false"/>
          <w:sz w:val="18"/>
        </w:rPr>
        <w:br/>
      </w:r>
      <w:r>
        <w:rPr>
          <w:rFonts w:ascii="Times New Roman;Times;Serif" w:hAnsi="Times New Roman;Times;Serif"/>
          <w:b/>
          <w:i w:val="false"/>
          <w:caps w:val="false"/>
          <w:smallCaps w:val="false"/>
          <w:sz w:val="18"/>
        </w:rPr>
        <w:t>(S/ Thousands, IFRS)</w:t>
      </w:r>
      <w:r>
        <w:rPr>
          <w:rFonts w:ascii="Times New Roman;Times;Serif" w:hAnsi="Times New Roman;Times;Serif"/>
          <w:b w:val="false"/>
          <w:i w:val="false"/>
          <w:caps w:val="false"/>
          <w:smallCaps w:val="false"/>
          <w:sz w:val="18"/>
        </w:rPr>
        <w:t> </w:t>
      </w:r>
    </w:p>
    <w:p>
      <w:pPr>
        <w:pStyle w:val="TextBody"/>
        <w:bidi w:val="0"/>
        <w:spacing w:before="0" w:after="0"/>
        <w:ind w:left="4683" w:right="5112"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28" w:type="dxa"/>
        </w:tblCellMar>
      </w:tblPr>
      <w:tblGrid>
        <w:gridCol w:w="4121"/>
        <w:gridCol w:w="832"/>
        <w:gridCol w:w="832"/>
        <w:gridCol w:w="832"/>
        <w:gridCol w:w="468"/>
        <w:gridCol w:w="468"/>
        <w:gridCol w:w="832"/>
        <w:gridCol w:w="832"/>
        <w:gridCol w:w="988"/>
      </w:tblGrid>
      <w:tr>
        <w:trPr/>
        <w:tc>
          <w:tcPr>
            <w:tcW w:w="4121"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pPr>
            <w:r>
              <w:rPr/>
              <w:t> </w:t>
            </w:r>
          </w:p>
        </w:tc>
        <w:tc>
          <w:tcPr>
            <w:tcW w:w="2496"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936"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664"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988"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4121"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pPr>
            <w:r>
              <w:rPr/>
              <w:t> </w:t>
            </w:r>
          </w:p>
        </w:tc>
        <w:tc>
          <w:tcPr>
            <w:tcW w:w="832"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832"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832"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468"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468"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832"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832"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988"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Interest income and expense</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468" w:type="dxa"/>
            <w:tcBorders/>
            <w:tcMar>
              <w:top w:w="0" w:type="dxa"/>
              <w:left w:w="0" w:type="dxa"/>
              <w:right w:w="0" w:type="dxa"/>
            </w:tcMar>
            <w:vAlign w:val="center"/>
          </w:tcPr>
          <w:p>
            <w:pPr>
              <w:pStyle w:val="TableContents"/>
              <w:bidi w:val="0"/>
              <w:spacing w:before="0" w:after="283"/>
              <w:jc w:val="left"/>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988"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121" w:type="dxa"/>
            <w:tcBorders>
              <w:left w:val="single" w:sz="8" w:space="0" w:color="000000"/>
              <w:right w:val="single" w:sz="8" w:space="0" w:color="000000"/>
            </w:tcBorders>
            <w:tcMar>
              <w:top w:w="0" w:type="dxa"/>
              <w:left w:w="11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and similar income</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3,535,213</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3,655,168</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3,833,800</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7,054,214</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7,488,968</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w:t>
            </w:r>
          </w:p>
        </w:tc>
      </w:tr>
      <w:tr>
        <w:trPr/>
        <w:tc>
          <w:tcPr>
            <w:tcW w:w="4121" w:type="dxa"/>
            <w:tcBorders>
              <w:left w:val="single" w:sz="8" w:space="0" w:color="000000"/>
              <w:right w:val="single" w:sz="8" w:space="0" w:color="000000"/>
            </w:tcBorders>
            <w:tcMar>
              <w:top w:w="0" w:type="dxa"/>
              <w:left w:w="112"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Interest and similar expenses (1)</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(783,739)</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(705,611)</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(740,772)</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(1,598,204)</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(1,446,383)</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w:t>
            </w:r>
          </w:p>
        </w:tc>
      </w:tr>
      <w:tr>
        <w:trPr/>
        <w:tc>
          <w:tcPr>
            <w:tcW w:w="4121" w:type="dxa"/>
            <w:tcBorders>
              <w:left w:val="single" w:sz="8" w:space="0" w:color="000000"/>
              <w:right w:val="single" w:sz="8" w:space="0" w:color="000000"/>
            </w:tcBorders>
            <w:tcMar>
              <w:top w:w="0" w:type="dxa"/>
              <w:left w:w="112"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Interest income and expense</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2,751,474</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2,949,557</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3,093,028</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12.4%</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5,456,010</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6,042,585</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10.8%</w:t>
            </w:r>
          </w:p>
        </w:tc>
      </w:tr>
      <w:tr>
        <w:trPr/>
        <w:tc>
          <w:tcPr>
            <w:tcW w:w="4121"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468" w:type="dxa"/>
            <w:tcBorders/>
            <w:tcMar>
              <w:top w:w="0" w:type="dxa"/>
              <w:left w:w="0" w:type="dxa"/>
              <w:right w:w="0" w:type="dxa"/>
            </w:tcMar>
            <w:vAlign w:val="center"/>
          </w:tcPr>
          <w:p>
            <w:pPr>
              <w:pStyle w:val="TableContents"/>
              <w:bidi w:val="0"/>
              <w:spacing w:before="0" w:after="283"/>
              <w:jc w:val="left"/>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32" w:type="dxa"/>
            <w:tcBorders>
              <w:right w:val="single" w:sz="8" w:space="0" w:color="000000"/>
            </w:tcBorders>
            <w:tcMar>
              <w:top w:w="0" w:type="dxa"/>
              <w:left w:w="0" w:type="dxa"/>
              <w:right w:w="49"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Provision for credit losses on loan portfolio</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(441,020)</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(352,577)</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(568,414)</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61.2%</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28.9%</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(908,022)</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(920,991)</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Recoveries of written-off loans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81,258</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104,411</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93,012</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166,097</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197,423</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18.9%</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Provision for credit losses on loan portfolio, net of recoveries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(359,762)</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(248,166)</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(475,402)</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91.6%</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32.1%</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(741,925)</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(723,568)</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w:t>
            </w:r>
          </w:p>
        </w:tc>
      </w:tr>
      <w:tr>
        <w:trPr/>
        <w:tc>
          <w:tcPr>
            <w:tcW w:w="4121"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468" w:type="dxa"/>
            <w:tcBorders/>
            <w:tcMar>
              <w:top w:w="0" w:type="dxa"/>
              <w:left w:w="0" w:type="dxa"/>
              <w:right w:w="0" w:type="dxa"/>
            </w:tcMar>
            <w:vAlign w:val="center"/>
          </w:tcPr>
          <w:p>
            <w:pPr>
              <w:pStyle w:val="TableContents"/>
              <w:bidi w:val="0"/>
              <w:spacing w:before="0" w:after="283"/>
              <w:jc w:val="left"/>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t>
            </w:r>
          </w:p>
        </w:tc>
        <w:tc>
          <w:tcPr>
            <w:tcW w:w="832" w:type="dxa"/>
            <w:tcBorders>
              <w:right w:val="single" w:sz="8" w:space="0" w:color="000000"/>
            </w:tcBorders>
            <w:tcMar>
              <w:top w:w="0" w:type="dxa"/>
              <w:left w:w="0" w:type="dxa"/>
              <w:right w:w="49"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0.0%</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interest, similar income and expenses, after provision for credit losses on loan portfolio</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2,391,712</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2,701,391</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2,617,626</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9.4%</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4,714,085</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5,319,017</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12.8%</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center"/>
              <w:rPr/>
            </w:pPr>
            <w:r>
              <w:rPr/>
              <w:t> </w:t>
            </w:r>
          </w:p>
        </w:tc>
        <w:tc>
          <w:tcPr>
            <w:tcW w:w="832" w:type="dxa"/>
            <w:tcBorders/>
            <w:tcMar>
              <w:top w:w="0" w:type="dxa"/>
              <w:left w:w="0" w:type="dxa"/>
              <w:right w:w="0" w:type="dxa"/>
            </w:tcMar>
            <w:vAlign w:val="center"/>
          </w:tcPr>
          <w:p>
            <w:pPr>
              <w:pStyle w:val="TableContents"/>
              <w:bidi w:val="0"/>
              <w:spacing w:before="0" w:after="283"/>
              <w:jc w:val="center"/>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468" w:type="dxa"/>
            <w:tcBorders/>
            <w:tcMar>
              <w:top w:w="0" w:type="dxa"/>
              <w:left w:w="0" w:type="dxa"/>
              <w:right w:w="0" w:type="dxa"/>
            </w:tcMar>
            <w:vAlign w:val="center"/>
          </w:tcPr>
          <w:p>
            <w:pPr>
              <w:pStyle w:val="TableContents"/>
              <w:bidi w:val="0"/>
              <w:spacing w:before="0" w:after="283"/>
              <w:jc w:val="center"/>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Other income</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468" w:type="dxa"/>
            <w:tcBorders/>
            <w:tcMar>
              <w:top w:w="0" w:type="dxa"/>
              <w:left w:w="0" w:type="dxa"/>
              <w:right w:w="0" w:type="dxa"/>
            </w:tcMar>
            <w:vAlign w:val="center"/>
          </w:tcPr>
          <w:p>
            <w:pPr>
              <w:pStyle w:val="TableContents"/>
              <w:bidi w:val="0"/>
              <w:spacing w:before="0" w:after="283"/>
              <w:jc w:val="left"/>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988"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121" w:type="dxa"/>
            <w:tcBorders>
              <w:left w:val="single" w:sz="8" w:space="0" w:color="000000"/>
              <w:right w:val="single" w:sz="8" w:space="0" w:color="000000"/>
            </w:tcBorders>
            <w:tcMar>
              <w:top w:w="0" w:type="dxa"/>
              <w:left w:w="6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 income</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853,720</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961,546</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970,331</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0.9%</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1,685,146</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1,931,877</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on foreign exchange transactions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347,077</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386,255</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415,666</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19.8%</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650,771</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801,921</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23.2%</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on securities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215,491</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201,491</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155,819</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-22.7%</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-27.7%</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315,888</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357,310</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from associates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1,352</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3,556</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2,626</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-26.2%</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94.2%</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2,861</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6,182</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116.1%</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on derivatives held for trading</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35,945</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11,669</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65,027</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xml:space="preserve">n.a. </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80.9%</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49,697</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76,696</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54.3%</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 from exchange differences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1,622</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18,682</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9,486</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-49.2%</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3,171</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28,168</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27,968</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17,534</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28,740</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63.9%</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51,148</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46,274</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other income</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1,483,175</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1,600,733</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1,647,695</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11.1%</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2,758,682</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3,248,428</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17.8%</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center"/>
              <w:rPr/>
            </w:pPr>
            <w:r>
              <w:rPr/>
              <w:t> </w:t>
            </w:r>
          </w:p>
        </w:tc>
        <w:tc>
          <w:tcPr>
            <w:tcW w:w="832" w:type="dxa"/>
            <w:tcBorders/>
            <w:tcMar>
              <w:top w:w="0" w:type="dxa"/>
              <w:left w:w="0" w:type="dxa"/>
              <w:right w:w="0" w:type="dxa"/>
            </w:tcMar>
            <w:vAlign w:val="center"/>
          </w:tcPr>
          <w:p>
            <w:pPr>
              <w:pStyle w:val="TableContents"/>
              <w:bidi w:val="0"/>
              <w:spacing w:before="0" w:after="283"/>
              <w:jc w:val="center"/>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468" w:type="dxa"/>
            <w:tcBorders/>
            <w:tcMar>
              <w:top w:w="0" w:type="dxa"/>
              <w:left w:w="0" w:type="dxa"/>
              <w:right w:w="0" w:type="dxa"/>
            </w:tcMar>
            <w:vAlign w:val="center"/>
          </w:tcPr>
          <w:p>
            <w:pPr>
              <w:pStyle w:val="TableContents"/>
              <w:bidi w:val="0"/>
              <w:spacing w:before="0" w:after="283"/>
              <w:jc w:val="center"/>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expenses</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468" w:type="dxa"/>
            <w:tcBorders/>
            <w:tcMar>
              <w:top w:w="0" w:type="dxa"/>
              <w:left w:w="0" w:type="dxa"/>
              <w:right w:w="0" w:type="dxa"/>
            </w:tcMar>
            <w:vAlign w:val="center"/>
          </w:tcPr>
          <w:p>
            <w:pPr>
              <w:pStyle w:val="TableContents"/>
              <w:bidi w:val="0"/>
              <w:spacing w:before="0" w:after="283"/>
              <w:jc w:val="left"/>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988"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121" w:type="dxa"/>
            <w:tcBorders>
              <w:left w:val="single" w:sz="8" w:space="0" w:color="000000"/>
              <w:right w:val="single" w:sz="8" w:space="0" w:color="000000"/>
            </w:tcBorders>
            <w:tcMar>
              <w:top w:w="0" w:type="dxa"/>
              <w:left w:w="11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Salaries and employee benefits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(721,895)</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(817,495)</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(830,345)</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15.0%</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(1,467,830)</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(1,647,840)</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w:t>
            </w:r>
          </w:p>
        </w:tc>
      </w:tr>
      <w:tr>
        <w:trPr/>
        <w:tc>
          <w:tcPr>
            <w:tcW w:w="4121" w:type="dxa"/>
            <w:tcBorders>
              <w:left w:val="single" w:sz="8" w:space="0" w:color="000000"/>
              <w:right w:val="single" w:sz="8" w:space="0" w:color="000000"/>
            </w:tcBorders>
            <w:tcMar>
              <w:top w:w="0" w:type="dxa"/>
              <w:left w:w="11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Administrative expenses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(655,997)</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(686,749)</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(760,449)</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10.7%</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15.9%</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(1,218,436)</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(1,447,198)</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18.8%</w:t>
            </w:r>
          </w:p>
        </w:tc>
      </w:tr>
      <w:tr>
        <w:trPr/>
        <w:tc>
          <w:tcPr>
            <w:tcW w:w="4121" w:type="dxa"/>
            <w:tcBorders>
              <w:left w:val="single" w:sz="8" w:space="0" w:color="000000"/>
              <w:right w:val="single" w:sz="8" w:space="0" w:color="000000"/>
            </w:tcBorders>
            <w:tcMar>
              <w:top w:w="0" w:type="dxa"/>
              <w:left w:w="112"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Depreciation and amortization (2)</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(152,670)</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(168,601)</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(165,501)</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8.4%</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(297,812)</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(334,102)</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w:t>
            </w:r>
          </w:p>
        </w:tc>
      </w:tr>
      <w:tr>
        <w:trPr/>
        <w:tc>
          <w:tcPr>
            <w:tcW w:w="4121" w:type="dxa"/>
            <w:tcBorders>
              <w:left w:val="single" w:sz="8" w:space="0" w:color="000000"/>
              <w:right w:val="single" w:sz="8" w:space="0" w:color="000000"/>
            </w:tcBorders>
            <w:tcMar>
              <w:top w:w="0" w:type="dxa"/>
              <w:left w:w="11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expenses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(51,591)</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(51,904)</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(96,107)</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85.2%</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86.3%</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(99,944)</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(148,011)</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48.1%</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expenses</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(1,582,153)</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(1,724,749)</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(1,852,402)</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7.4%</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17.1%</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(3,084,022)</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(3,577,151)</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16.0%</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center"/>
              <w:rPr/>
            </w:pPr>
            <w:r>
              <w:rPr/>
              <w:t> </w:t>
            </w:r>
          </w:p>
        </w:tc>
        <w:tc>
          <w:tcPr>
            <w:tcW w:w="832" w:type="dxa"/>
            <w:tcBorders/>
            <w:tcMar>
              <w:top w:w="0" w:type="dxa"/>
              <w:left w:w="0" w:type="dxa"/>
              <w:right w:w="0" w:type="dxa"/>
            </w:tcMar>
            <w:vAlign w:val="center"/>
          </w:tcPr>
          <w:p>
            <w:pPr>
              <w:pStyle w:val="TableContents"/>
              <w:bidi w:val="0"/>
              <w:spacing w:before="0" w:after="283"/>
              <w:jc w:val="center"/>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468" w:type="dxa"/>
            <w:tcBorders/>
            <w:tcMar>
              <w:top w:w="0" w:type="dxa"/>
              <w:left w:w="0" w:type="dxa"/>
              <w:right w:w="0" w:type="dxa"/>
            </w:tcMar>
            <w:vAlign w:val="center"/>
          </w:tcPr>
          <w:p>
            <w:pPr>
              <w:pStyle w:val="TableContents"/>
              <w:bidi w:val="0"/>
              <w:spacing w:before="0" w:after="283"/>
              <w:jc w:val="center"/>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Profit before income tax</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2,292,734</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2,577,375</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2,412,919</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-6.4%</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4,388,745</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4,990,294</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13.7%</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(542,848)</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(626,588)</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(600,161)</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(1,060,589)</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(1,226,749)</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w:t>
            </w:r>
          </w:p>
        </w:tc>
      </w:tr>
      <w:tr>
        <w:trPr/>
        <w:tc>
          <w:tcPr>
            <w:tcW w:w="4121" w:type="dxa"/>
            <w:tcBorders>
              <w:left w:val="single" w:sz="8" w:space="0" w:color="000000"/>
              <w:right w:val="single" w:sz="8" w:space="0" w:color="000000"/>
            </w:tcBorders>
            <w:tcMar>
              <w:top w:w="0" w:type="dxa"/>
              <w:left w:w="31"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profit</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1,749,886</w:t>
            </w:r>
          </w:p>
        </w:tc>
        <w:tc>
          <w:tcPr>
            <w:tcW w:w="832"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1,950,787</w:t>
            </w:r>
          </w:p>
        </w:tc>
        <w:tc>
          <w:tcPr>
            <w:tcW w:w="832"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1,812,758</w:t>
            </w:r>
          </w:p>
        </w:tc>
        <w:tc>
          <w:tcPr>
            <w:tcW w:w="468"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-7.1%</w:t>
            </w:r>
          </w:p>
        </w:tc>
        <w:tc>
          <w:tcPr>
            <w:tcW w:w="46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w:t>
            </w:r>
          </w:p>
        </w:tc>
        <w:tc>
          <w:tcPr>
            <w:tcW w:w="832"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3,328,156</w:t>
            </w:r>
          </w:p>
        </w:tc>
        <w:tc>
          <w:tcPr>
            <w:tcW w:w="83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3,763,545</w:t>
            </w:r>
          </w:p>
        </w:tc>
        <w:tc>
          <w:tcPr>
            <w:tcW w:w="988"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w:t>
            </w:r>
          </w:p>
        </w:tc>
      </w:tr>
      <w:tr>
        <w:trPr/>
        <w:tc>
          <w:tcPr>
            <w:tcW w:w="4121" w:type="dxa"/>
            <w:tcBorders>
              <w:left w:val="single" w:sz="8" w:space="0" w:color="000000"/>
              <w:right w:val="single" w:sz="8" w:space="0" w:color="000000"/>
            </w:tcBorders>
            <w:tcMar>
              <w:top w:w="0" w:type="dxa"/>
              <w:left w:w="112"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Non-controlling interest</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468" w:type="dxa"/>
            <w:tcBorders/>
            <w:tcMar>
              <w:top w:w="0" w:type="dxa"/>
              <w:left w:w="0" w:type="dxa"/>
              <w:right w:w="0" w:type="dxa"/>
            </w:tcMar>
            <w:vAlign w:val="center"/>
          </w:tcPr>
          <w:p>
            <w:pPr>
              <w:pStyle w:val="TableContents"/>
              <w:bidi w:val="0"/>
              <w:spacing w:before="0" w:after="283"/>
              <w:jc w:val="left"/>
              <w:rPr/>
            </w:pPr>
            <w:r>
              <w:rPr/>
              <w:t> </w:t>
            </w:r>
          </w:p>
        </w:tc>
        <w:tc>
          <w:tcPr>
            <w:tcW w:w="468"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832" w:type="dxa"/>
            <w:tcBorders/>
            <w:tcMar>
              <w:top w:w="0" w:type="dxa"/>
              <w:left w:w="0" w:type="dxa"/>
              <w:right w:w="0" w:type="dxa"/>
            </w:tcMar>
            <w:vAlign w:val="center"/>
          </w:tcPr>
          <w:p>
            <w:pPr>
              <w:pStyle w:val="TableContents"/>
              <w:bidi w:val="0"/>
              <w:spacing w:before="0" w:after="283"/>
              <w:jc w:val="left"/>
              <w:rPr/>
            </w:pPr>
            <w:r>
              <w:rPr/>
              <w:t> </w:t>
            </w:r>
          </w:p>
        </w:tc>
        <w:tc>
          <w:tcPr>
            <w:tcW w:w="832"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988"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121" w:type="dxa"/>
            <w:tcBorders>
              <w:left w:val="single" w:sz="8" w:space="0" w:color="000000"/>
              <w:bottom w:val="single" w:sz="8" w:space="0" w:color="000000"/>
              <w:right w:val="single" w:sz="8" w:space="0" w:color="000000"/>
            </w:tcBorders>
            <w:tcMar>
              <w:top w:w="0" w:type="dxa"/>
              <w:left w:w="31"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profit attributable to BCP</w:t>
            </w:r>
          </w:p>
        </w:tc>
        <w:tc>
          <w:tcPr>
            <w:tcW w:w="832"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1,749,886</w:t>
            </w:r>
          </w:p>
        </w:tc>
        <w:tc>
          <w:tcPr>
            <w:tcW w:w="832"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1,950,787</w:t>
            </w:r>
          </w:p>
        </w:tc>
        <w:tc>
          <w:tcPr>
            <w:tcW w:w="83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1,812,758</w:t>
            </w:r>
          </w:p>
        </w:tc>
        <w:tc>
          <w:tcPr>
            <w:tcW w:w="468"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-7.1%</w:t>
            </w:r>
          </w:p>
        </w:tc>
        <w:tc>
          <w:tcPr>
            <w:tcW w:w="4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3.6%</w:t>
            </w:r>
          </w:p>
        </w:tc>
        <w:tc>
          <w:tcPr>
            <w:tcW w:w="832"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3,328,156</w:t>
            </w:r>
          </w:p>
        </w:tc>
        <w:tc>
          <w:tcPr>
            <w:tcW w:w="83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3,763,545</w:t>
            </w:r>
          </w:p>
        </w:tc>
        <w:tc>
          <w:tcPr>
            <w:tcW w:w="98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169" w:right="919"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Financing expenses related to lease agreements are included according to the application of IFRS 16. </w:t>
      </w:r>
    </w:p>
    <w:p>
      <w:pPr>
        <w:pStyle w:val="TextBody"/>
        <w:bidi w:val="0"/>
        <w:spacing w:before="0" w:after="0"/>
        <w:ind w:left="1169" w:right="919"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The effect of the application of IFRS 16 is included, which corresponds to a greater depreciation for the asset for right-of-use”.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51" w:right="578"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Selected Financial Indicators</w:t>
      </w:r>
    </w:p>
    <w:p>
      <w:pPr>
        <w:pStyle w:val="TextBody"/>
        <w:bidi w:val="0"/>
        <w:spacing w:before="0" w:after="0"/>
        <w:ind w:left="151" w:right="578" w:hanging="0"/>
        <w:jc w:val="center"/>
        <w:rPr>
          <w:caps w:val="false"/>
          <w:smallCaps w:val="false"/>
        </w:rPr>
      </w:pPr>
      <w:r>
        <w:rPr>
          <w:caps w:val="false"/>
          <w:smallCaps w:val="false"/>
        </w:rPr>
        <w:t> </w:t>
      </w:r>
    </w:p>
    <w:tbl>
      <w:tblPr>
        <w:tblW w:w="8790" w:type="dxa"/>
        <w:jc w:val="left"/>
        <w:tblInd w:w="-10" w:type="dxa"/>
        <w:tblLayout w:type="fixed"/>
        <w:tblCellMar>
          <w:top w:w="28" w:type="dxa"/>
          <w:left w:w="28" w:type="dxa"/>
          <w:bottom w:w="0" w:type="dxa"/>
          <w:right w:w="28" w:type="dxa"/>
        </w:tblCellMar>
      </w:tblPr>
      <w:tblGrid>
        <w:gridCol w:w="3545"/>
        <w:gridCol w:w="560"/>
        <w:gridCol w:w="560"/>
        <w:gridCol w:w="560"/>
        <w:gridCol w:w="635"/>
        <w:gridCol w:w="665"/>
        <w:gridCol w:w="560"/>
        <w:gridCol w:w="560"/>
        <w:gridCol w:w="1145"/>
      </w:tblGrid>
      <w:tr>
        <w:trPr/>
        <w:tc>
          <w:tcPr>
            <w:tcW w:w="354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pPr>
            <w:r>
              <w:rPr/>
              <w:t> </w:t>
            </w:r>
          </w:p>
        </w:tc>
        <w:tc>
          <w:tcPr>
            <w:tcW w:w="168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Quarter</w:t>
            </w:r>
          </w:p>
        </w:tc>
        <w:tc>
          <w:tcPr>
            <w:tcW w:w="130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c>
          <w:tcPr>
            <w:tcW w:w="112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Up to</w:t>
            </w:r>
          </w:p>
        </w:tc>
        <w:tc>
          <w:tcPr>
            <w:tcW w:w="1145"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Change</w:t>
            </w:r>
          </w:p>
        </w:tc>
      </w:tr>
      <w:tr>
        <w:trPr/>
        <w:tc>
          <w:tcPr>
            <w:tcW w:w="354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2Q25</w:t>
            </w:r>
          </w:p>
        </w:tc>
        <w:tc>
          <w:tcPr>
            <w:tcW w:w="56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1Q26</w:t>
            </w:r>
          </w:p>
        </w:tc>
        <w:tc>
          <w:tcPr>
            <w:tcW w:w="56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2Q26</w:t>
            </w:r>
          </w:p>
        </w:tc>
        <w:tc>
          <w:tcPr>
            <w:tcW w:w="63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QoQ</w:t>
            </w:r>
          </w:p>
        </w:tc>
        <w:tc>
          <w:tcPr>
            <w:tcW w:w="66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YoY</w:t>
            </w:r>
          </w:p>
        </w:tc>
        <w:tc>
          <w:tcPr>
            <w:tcW w:w="56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25</w:t>
            </w:r>
          </w:p>
        </w:tc>
        <w:tc>
          <w:tcPr>
            <w:tcW w:w="56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w:t>
            </w:r>
          </w:p>
        </w:tc>
        <w:tc>
          <w:tcPr>
            <w:tcW w:w="114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Jun 26 / Jun 25</w:t>
            </w:r>
          </w:p>
        </w:tc>
      </w:tr>
      <w:tr>
        <w:trPr/>
        <w:tc>
          <w:tcPr>
            <w:tcW w:w="3545" w:type="dxa"/>
            <w:tcBorders>
              <w:left w:val="single" w:sz="8" w:space="0" w:color="000000"/>
              <w:right w:val="single" w:sz="8" w:space="0" w:color="000000"/>
            </w:tcBorders>
            <w:tcMar>
              <w:top w:w="0" w:type="dxa"/>
              <w:left w:w="7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Profitability</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635"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1145"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ROAA (1)(2)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3.6%</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 bps</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ROAE (1)(2)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29.6%</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28.6%</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26.2%</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27.5%</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 bps</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Net interest margin (1)(2)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6.00%</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6.00%</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6.13%</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6.08%</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 bps</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Risk-adjusted Net interest margin (1)(2)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5.50%</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5.18%</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5.35%</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 bps</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Funding cost (1)(2)(3)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1.95%</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1.64%</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1.63%</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 bps</w:t>
            </w:r>
          </w:p>
        </w:tc>
      </w:tr>
      <w:tr>
        <w:trPr/>
        <w:tc>
          <w:tcPr>
            <w:tcW w:w="3545" w:type="dxa"/>
            <w:tcBorders>
              <w:left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Loan portfolio quality</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635"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1145"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Internal overdue ratio</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2.7%</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 bps</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NPL ratio</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3.9%</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-93 bps</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Coverage ratio of IOLs</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155.4%</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166.9%</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168.4%</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1304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155.4%</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168.4%</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1304 bps</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Coverage ratio of NPLs</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112.2%</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115.8%</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353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641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109.3%</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115.8%</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641 bps</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Cost of risk (4)</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0.8%</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1.1%</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 bps</w:t>
            </w:r>
          </w:p>
        </w:tc>
      </w:tr>
      <w:tr>
        <w:trPr/>
        <w:tc>
          <w:tcPr>
            <w:tcW w:w="3545" w:type="dxa"/>
            <w:tcBorders>
              <w:left w:val="single" w:sz="8" w:space="0" w:color="000000"/>
              <w:right w:val="single" w:sz="8" w:space="0" w:color="000000"/>
            </w:tcBorders>
            <w:tcMar>
              <w:top w:w="0" w:type="dxa"/>
              <w:left w:w="7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Operating efficiency</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635" w:type="dxa"/>
            <w:tcBorders/>
            <w:tcMar>
              <w:top w:w="0" w:type="dxa"/>
              <w:left w:w="0" w:type="dxa"/>
              <w:right w:w="0" w:type="dxa"/>
            </w:tcMar>
            <w:vAlign w:val="center"/>
          </w:tcPr>
          <w:p>
            <w:pPr>
              <w:pStyle w:val="TableContents"/>
              <w:bidi w:val="0"/>
              <w:spacing w:before="0" w:after="283"/>
              <w:jc w:val="left"/>
              <w:rPr/>
            </w:pPr>
            <w:r>
              <w:rPr/>
              <w:t> </w:t>
            </w:r>
          </w:p>
        </w:tc>
        <w:tc>
          <w:tcPr>
            <w:tcW w:w="665"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560" w:type="dxa"/>
            <w:tcBorders/>
            <w:tcMar>
              <w:top w:w="0" w:type="dxa"/>
              <w:left w:w="0" w:type="dxa"/>
              <w:right w:w="0" w:type="dxa"/>
            </w:tcMar>
            <w:vAlign w:val="center"/>
          </w:tcPr>
          <w:p>
            <w:pPr>
              <w:pStyle w:val="TableContents"/>
              <w:bidi w:val="0"/>
              <w:spacing w:before="0" w:after="283"/>
              <w:jc w:val="left"/>
              <w:rPr/>
            </w:pPr>
            <w:r>
              <w:rPr/>
              <w:t> </w:t>
            </w:r>
          </w:p>
        </w:tc>
        <w:tc>
          <w:tcPr>
            <w:tcW w:w="560" w:type="dxa"/>
            <w:tcBorders>
              <w:right w:val="single" w:sz="8" w:space="0" w:color="000000"/>
            </w:tcBorders>
            <w:tcMar>
              <w:top w:w="0" w:type="dxa"/>
              <w:left w:w="0" w:type="dxa"/>
            </w:tcMar>
            <w:vAlign w:val="center"/>
          </w:tcPr>
          <w:p>
            <w:pPr>
              <w:pStyle w:val="TableContents"/>
              <w:bidi w:val="0"/>
              <w:spacing w:before="0" w:after="283"/>
              <w:jc w:val="left"/>
              <w:rPr/>
            </w:pPr>
            <w:r>
              <w:rPr/>
              <w:t> </w:t>
            </w:r>
          </w:p>
        </w:tc>
        <w:tc>
          <w:tcPr>
            <w:tcW w:w="1145"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545" w:type="dxa"/>
            <w:tcBorders>
              <w:left w:val="single" w:sz="8" w:space="0" w:color="000000"/>
              <w:right w:val="single" w:sz="8" w:space="0" w:color="000000"/>
            </w:tcBorders>
            <w:tcMar>
              <w:top w:w="0" w:type="dxa"/>
              <w:left w:w="134"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Operating expenses / Total income (5)</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38.3%</w:t>
            </w:r>
          </w:p>
        </w:tc>
        <w:tc>
          <w:tcPr>
            <w:tcW w:w="56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38.6%</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38.5%</w:t>
            </w:r>
          </w:p>
        </w:tc>
        <w:tc>
          <w:tcPr>
            <w:tcW w:w="6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 bps</w:t>
            </w:r>
          </w:p>
        </w:tc>
        <w:tc>
          <w:tcPr>
            <w:tcW w:w="560" w:type="dxa"/>
            <w:tcBorders/>
            <w:tcMar>
              <w:top w:w="0" w:type="dxa"/>
              <w:left w:w="0"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38.0%</w:t>
            </w:r>
          </w:p>
        </w:tc>
        <w:tc>
          <w:tcPr>
            <w:tcW w:w="560"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38.6%</w:t>
            </w:r>
          </w:p>
        </w:tc>
        <w:tc>
          <w:tcPr>
            <w:tcW w:w="114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 bps</w:t>
            </w:r>
          </w:p>
        </w:tc>
      </w:tr>
      <w:tr>
        <w:trPr/>
        <w:tc>
          <w:tcPr>
            <w:tcW w:w="3545" w:type="dxa"/>
            <w:tcBorders>
              <w:left w:val="single" w:sz="8" w:space="0" w:color="000000"/>
              <w:bottom w:val="single" w:sz="8" w:space="0" w:color="000000"/>
              <w:right w:val="single" w:sz="8" w:space="0" w:color="000000"/>
            </w:tcBorders>
            <w:tcMar>
              <w:top w:w="0" w:type="dxa"/>
              <w:left w:w="134" w:type="dxa"/>
              <w:bottom w:w="28"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Operating expenses / Total average assets (1)(2)(5)</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w:t>
            </w:r>
          </w:p>
        </w:tc>
        <w:tc>
          <w:tcPr>
            <w:tcW w:w="5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w:t>
            </w:r>
          </w:p>
        </w:tc>
        <w:tc>
          <w:tcPr>
            <w:tcW w:w="63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 bps</w:t>
            </w:r>
          </w:p>
        </w:tc>
        <w:tc>
          <w:tcPr>
            <w:tcW w:w="6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 bps</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w:t>
            </w:r>
          </w:p>
        </w:tc>
        <w:tc>
          <w:tcPr>
            <w:tcW w:w="5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3.2%</w:t>
            </w:r>
          </w:p>
        </w:tc>
        <w:tc>
          <w:tcPr>
            <w:tcW w:w="114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 bps</w:t>
            </w:r>
          </w:p>
        </w:tc>
      </w:tr>
    </w:tbl>
    <w:p>
      <w:pPr>
        <w:pStyle w:val="TextBody"/>
        <w:bidi w:val="0"/>
        <w:jc w:val="left"/>
        <w:rPr>
          <w:caps w:val="false"/>
          <w:smallCaps w:val="false"/>
        </w:rPr>
      </w:pPr>
      <w:r>
        <w:rPr>
          <w:caps w:val="false"/>
          <w:smallCaps w:val="false"/>
        </w:rPr>
        <w:t> </w:t>
      </w:r>
    </w:p>
    <w:p>
      <w:pPr>
        <w:pStyle w:val="TextBody"/>
        <w:bidi w:val="0"/>
        <w:spacing w:before="0" w:after="0"/>
        <w:ind w:left="1169"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Ratios are annualized. </w:t>
      </w:r>
    </w:p>
    <w:p>
      <w:pPr>
        <w:pStyle w:val="TextBody"/>
        <w:bidi w:val="0"/>
        <w:spacing w:before="0" w:after="0"/>
        <w:ind w:left="1169"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Averages are determined as the average of period-beginning and period-ending balances. </w:t>
      </w:r>
    </w:p>
    <w:p>
      <w:pPr>
        <w:pStyle w:val="TextBody"/>
        <w:bidi w:val="0"/>
        <w:spacing w:before="0" w:after="0"/>
        <w:ind w:left="1169"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The funding costs differ from previously reported due to a methodology change in the denominator, which no longer includes the following accounts: acceptances outstanding, reserves for property and casualty claims, reserve for unearned premiums, reinsurance payable and other liabilities. </w:t>
      </w:r>
    </w:p>
    <w:p>
      <w:pPr>
        <w:pStyle w:val="TextBody"/>
        <w:bidi w:val="0"/>
        <w:spacing w:before="0" w:after="0"/>
        <w:ind w:left="1169"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Cost of risk: Annualized provision for loan losses / Average total loans. </w:t>
      </w:r>
    </w:p>
    <w:p>
      <w:pPr>
        <w:pStyle w:val="TextBody"/>
        <w:bidi w:val="0"/>
        <w:spacing w:before="0" w:after="0"/>
        <w:ind w:left="1169"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 Total income includes net interest income, fee income, net gain on foreign exchange transactions, result on exchange difference and net gain on derivatives. Operating expenses include Salaries and social benefits, administrative, general and tax expenses and depreciation and amortization.</w:t>
      </w:r>
    </w:p>
    <w:p>
      <w:pPr>
        <w:pStyle w:val="TextBody"/>
        <w:bidi w:val="0"/>
        <w:spacing w:before="0" w:after="0"/>
        <w:ind w:left="1169" w:right="85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21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76" descr=""/>
                    <pic:cNvPicPr>
                      <a:picLocks noChangeAspect="1" noChangeArrowheads="1"/>
                    </pic:cNvPicPr>
                  </pic:nvPicPr>
                  <pic:blipFill>
                    <a:blip r:embed="rId192"/>
                    <a:stretch>
                      <a:fillRect/>
                    </a:stretch>
                  </pic:blipFill>
                  <pic:spPr bwMode="auto">
                    <a:xfrm>
                      <a:off x="0" y="0"/>
                      <a:ext cx="7620000" cy="647700"/>
                    </a:xfrm>
                    <a:prstGeom prst="rect">
                      <a:avLst/>
                    </a:prstGeom>
                  </pic:spPr>
                </pic:pic>
              </a:graphicData>
            </a:graphic>
          </wp:inline>
        </w:drawing>
      </w:r>
    </w:p>
    <w:p>
      <w:pPr>
        <w:pStyle w:val="TextBody"/>
        <w:bidi w:val="0"/>
        <w:spacing w:before="0" w:after="0"/>
        <w:ind w:left="1169" w:right="850" w:hanging="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1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77" descr=""/>
                          <pic:cNvPicPr>
                            <a:picLocks noChangeAspect="1" noChangeArrowheads="1"/>
                          </pic:cNvPicPr>
                        </pic:nvPicPr>
                        <pic:blipFill>
                          <a:blip r:embed="rId193"/>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12.7.5. BCP Bolivia</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Statement of Financial Position </w:t>
        <w:br/>
        <w:t>(S/ Thousands, IFRS)</w:t>
      </w:r>
    </w:p>
    <w:p>
      <w:pPr>
        <w:pStyle w:val="TextBody"/>
        <w:bidi w:val="0"/>
        <w:spacing w:before="0" w:after="0"/>
        <w:jc w:val="center"/>
        <w:rPr>
          <w:caps w:val="false"/>
          <w:smallCaps w:val="false"/>
        </w:rPr>
      </w:pPr>
      <w:r>
        <w:rPr>
          <w:caps w:val="false"/>
          <w:smallCaps w:val="false"/>
        </w:rPr>
        <w:t> </w:t>
      </w:r>
    </w:p>
    <w:tbl>
      <w:tblPr>
        <w:tblW w:w="8304" w:type="dxa"/>
        <w:jc w:val="left"/>
        <w:tblInd w:w="-10" w:type="dxa"/>
        <w:tblLayout w:type="fixed"/>
        <w:tblCellMar>
          <w:top w:w="28" w:type="dxa"/>
          <w:left w:w="28" w:type="dxa"/>
          <w:bottom w:w="28" w:type="dxa"/>
          <w:right w:w="28" w:type="dxa"/>
        </w:tblCellMar>
      </w:tblPr>
      <w:tblGrid>
        <w:gridCol w:w="3965"/>
        <w:gridCol w:w="740"/>
        <w:gridCol w:w="830"/>
        <w:gridCol w:w="740"/>
        <w:gridCol w:w="959"/>
        <w:gridCol w:w="1070"/>
      </w:tblGrid>
      <w:tr>
        <w:trPr/>
        <w:tc>
          <w:tcPr>
            <w:tcW w:w="396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74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55" w:right="5"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 </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45" w:right="42"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As of </w:t>
            </w:r>
          </w:p>
          <w:p>
            <w:pPr>
              <w:pStyle w:val="TableContents"/>
              <w:bidi w:val="0"/>
              <w:spacing w:before="0" w:after="0"/>
              <w:ind w:left="45" w:right="15"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Mar 26 </w:t>
            </w:r>
          </w:p>
        </w:tc>
        <w:tc>
          <w:tcPr>
            <w:tcW w:w="74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47" w:right="1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w:t>
            </w:r>
          </w:p>
        </w:tc>
        <w:tc>
          <w:tcPr>
            <w:tcW w:w="2029"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58"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 </w:t>
            </w:r>
          </w:p>
          <w:p>
            <w:pPr>
              <w:pStyle w:val="TableContents"/>
              <w:bidi w:val="0"/>
              <w:spacing w:before="0" w:after="0"/>
              <w:ind w:left="36"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 </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due from banks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1,218,865</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2,038,421</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1,447,650</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-29.0%</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18.8%</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685,760</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1,369,382</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1,303,605</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90.1%</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Loans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4,189,040</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7,319,044</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6,583,725</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57.2%</w:t>
            </w:r>
          </w:p>
        </w:tc>
      </w:tr>
      <w:tr>
        <w:trPr/>
        <w:tc>
          <w:tcPr>
            <w:tcW w:w="3965" w:type="dxa"/>
            <w:tcBorders>
              <w:left w:val="single" w:sz="8" w:space="0" w:color="000000"/>
              <w:right w:val="single" w:sz="8" w:space="0" w:color="000000"/>
            </w:tcBorders>
            <w:tcMar>
              <w:top w:w="0" w:type="dxa"/>
              <w:left w:w="148"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4,050,247</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7,066,855</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6,339,356</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-10.3%</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56.5%</w:t>
            </w:r>
          </w:p>
        </w:tc>
      </w:tr>
      <w:tr>
        <w:trPr/>
        <w:tc>
          <w:tcPr>
            <w:tcW w:w="3965" w:type="dxa"/>
            <w:tcBorders>
              <w:left w:val="single" w:sz="8" w:space="0" w:color="000000"/>
              <w:right w:val="single" w:sz="8" w:space="0" w:color="000000"/>
            </w:tcBorders>
            <w:tcMar>
              <w:top w:w="0" w:type="dxa"/>
              <w:left w:w="148"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Internal overdue loans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110,562</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173,194</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170,300</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54.0%</w:t>
            </w:r>
          </w:p>
        </w:tc>
      </w:tr>
      <w:tr>
        <w:trPr/>
        <w:tc>
          <w:tcPr>
            <w:tcW w:w="3965" w:type="dxa"/>
            <w:tcBorders>
              <w:left w:val="single" w:sz="8" w:space="0" w:color="000000"/>
              <w:right w:val="single" w:sz="8" w:space="0" w:color="000000"/>
            </w:tcBorders>
            <w:tcMar>
              <w:top w:w="0" w:type="dxa"/>
              <w:left w:w="148"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Refinanced loans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28,231</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78,995</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74,069</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162.4%</w:t>
            </w:r>
          </w:p>
        </w:tc>
      </w:tr>
      <w:tr>
        <w:trPr/>
        <w:tc>
          <w:tcPr>
            <w:tcW w:w="3965" w:type="dxa"/>
            <w:tcBorders>
              <w:left w:val="single" w:sz="8" w:space="0" w:color="000000"/>
              <w:right w:val="single" w:sz="8" w:space="0" w:color="000000"/>
            </w:tcBorders>
            <w:tcMar>
              <w:top w:w="0" w:type="dxa"/>
              <w:left w:w="148"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 allowance for loan losses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(153,555)</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(249,077)</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(224,601)</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-9.8%</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46.3%</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Loans, net</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4,035,485</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7,069,967</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6,359,125</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-10.1%</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57.6%</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furniture and equipment, net</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52,161</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90,408</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79,685</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-11.9%</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52.8%</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assets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194,583</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295,456</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245,292</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-17.0%</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26.1%</w:t>
            </w:r>
          </w:p>
        </w:tc>
      </w:tr>
      <w:tr>
        <w:trPr/>
        <w:tc>
          <w:tcPr>
            <w:tcW w:w="3965" w:type="dxa"/>
            <w:tcBorders>
              <w:left w:val="single" w:sz="8" w:space="0" w:color="000000"/>
              <w:right w:val="single" w:sz="8" w:space="0" w:color="000000"/>
            </w:tcBorders>
            <w:tcMar>
              <w:top w:w="0" w:type="dxa"/>
              <w:left w:w="52"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assets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6,186,854</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10,863,634</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9,435,357</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52.5%</w:t>
            </w:r>
          </w:p>
        </w:tc>
      </w:tr>
      <w:tr>
        <w:trPr/>
        <w:tc>
          <w:tcPr>
            <w:tcW w:w="3965" w:type="dxa"/>
            <w:tcBorders>
              <w:left w:val="single" w:sz="8" w:space="0" w:color="000000"/>
              <w:right w:val="single" w:sz="8" w:space="0" w:color="000000"/>
            </w:tcBorders>
            <w:tcMar>
              <w:top w:w="0" w:type="dxa"/>
              <w:left w:w="52" w:type="dxa"/>
              <w:bottom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 AND NET SHAREHOLDERS’ EQUITY</w:t>
            </w:r>
          </w:p>
        </w:tc>
        <w:tc>
          <w:tcPr>
            <w:tcW w:w="74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Deposits and obligations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5,195,468</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9,285,342</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8,181,166</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-11.9%</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57.5%</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Due to banks and correspondents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xml:space="preserve">n.a. </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Bonds and subordinated debt</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64,048</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138,743</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125,933</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96.6%</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liabilities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374,043</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583,682</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354,649</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-39.2%</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r>
      <w:tr>
        <w:trPr/>
        <w:tc>
          <w:tcPr>
            <w:tcW w:w="3965" w:type="dxa"/>
            <w:tcBorders>
              <w:left w:val="single" w:sz="8" w:space="0" w:color="000000"/>
              <w:right w:val="single" w:sz="8" w:space="0" w:color="000000"/>
            </w:tcBorders>
            <w:tcMar>
              <w:top w:w="0" w:type="dxa"/>
              <w:left w:w="52"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liabilities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5,633,559</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10,007,767</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8,661,748</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-13.4%</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53.8%</w:t>
            </w:r>
          </w:p>
        </w:tc>
      </w:tr>
      <w:tr>
        <w:trPr/>
        <w:tc>
          <w:tcPr>
            <w:tcW w:w="3965" w:type="dxa"/>
            <w:tcBorders>
              <w:left w:val="single" w:sz="8" w:space="0" w:color="000000"/>
              <w:right w:val="single" w:sz="8" w:space="0" w:color="000000"/>
            </w:tcBorders>
            <w:tcMar>
              <w:top w:w="0" w:type="dxa"/>
              <w:left w:w="52" w:type="dxa"/>
              <w:bottom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equity</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553,295</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855,867</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773,609</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-9.6%</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39.8%</w:t>
            </w:r>
          </w:p>
        </w:tc>
      </w:tr>
      <w:tr>
        <w:trPr/>
        <w:tc>
          <w:tcPr>
            <w:tcW w:w="3965" w:type="dxa"/>
            <w:tcBorders>
              <w:left w:val="single" w:sz="8" w:space="0" w:color="000000"/>
              <w:right w:val="single" w:sz="8" w:space="0" w:color="000000"/>
            </w:tcBorders>
            <w:tcMar>
              <w:top w:w="0" w:type="dxa"/>
              <w:left w:w="42" w:type="dxa"/>
              <w:bottom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0"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965" w:type="dxa"/>
            <w:tcBorders>
              <w:left w:val="single" w:sz="8" w:space="0" w:color="000000"/>
              <w:bottom w:val="single" w:sz="8" w:space="0" w:color="000000"/>
              <w:right w:val="single" w:sz="8" w:space="0" w:color="000000"/>
            </w:tcBorders>
            <w:tcMar>
              <w:top w:w="0" w:type="dxa"/>
              <w:left w:w="42"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LIABILITIES AND NET EQUITY</w:t>
            </w:r>
          </w:p>
        </w:tc>
        <w:tc>
          <w:tcPr>
            <w:tcW w:w="74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6,186,854</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10,863,634</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9,435,357</w:t>
            </w:r>
          </w:p>
        </w:tc>
        <w:tc>
          <w:tcPr>
            <w:tcW w:w="95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Statement of Income</w:t>
        <w:br/>
        <w:t>(S/ Thousands, IFRS)</w:t>
      </w:r>
    </w:p>
    <w:p>
      <w:pPr>
        <w:pStyle w:val="TextBody"/>
        <w:bidi w:val="0"/>
        <w:spacing w:before="0" w:after="0"/>
        <w:ind w:left="0" w:right="0" w:hanging="0"/>
        <w:jc w:val="left"/>
        <w:rPr>
          <w:caps w:val="false"/>
          <w:smallCaps w:val="false"/>
        </w:rPr>
      </w:pPr>
      <w:r>
        <w:rPr>
          <w:caps w:val="false"/>
          <w:smallCaps w:val="false"/>
        </w:rPr>
        <w:t> </w:t>
      </w:r>
    </w:p>
    <w:tbl>
      <w:tblPr>
        <w:tblW w:w="10197" w:type="dxa"/>
        <w:jc w:val="left"/>
        <w:tblInd w:w="-10" w:type="dxa"/>
        <w:tblLayout w:type="fixed"/>
        <w:tblCellMar>
          <w:top w:w="28" w:type="dxa"/>
          <w:left w:w="28" w:type="dxa"/>
          <w:bottom w:w="28" w:type="dxa"/>
          <w:right w:w="28" w:type="dxa"/>
        </w:tblCellMar>
      </w:tblPr>
      <w:tblGrid>
        <w:gridCol w:w="4295"/>
        <w:gridCol w:w="635"/>
        <w:gridCol w:w="665"/>
        <w:gridCol w:w="635"/>
        <w:gridCol w:w="678"/>
        <w:gridCol w:w="616"/>
        <w:gridCol w:w="730"/>
        <w:gridCol w:w="730"/>
        <w:gridCol w:w="1213"/>
      </w:tblGrid>
      <w:tr>
        <w:trPr/>
        <w:tc>
          <w:tcPr>
            <w:tcW w:w="429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63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17" w:right="2" w:hanging="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2Q25</w:t>
            </w:r>
            <w:r>
              <w:rPr>
                <w:rFonts w:ascii="Times New Roman;Times;Serif" w:hAnsi="Times New Roman;Times;Serif"/>
                <w:b w:val="false"/>
                <w:i w:val="false"/>
                <w:caps w:val="false"/>
                <w:smallCaps w:val="false"/>
                <w:color w:val="FFFFFF"/>
                <w:sz w:val="16"/>
              </w:rPr>
              <w:t> </w:t>
            </w:r>
          </w:p>
        </w:tc>
        <w:tc>
          <w:tcPr>
            <w:tcW w:w="66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 </w:t>
            </w:r>
          </w:p>
          <w:p>
            <w:pPr>
              <w:pStyle w:val="TableContents"/>
              <w:bidi w:val="0"/>
              <w:spacing w:before="0" w:after="0"/>
              <w:ind w:left="22"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 </w:t>
            </w:r>
          </w:p>
        </w:tc>
        <w:tc>
          <w:tcPr>
            <w:tcW w:w="635"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6" w:right="1"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 </w:t>
            </w:r>
          </w:p>
        </w:tc>
        <w:tc>
          <w:tcPr>
            <w:tcW w:w="1294"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4"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 </w:t>
            </w:r>
          </w:p>
          <w:p>
            <w:pPr>
              <w:pStyle w:val="TableContents"/>
              <w:bidi w:val="0"/>
              <w:spacing w:before="0" w:after="0"/>
              <w:ind w:left="15"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 </w:t>
            </w:r>
          </w:p>
        </w:tc>
        <w:tc>
          <w:tcPr>
            <w:tcW w:w="1460"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7"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Up to </w:t>
            </w:r>
          </w:p>
          <w:p>
            <w:pPr>
              <w:pStyle w:val="TableContents"/>
              <w:bidi w:val="0"/>
              <w:spacing w:before="0" w:after="0"/>
              <w:ind w:left="35"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         Jun 26 </w:t>
            </w:r>
          </w:p>
        </w:tc>
        <w:tc>
          <w:tcPr>
            <w:tcW w:w="1213"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52" w:right="14"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 </w:t>
            </w:r>
          </w:p>
          <w:p>
            <w:pPr>
              <w:pStyle w:val="TableContents"/>
              <w:bidi w:val="0"/>
              <w:spacing w:before="0" w:after="0"/>
              <w:ind w:left="52" w:right="8"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 Jun 25 </w:t>
            </w:r>
          </w:p>
        </w:tc>
      </w:tr>
      <w:tr>
        <w:trPr/>
        <w:tc>
          <w:tcPr>
            <w:tcW w:w="429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Interests income, net</w:t>
            </w:r>
          </w:p>
        </w:tc>
        <w:tc>
          <w:tcPr>
            <w:tcW w:w="63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41,983</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61,726</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62,440</w:t>
            </w:r>
          </w:p>
        </w:tc>
        <w:tc>
          <w:tcPr>
            <w:tcW w:w="678"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48.7%</w:t>
            </w:r>
          </w:p>
        </w:tc>
        <w:tc>
          <w:tcPr>
            <w:tcW w:w="7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113,049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124,166</w:t>
            </w:r>
          </w:p>
        </w:tc>
        <w:tc>
          <w:tcPr>
            <w:tcW w:w="121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9.8%</w:t>
            </w:r>
          </w:p>
        </w:tc>
      </w:tr>
      <w:tr>
        <w:trPr/>
        <w:tc>
          <w:tcPr>
            <w:tcW w:w="429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Provisions for doubtful accounts receivable, net of recoveries</w:t>
            </w:r>
          </w:p>
        </w:tc>
        <w:tc>
          <w:tcPr>
            <w:tcW w:w="63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(11,042)</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(13,938)</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(16,262)</w:t>
            </w:r>
          </w:p>
        </w:tc>
        <w:tc>
          <w:tcPr>
            <w:tcW w:w="678"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16.7%</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47.3%</w:t>
            </w:r>
          </w:p>
        </w:tc>
        <w:tc>
          <w:tcPr>
            <w:tcW w:w="7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(16,785)</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(30,200)</w:t>
            </w:r>
          </w:p>
        </w:tc>
        <w:tc>
          <w:tcPr>
            <w:tcW w:w="121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79.9%</w:t>
            </w:r>
          </w:p>
        </w:tc>
      </w:tr>
      <w:tr>
        <w:trPr/>
        <w:tc>
          <w:tcPr>
            <w:tcW w:w="429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b/>
                <w:sz w:val="16"/>
              </w:rPr>
            </w:pPr>
            <w:r>
              <w:rPr>
                <w:b/>
                <w:sz w:val="16"/>
              </w:rPr>
              <w:t>Net interest income after provisions</w:t>
            </w:r>
          </w:p>
        </w:tc>
        <w:tc>
          <w:tcPr>
            <w:tcW w:w="635"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30,941</w:t>
            </w:r>
          </w:p>
        </w:tc>
        <w:tc>
          <w:tcPr>
            <w:tcW w:w="665"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47,788</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46,178</w:t>
            </w:r>
          </w:p>
        </w:tc>
        <w:tc>
          <w:tcPr>
            <w:tcW w:w="678"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-3.4%</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49.2%</w:t>
            </w:r>
          </w:p>
        </w:tc>
        <w:tc>
          <w:tcPr>
            <w:tcW w:w="730" w:type="dxa"/>
            <w:tcBorders/>
            <w:tcMar>
              <w:top w:w="0" w:type="dxa"/>
              <w:left w:w="0" w:type="dxa"/>
              <w:bottom w:w="0" w:type="dxa"/>
              <w:right w:w="0" w:type="dxa"/>
            </w:tcMar>
            <w:vAlign w:val="center"/>
          </w:tcPr>
          <w:p>
            <w:pPr>
              <w:pStyle w:val="TableContents"/>
              <w:bidi w:val="0"/>
              <w:spacing w:before="0" w:after="283"/>
              <w:jc w:val="center"/>
              <w:rPr>
                <w:b/>
                <w:sz w:val="16"/>
              </w:rPr>
            </w:pPr>
            <w:r>
              <w:rPr>
                <w:b/>
                <w:sz w:val="16"/>
              </w:rPr>
              <w:t>96,264</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93,966</w:t>
            </w:r>
          </w:p>
        </w:tc>
        <w:tc>
          <w:tcPr>
            <w:tcW w:w="1213" w:type="dxa"/>
            <w:tcBorders>
              <w:right w:val="single" w:sz="8" w:space="0" w:color="000000"/>
            </w:tcBorders>
            <w:tcMar>
              <w:top w:w="0" w:type="dxa"/>
              <w:left w:w="0" w:type="dxa"/>
              <w:bottom w:w="0" w:type="dxa"/>
            </w:tcMar>
            <w:vAlign w:val="center"/>
          </w:tcPr>
          <w:p>
            <w:pPr>
              <w:pStyle w:val="TableContents"/>
              <w:bidi w:val="0"/>
              <w:spacing w:before="0" w:after="283"/>
              <w:jc w:val="center"/>
              <w:rPr>
                <w:b/>
                <w:sz w:val="16"/>
              </w:rPr>
            </w:pPr>
            <w:r>
              <w:rPr>
                <w:b/>
                <w:sz w:val="16"/>
              </w:rPr>
              <w:t>-2.4%</w:t>
            </w:r>
          </w:p>
        </w:tc>
      </w:tr>
      <w:tr>
        <w:trPr/>
        <w:tc>
          <w:tcPr>
            <w:tcW w:w="429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Non financial income</w:t>
            </w:r>
          </w:p>
        </w:tc>
        <w:tc>
          <w:tcPr>
            <w:tcW w:w="63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30,938</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67,506</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75,557</w:t>
            </w:r>
          </w:p>
        </w:tc>
        <w:tc>
          <w:tcPr>
            <w:tcW w:w="678"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11.9%</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144.2%</w:t>
            </w:r>
          </w:p>
        </w:tc>
        <w:tc>
          <w:tcPr>
            <w:tcW w:w="7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91,753</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143,063</w:t>
            </w:r>
          </w:p>
        </w:tc>
        <w:tc>
          <w:tcPr>
            <w:tcW w:w="121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55.9%</w:t>
            </w:r>
          </w:p>
        </w:tc>
      </w:tr>
      <w:tr>
        <w:trPr/>
        <w:tc>
          <w:tcPr>
            <w:tcW w:w="429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Total expenses</w:t>
            </w:r>
          </w:p>
        </w:tc>
        <w:tc>
          <w:tcPr>
            <w:tcW w:w="63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(44,737)</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(61,286)</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(76,004)</w:t>
            </w:r>
          </w:p>
        </w:tc>
        <w:tc>
          <w:tcPr>
            <w:tcW w:w="678"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24.0%</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69.9%</w:t>
            </w:r>
          </w:p>
        </w:tc>
        <w:tc>
          <w:tcPr>
            <w:tcW w:w="7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(138,599)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(137,290)</w:t>
            </w:r>
          </w:p>
        </w:tc>
        <w:tc>
          <w:tcPr>
            <w:tcW w:w="121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-0.9%</w:t>
            </w:r>
          </w:p>
        </w:tc>
      </w:tr>
      <w:tr>
        <w:trPr/>
        <w:tc>
          <w:tcPr>
            <w:tcW w:w="429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Translation result</w:t>
            </w:r>
          </w:p>
        </w:tc>
        <w:tc>
          <w:tcPr>
            <w:tcW w:w="63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2,934</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1,215</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20,555</w:t>
            </w:r>
          </w:p>
        </w:tc>
        <w:tc>
          <w:tcPr>
            <w:tcW w:w="678"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1591.8%</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600.6%</w:t>
            </w:r>
          </w:p>
        </w:tc>
        <w:tc>
          <w:tcPr>
            <w:tcW w:w="7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6,702</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21,770</w:t>
            </w:r>
          </w:p>
        </w:tc>
        <w:tc>
          <w:tcPr>
            <w:tcW w:w="121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224.8%</w:t>
            </w:r>
          </w:p>
        </w:tc>
      </w:tr>
      <w:tr>
        <w:trPr/>
        <w:tc>
          <w:tcPr>
            <w:tcW w:w="429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Income tax</w:t>
            </w:r>
          </w:p>
        </w:tc>
        <w:tc>
          <w:tcPr>
            <w:tcW w:w="63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(5,846)</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(10,655)</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(13,699)</w:t>
            </w:r>
          </w:p>
        </w:tc>
        <w:tc>
          <w:tcPr>
            <w:tcW w:w="678"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28.6%</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134.3%</w:t>
            </w:r>
          </w:p>
        </w:tc>
        <w:tc>
          <w:tcPr>
            <w:tcW w:w="73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(17,663)</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(24,354)</w:t>
            </w:r>
          </w:p>
        </w:tc>
        <w:tc>
          <w:tcPr>
            <w:tcW w:w="1213"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37.9%</w:t>
            </w:r>
          </w:p>
        </w:tc>
      </w:tr>
      <w:tr>
        <w:trPr/>
        <w:tc>
          <w:tcPr>
            <w:tcW w:w="4295" w:type="dxa"/>
            <w:tcBorders>
              <w:left w:val="single" w:sz="8" w:space="0" w:color="000000"/>
              <w:bottom w:val="single" w:sz="8" w:space="0" w:color="000000"/>
              <w:right w:val="single" w:sz="8" w:space="0" w:color="000000"/>
            </w:tcBorders>
            <w:tcMar>
              <w:top w:w="0" w:type="dxa"/>
              <w:left w:w="35" w:type="dxa"/>
            </w:tcMar>
            <w:vAlign w:val="center"/>
          </w:tcPr>
          <w:p>
            <w:pPr>
              <w:pStyle w:val="TableContents"/>
              <w:bidi w:val="0"/>
              <w:spacing w:before="0" w:after="283"/>
              <w:jc w:val="left"/>
              <w:rPr>
                <w:b/>
                <w:sz w:val="16"/>
              </w:rPr>
            </w:pPr>
            <w:r>
              <w:rPr>
                <w:b/>
                <w:sz w:val="16"/>
              </w:rPr>
              <w:t>Net profit</w:t>
            </w:r>
          </w:p>
        </w:tc>
        <w:tc>
          <w:tcPr>
            <w:tcW w:w="635"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14,230</w:t>
            </w:r>
          </w:p>
        </w:tc>
        <w:tc>
          <w:tcPr>
            <w:tcW w:w="665"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44,568</w:t>
            </w:r>
          </w:p>
        </w:tc>
        <w:tc>
          <w:tcPr>
            <w:tcW w:w="6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52,587</w:t>
            </w:r>
          </w:p>
        </w:tc>
        <w:tc>
          <w:tcPr>
            <w:tcW w:w="678"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18.0%</w:t>
            </w:r>
          </w:p>
        </w:tc>
        <w:tc>
          <w:tcPr>
            <w:tcW w:w="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269.6%</w:t>
            </w:r>
          </w:p>
        </w:tc>
        <w:tc>
          <w:tcPr>
            <w:tcW w:w="730"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38,457</w:t>
            </w:r>
          </w:p>
        </w:tc>
        <w:tc>
          <w:tcPr>
            <w:tcW w:w="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97,155</w:t>
            </w:r>
          </w:p>
        </w:tc>
        <w:tc>
          <w:tcPr>
            <w:tcW w:w="12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152.6%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Selected Financial Indicators</w:t>
      </w:r>
    </w:p>
    <w:p>
      <w:pPr>
        <w:pStyle w:val="TextBody"/>
        <w:bidi w:val="0"/>
        <w:spacing w:before="0" w:after="0"/>
        <w:ind w:left="91" w:right="4722" w:hanging="0"/>
        <w:jc w:val="center"/>
        <w:rPr>
          <w:caps w:val="false"/>
          <w:smallCaps w:val="false"/>
        </w:rPr>
      </w:pPr>
      <w:r>
        <w:rPr>
          <w:caps w:val="false"/>
          <w:smallCaps w:val="false"/>
        </w:rPr>
        <w:t> </w:t>
      </w:r>
    </w:p>
    <w:tbl>
      <w:tblPr>
        <w:tblW w:w="7075" w:type="dxa"/>
        <w:jc w:val="left"/>
        <w:tblInd w:w="-10" w:type="dxa"/>
        <w:tblLayout w:type="fixed"/>
        <w:tblCellMar>
          <w:top w:w="28" w:type="dxa"/>
          <w:left w:w="28" w:type="dxa"/>
          <w:bottom w:w="28" w:type="dxa"/>
          <w:right w:w="28" w:type="dxa"/>
        </w:tblCellMar>
      </w:tblPr>
      <w:tblGrid>
        <w:gridCol w:w="1310"/>
        <w:gridCol w:w="560"/>
        <w:gridCol w:w="665"/>
        <w:gridCol w:w="560"/>
        <w:gridCol w:w="725"/>
        <w:gridCol w:w="725"/>
        <w:gridCol w:w="685"/>
        <w:gridCol w:w="685"/>
        <w:gridCol w:w="1160"/>
      </w:tblGrid>
      <w:tr>
        <w:trPr/>
        <w:tc>
          <w:tcPr>
            <w:tcW w:w="1310"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56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2Q25 </w:t>
            </w:r>
          </w:p>
        </w:tc>
        <w:tc>
          <w:tcPr>
            <w:tcW w:w="66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 </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 </w:t>
            </w:r>
          </w:p>
        </w:tc>
        <w:tc>
          <w:tcPr>
            <w:tcW w:w="56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 </w:t>
            </w:r>
          </w:p>
        </w:tc>
        <w:tc>
          <w:tcPr>
            <w:tcW w:w="1450"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Change </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 </w:t>
            </w:r>
          </w:p>
        </w:tc>
        <w:tc>
          <w:tcPr>
            <w:tcW w:w="1370"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FFFFFF"/>
                <w:sz w:val="20"/>
              </w:rPr>
            </w:pPr>
            <w:r>
              <w:rPr>
                <w:rFonts w:ascii="Times New Roman;Times;Serif" w:hAnsi="Times New Roman;Times;Serif"/>
                <w:b/>
                <w:i w:val="false"/>
                <w:caps w:val="false"/>
                <w:smallCaps w:val="false"/>
                <w:color w:val="FFFFFF"/>
                <w:sz w:val="16"/>
              </w:rPr>
              <w:t>Up to</w:t>
            </w:r>
            <w:r>
              <w:rPr>
                <w:rFonts w:ascii="Times New Roman;Times;Serif" w:hAnsi="Times New Roman;Times;Serif"/>
                <w:b w:val="false"/>
                <w:i w:val="false"/>
                <w:caps w:val="false"/>
                <w:smallCaps w:val="false"/>
                <w:color w:val="FFFFFF"/>
                <w:sz w:val="16"/>
              </w:rPr>
              <w:t xml:space="preserve"> </w:t>
            </w:r>
            <w:r>
              <w:rPr>
                <w:rFonts w:ascii="Times New Roman;Times;Serif" w:hAnsi="Times New Roman;Times;Serif"/>
                <w:b w:val="false"/>
                <w:i w:val="false"/>
                <w:caps w:val="false"/>
                <w:smallCaps w:val="false"/>
                <w:color w:val="FFFFFF"/>
                <w:sz w:val="20"/>
              </w:rPr>
              <w:br/>
            </w:r>
            <w:r>
              <w:rPr>
                <w:rFonts w:ascii="Times New Roman;Times;Serif" w:hAnsi="Times New Roman;Times;Serif"/>
                <w:b/>
                <w:i w:val="false"/>
                <w:caps w:val="false"/>
                <w:smallCaps w:val="false"/>
                <w:color w:val="FFFFFF"/>
                <w:sz w:val="16"/>
              </w:rPr>
              <w:t>Jun 25        Jun 26</w:t>
            </w:r>
          </w:p>
        </w:tc>
        <w:tc>
          <w:tcPr>
            <w:tcW w:w="116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 Jun 25</w:t>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Efficiency ratio</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67.3%</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65.2%</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57.1%</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-814 bps</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-1021 bps</w:t>
            </w:r>
          </w:p>
        </w:tc>
        <w:tc>
          <w:tcPr>
            <w:tcW w:w="68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68.8%</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left"/>
              <w:rPr>
                <w:sz w:val="16"/>
              </w:rPr>
            </w:pPr>
            <w:r>
              <w:rPr>
                <w:sz w:val="16"/>
              </w:rPr>
              <w:t>60.8%</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-793 pbs</w:t>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ROAE</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9.0%</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20.7%</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25.8%</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516 bps</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1680 bps</w:t>
            </w:r>
          </w:p>
        </w:tc>
        <w:tc>
          <w:tcPr>
            <w:tcW w:w="685" w:type="dxa"/>
            <w:tcBorders>
              <w:bottom w:val="single" w:sz="8" w:space="0" w:color="000000"/>
            </w:tcBorders>
            <w:tcMar>
              <w:top w:w="0" w:type="dxa"/>
              <w:left w:w="0" w:type="dxa"/>
              <w:right w:w="0" w:type="dxa"/>
            </w:tcMar>
            <w:vAlign w:val="center"/>
          </w:tcPr>
          <w:p>
            <w:pPr>
              <w:pStyle w:val="TableContents"/>
              <w:bidi w:val="0"/>
              <w:spacing w:before="0" w:after="283"/>
              <w:jc w:val="center"/>
              <w:rPr>
                <w:sz w:val="16"/>
              </w:rPr>
            </w:pPr>
            <w:r>
              <w:rPr>
                <w:sz w:val="16"/>
              </w:rPr>
              <w:t>9.9%</w:t>
            </w:r>
          </w:p>
        </w:tc>
        <w:tc>
          <w:tcPr>
            <w:tcW w:w="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16"/>
              </w:rPr>
            </w:pPr>
            <w:r>
              <w:rPr>
                <w:sz w:val="16"/>
              </w:rPr>
              <w:t>23.6%</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1378 pbs</w:t>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L/D ratio</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80.6%</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78.8%</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80.5%</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165 bps</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-15 bps</w:t>
            </w:r>
          </w:p>
        </w:tc>
        <w:tc>
          <w:tcPr>
            <w:tcW w:w="685"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IOL ratio</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2.6%</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2.4%</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2.6%</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22 bps</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-5 bps</w:t>
            </w:r>
          </w:p>
        </w:tc>
        <w:tc>
          <w:tcPr>
            <w:tcW w:w="685" w:type="dxa"/>
            <w:vMerge w:val="continue"/>
            <w:tcBorders/>
            <w:tcMar>
              <w:top w:w="0" w:type="dxa"/>
              <w:left w:w="0" w:type="dxa"/>
              <w:bottom w:w="0" w:type="dxa"/>
              <w:right w:w="0" w:type="dxa"/>
            </w:tcMar>
            <w:vAlign w:val="center"/>
          </w:tcPr>
          <w:p>
            <w:pPr>
              <w:pStyle w:val="Normal"/>
              <w:bidi w:val="0"/>
              <w:jc w:val="left"/>
              <w:rPr/>
            </w:pPr>
            <w:r>
              <w:rPr/>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NPL ratio</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3.3%</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3.4%</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3.7%</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27 bps</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40 bps</w:t>
            </w:r>
          </w:p>
        </w:tc>
        <w:tc>
          <w:tcPr>
            <w:tcW w:w="685" w:type="dxa"/>
            <w:vMerge w:val="continue"/>
            <w:tcBorders/>
            <w:tcMar>
              <w:top w:w="0" w:type="dxa"/>
              <w:left w:w="0" w:type="dxa"/>
              <w:bottom w:w="0" w:type="dxa"/>
              <w:right w:w="0" w:type="dxa"/>
            </w:tcMar>
            <w:vAlign w:val="center"/>
          </w:tcPr>
          <w:p>
            <w:pPr>
              <w:pStyle w:val="Normal"/>
              <w:bidi w:val="0"/>
              <w:jc w:val="left"/>
              <w:rPr/>
            </w:pPr>
            <w:r>
              <w:rPr/>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Coverage of IOLs</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138.9%</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143.8%</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131.9%</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-1193 bps</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-700 bps</w:t>
            </w:r>
          </w:p>
        </w:tc>
        <w:tc>
          <w:tcPr>
            <w:tcW w:w="685" w:type="dxa"/>
            <w:vMerge w:val="continue"/>
            <w:tcBorders/>
            <w:tcMar>
              <w:top w:w="0" w:type="dxa"/>
              <w:left w:w="0" w:type="dxa"/>
              <w:bottom w:w="0" w:type="dxa"/>
              <w:right w:w="0" w:type="dxa"/>
            </w:tcMar>
            <w:vAlign w:val="center"/>
          </w:tcPr>
          <w:p>
            <w:pPr>
              <w:pStyle w:val="Normal"/>
              <w:bidi w:val="0"/>
              <w:jc w:val="left"/>
              <w:rPr/>
            </w:pPr>
            <w:r>
              <w:rPr/>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Coverage of NPLs</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110.6%</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98.8%</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91.9%</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-686 bps</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-1873 bps</w:t>
            </w:r>
          </w:p>
        </w:tc>
        <w:tc>
          <w:tcPr>
            <w:tcW w:w="685" w:type="dxa"/>
            <w:vMerge w:val="continue"/>
            <w:tcBorders/>
            <w:tcMar>
              <w:top w:w="0" w:type="dxa"/>
              <w:left w:w="0" w:type="dxa"/>
              <w:bottom w:w="0" w:type="dxa"/>
              <w:right w:w="0" w:type="dxa"/>
            </w:tcMar>
            <w:vAlign w:val="center"/>
          </w:tcPr>
          <w:p>
            <w:pPr>
              <w:pStyle w:val="Normal"/>
              <w:bidi w:val="0"/>
              <w:jc w:val="left"/>
              <w:rPr/>
            </w:pPr>
            <w:r>
              <w:rPr/>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Branches</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46</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46</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46</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w:t>
            </w:r>
          </w:p>
        </w:tc>
        <w:tc>
          <w:tcPr>
            <w:tcW w:w="685" w:type="dxa"/>
            <w:vMerge w:val="continue"/>
            <w:tcBorders/>
            <w:tcMar>
              <w:top w:w="0" w:type="dxa"/>
              <w:left w:w="0" w:type="dxa"/>
              <w:bottom w:w="0" w:type="dxa"/>
              <w:right w:w="0" w:type="dxa"/>
            </w:tcMar>
            <w:vAlign w:val="center"/>
          </w:tcPr>
          <w:p>
            <w:pPr>
              <w:pStyle w:val="Normal"/>
              <w:bidi w:val="0"/>
              <w:jc w:val="left"/>
              <w:rPr/>
            </w:pPr>
            <w:r>
              <w:rPr/>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Agentes</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2,056</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2,449</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2,569</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-52</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601</w:t>
            </w:r>
          </w:p>
        </w:tc>
        <w:tc>
          <w:tcPr>
            <w:tcW w:w="685" w:type="dxa"/>
            <w:vMerge w:val="continue"/>
            <w:tcBorders/>
            <w:tcMar>
              <w:top w:w="0" w:type="dxa"/>
              <w:left w:w="0" w:type="dxa"/>
              <w:bottom w:w="0" w:type="dxa"/>
              <w:right w:w="0" w:type="dxa"/>
            </w:tcMar>
            <w:vAlign w:val="center"/>
          </w:tcPr>
          <w:p>
            <w:pPr>
              <w:pStyle w:val="Normal"/>
              <w:bidi w:val="0"/>
              <w:jc w:val="left"/>
              <w:rPr/>
            </w:pPr>
            <w:r>
              <w:rPr/>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31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sz w:val="16"/>
              </w:rPr>
            </w:pPr>
            <w:r>
              <w:rPr>
                <w:sz w:val="16"/>
              </w:rPr>
              <w:t>ATMs</w:t>
            </w:r>
          </w:p>
        </w:tc>
        <w:tc>
          <w:tcPr>
            <w:tcW w:w="560"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314</w:t>
            </w:r>
          </w:p>
        </w:tc>
        <w:tc>
          <w:tcPr>
            <w:tcW w:w="66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316</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316</w:t>
            </w:r>
          </w:p>
        </w:tc>
        <w:tc>
          <w:tcPr>
            <w:tcW w:w="725" w:type="dxa"/>
            <w:tcBorders/>
            <w:tcMar>
              <w:top w:w="0" w:type="dxa"/>
              <w:left w:w="0" w:type="dxa"/>
              <w:bottom w:w="0" w:type="dxa"/>
              <w:right w:w="0" w:type="dxa"/>
            </w:tcMar>
            <w:vAlign w:val="center"/>
          </w:tcPr>
          <w:p>
            <w:pPr>
              <w:pStyle w:val="TableContents"/>
              <w:bidi w:val="0"/>
              <w:spacing w:before="0" w:after="283"/>
              <w:jc w:val="center"/>
              <w:rPr>
                <w:sz w:val="16"/>
              </w:rPr>
            </w:pPr>
            <w:r>
              <w:rPr>
                <w:sz w:val="16"/>
              </w:rPr>
              <w:t>-</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2</w:t>
            </w:r>
          </w:p>
        </w:tc>
        <w:tc>
          <w:tcPr>
            <w:tcW w:w="685" w:type="dxa"/>
            <w:vMerge w:val="continue"/>
            <w:tcBorders/>
            <w:tcMar>
              <w:top w:w="0" w:type="dxa"/>
              <w:left w:w="0" w:type="dxa"/>
              <w:bottom w:w="0" w:type="dxa"/>
              <w:right w:w="0" w:type="dxa"/>
            </w:tcMar>
            <w:vAlign w:val="center"/>
          </w:tcPr>
          <w:p>
            <w:pPr>
              <w:pStyle w:val="Normal"/>
              <w:bidi w:val="0"/>
              <w:jc w:val="left"/>
              <w:rPr/>
            </w:pPr>
            <w:r>
              <w:rPr/>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310" w:type="dxa"/>
            <w:tcBorders>
              <w:left w:val="single" w:sz="8" w:space="0" w:color="000000"/>
              <w:bottom w:val="single" w:sz="8" w:space="0" w:color="000000"/>
              <w:right w:val="single" w:sz="8" w:space="0" w:color="000000"/>
            </w:tcBorders>
            <w:tcMar>
              <w:top w:w="0" w:type="dxa"/>
              <w:left w:w="35" w:type="dxa"/>
            </w:tcMar>
            <w:vAlign w:val="center"/>
          </w:tcPr>
          <w:p>
            <w:pPr>
              <w:pStyle w:val="TableContents"/>
              <w:bidi w:val="0"/>
              <w:spacing w:before="0" w:after="283"/>
              <w:jc w:val="left"/>
              <w:rPr>
                <w:sz w:val="16"/>
              </w:rPr>
            </w:pPr>
            <w:r>
              <w:rPr>
                <w:sz w:val="16"/>
              </w:rPr>
              <w:t>Employees</w:t>
            </w:r>
          </w:p>
        </w:tc>
        <w:tc>
          <w:tcPr>
            <w:tcW w:w="560"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1,859</w:t>
            </w:r>
          </w:p>
        </w:tc>
        <w:tc>
          <w:tcPr>
            <w:tcW w:w="665" w:type="dxa"/>
            <w:tcBorders>
              <w:bottom w:val="single" w:sz="8" w:space="0" w:color="000000"/>
            </w:tcBorders>
            <w:tcMar>
              <w:top w:w="0" w:type="dxa"/>
              <w:left w:w="0" w:type="dxa"/>
              <w:right w:w="0" w:type="dxa"/>
            </w:tcMar>
            <w:vAlign w:val="center"/>
          </w:tcPr>
          <w:p>
            <w:pPr>
              <w:pStyle w:val="TableContents"/>
              <w:bidi w:val="0"/>
              <w:spacing w:before="0" w:after="283"/>
              <w:jc w:val="center"/>
              <w:rPr>
                <w:b/>
                <w:sz w:val="16"/>
              </w:rPr>
            </w:pPr>
            <w:r>
              <w:rPr>
                <w:b/>
                <w:sz w:val="16"/>
              </w:rPr>
              <w:t>1,926</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1,926</w:t>
            </w:r>
          </w:p>
        </w:tc>
        <w:tc>
          <w:tcPr>
            <w:tcW w:w="725" w:type="dxa"/>
            <w:tcBorders>
              <w:bottom w:val="single" w:sz="8" w:space="0" w:color="000000"/>
            </w:tcBorders>
            <w:tcMar>
              <w:top w:w="0" w:type="dxa"/>
              <w:left w:w="0" w:type="dxa"/>
              <w:right w:w="0" w:type="dxa"/>
            </w:tcMar>
            <w:vAlign w:val="center"/>
          </w:tcPr>
          <w:p>
            <w:pPr>
              <w:pStyle w:val="TableContents"/>
              <w:bidi w:val="0"/>
              <w:spacing w:before="0" w:after="283"/>
              <w:jc w:val="center"/>
              <w:rPr>
                <w:sz w:val="16"/>
              </w:rPr>
            </w:pPr>
            <w:r>
              <w:rPr>
                <w:sz w:val="16"/>
              </w:rPr>
              <w: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6</w:t>
            </w:r>
          </w:p>
        </w:tc>
        <w:tc>
          <w:tcPr>
            <w:tcW w:w="685" w:type="dxa"/>
            <w:vMerge w:val="continue"/>
            <w:tcBorders/>
            <w:tcMar>
              <w:top w:w="0" w:type="dxa"/>
              <w:left w:w="0" w:type="dxa"/>
              <w:bottom w:w="0" w:type="dxa"/>
              <w:right w:w="0" w:type="dxa"/>
            </w:tcMar>
            <w:vAlign w:val="center"/>
          </w:tcPr>
          <w:p>
            <w:pPr>
              <w:pStyle w:val="Normal"/>
              <w:bidi w:val="0"/>
              <w:jc w:val="left"/>
              <w:rPr/>
            </w:pPr>
            <w:r>
              <w:rPr/>
            </w:r>
          </w:p>
        </w:tc>
        <w:tc>
          <w:tcPr>
            <w:tcW w:w="1845" w:type="dxa"/>
            <w:gridSpan w:val="2"/>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28650"/>
            <wp:effectExtent l="0" t="0" r="0" b="0"/>
            <wp:docPr id="21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78" descr=""/>
                    <pic:cNvPicPr>
                      <a:picLocks noChangeAspect="1" noChangeArrowheads="1"/>
                    </pic:cNvPicPr>
                  </pic:nvPicPr>
                  <pic:blipFill>
                    <a:blip r:embed="rId194"/>
                    <a:stretch>
                      <a:fillRect/>
                    </a:stretch>
                  </pic:blipFill>
                  <pic:spPr bwMode="auto">
                    <a:xfrm>
                      <a:off x="0" y="0"/>
                      <a:ext cx="7620000"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1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79" descr=""/>
                          <pic:cNvPicPr>
                            <a:picLocks noChangeAspect="1" noChangeArrowheads="1"/>
                          </pic:cNvPicPr>
                        </pic:nvPicPr>
                        <pic:blipFill>
                          <a:blip r:embed="rId195"/>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12.7.6. Mibanco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Statement of Financial Position </w:t>
        <w:br/>
        <w:t>(S/ Thousands, IFRS)</w:t>
      </w:r>
    </w:p>
    <w:p>
      <w:pPr>
        <w:pStyle w:val="TextBody"/>
        <w:bidi w:val="0"/>
        <w:spacing w:before="0" w:after="0"/>
        <w:ind w:left="0" w:right="0" w:hanging="0"/>
        <w:jc w:val="left"/>
        <w:rPr>
          <w:caps w:val="false"/>
          <w:smallCaps w:val="false"/>
        </w:rPr>
      </w:pPr>
      <w:r>
        <w:rPr>
          <w:caps w:val="false"/>
          <w:smallCaps w:val="false"/>
        </w:rPr>
        <w:t> </w:t>
      </w:r>
    </w:p>
    <w:tbl>
      <w:tblPr>
        <w:tblW w:w="8589" w:type="dxa"/>
        <w:jc w:val="left"/>
        <w:tblInd w:w="-10" w:type="dxa"/>
        <w:tblLayout w:type="fixed"/>
        <w:tblCellMar>
          <w:top w:w="28" w:type="dxa"/>
          <w:left w:w="28" w:type="dxa"/>
          <w:bottom w:w="28" w:type="dxa"/>
          <w:right w:w="28" w:type="dxa"/>
        </w:tblCellMar>
      </w:tblPr>
      <w:tblGrid>
        <w:gridCol w:w="4580"/>
        <w:gridCol w:w="830"/>
        <w:gridCol w:w="830"/>
        <w:gridCol w:w="860"/>
        <w:gridCol w:w="714"/>
        <w:gridCol w:w="775"/>
      </w:tblGrid>
      <w:tr>
        <w:trPr/>
        <w:tc>
          <w:tcPr>
            <w:tcW w:w="4580"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19" w:right="1"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71" w:right="1"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As of</w:t>
            </w:r>
          </w:p>
          <w:p>
            <w:pPr>
              <w:pStyle w:val="TableContents"/>
              <w:bidi w:val="0"/>
              <w:spacing w:before="0" w:after="0"/>
              <w:ind w:left="70" w:right="46"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Mar 26</w:t>
            </w:r>
          </w:p>
        </w:tc>
        <w:tc>
          <w:tcPr>
            <w:tcW w:w="86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61"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w:t>
            </w:r>
          </w:p>
        </w:tc>
        <w:tc>
          <w:tcPr>
            <w:tcW w:w="1489"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64"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ind w:left="43"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due from banks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1,668,841</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2,760,349</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1,811,137</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-34.4%</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2,878,335</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2,399,194</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2,805,125</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loans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12,785,249</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14,079,941</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14,698,112</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15.0%</w:t>
            </w:r>
          </w:p>
        </w:tc>
      </w:tr>
      <w:tr>
        <w:trPr/>
        <w:tc>
          <w:tcPr>
            <w:tcW w:w="4580" w:type="dxa"/>
            <w:tcBorders>
              <w:left w:val="single" w:sz="8" w:space="0" w:color="000000"/>
              <w:right w:val="single" w:sz="8" w:space="0" w:color="000000"/>
            </w:tcBorders>
            <w:tcMar>
              <w:top w:w="0" w:type="dxa"/>
              <w:left w:w="16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12,004,020</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13,384,026</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13,986,966</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16.5%</w:t>
            </w:r>
          </w:p>
        </w:tc>
      </w:tr>
      <w:tr>
        <w:trPr/>
        <w:tc>
          <w:tcPr>
            <w:tcW w:w="4580" w:type="dxa"/>
            <w:tcBorders>
              <w:left w:val="single" w:sz="8" w:space="0" w:color="000000"/>
              <w:right w:val="single" w:sz="8" w:space="0" w:color="000000"/>
            </w:tcBorders>
            <w:tcMar>
              <w:top w:w="0" w:type="dxa"/>
              <w:left w:w="16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Internal overdue loans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659,287</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563,191</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562,944</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w:t>
            </w:r>
          </w:p>
        </w:tc>
      </w:tr>
      <w:tr>
        <w:trPr/>
        <w:tc>
          <w:tcPr>
            <w:tcW w:w="4580" w:type="dxa"/>
            <w:tcBorders>
              <w:left w:val="single" w:sz="8" w:space="0" w:color="000000"/>
              <w:right w:val="single" w:sz="8" w:space="0" w:color="000000"/>
            </w:tcBorders>
            <w:tcMar>
              <w:top w:w="0" w:type="dxa"/>
              <w:left w:w="16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Refinanced</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121,942</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132,724</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148,202</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21.5%</w:t>
            </w:r>
          </w:p>
        </w:tc>
      </w:tr>
      <w:tr>
        <w:trPr/>
        <w:tc>
          <w:tcPr>
            <w:tcW w:w="4580" w:type="dxa"/>
            <w:tcBorders>
              <w:left w:val="single" w:sz="8" w:space="0" w:color="000000"/>
              <w:right w:val="single" w:sz="8" w:space="0" w:color="000000"/>
            </w:tcBorders>
            <w:tcMar>
              <w:top w:w="0" w:type="dxa"/>
              <w:left w:w="16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Allowance for loan losses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(887,976)</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(955,901)</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(1,011,547)</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loans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11,897,273</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13,124,040</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13,686,565</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4.3%</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15.0%</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plant and equipment, net</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126,975</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119,791</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118,172</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assets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715,448</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707,042</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748,339</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w:t>
            </w:r>
          </w:p>
        </w:tc>
      </w:tr>
      <w:tr>
        <w:trPr/>
        <w:tc>
          <w:tcPr>
            <w:tcW w:w="4580" w:type="dxa"/>
            <w:tcBorders>
              <w:left w:val="single" w:sz="8" w:space="0" w:color="000000"/>
              <w:right w:val="single" w:sz="8" w:space="0" w:color="000000"/>
            </w:tcBorders>
            <w:tcMar>
              <w:top w:w="0" w:type="dxa"/>
              <w:left w:w="56"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assets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17,286,872</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19,110,416</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19,169,338</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0.3%</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10.9%</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 AND NET SHAREHOLDERS’ EQUITY</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Deposits and obligations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10,836,660</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11,126,091</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11,444,411</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Due to banks and correspondents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2,309,869</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2,743,364</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2,687,415</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Bonds and subordinated debt</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398,037</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915,797</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910,228</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-0.6%</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128.7%</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liabilities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1,207,564</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1,705,528</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1,348,773</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11.7%</w:t>
            </w:r>
          </w:p>
        </w:tc>
      </w:tr>
      <w:tr>
        <w:trPr/>
        <w:tc>
          <w:tcPr>
            <w:tcW w:w="4580" w:type="dxa"/>
            <w:tcBorders>
              <w:left w:val="single" w:sz="8" w:space="0" w:color="000000"/>
              <w:right w:val="single" w:sz="8" w:space="0" w:color="000000"/>
            </w:tcBorders>
            <w:tcMar>
              <w:top w:w="0" w:type="dxa"/>
              <w:left w:w="56"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liabilities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14,752,130</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16,490,780</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16,390,827</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-0.6%</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11.1%</w:t>
            </w:r>
          </w:p>
        </w:tc>
      </w:tr>
      <w:tr>
        <w:trPr/>
        <w:tc>
          <w:tcPr>
            <w:tcW w:w="4580"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equity</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2,534,742</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2,619,636</w:t>
            </w:r>
          </w:p>
        </w:tc>
        <w:tc>
          <w:tcPr>
            <w:tcW w:w="8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2,778,511</w:t>
            </w:r>
          </w:p>
        </w:tc>
        <w:tc>
          <w:tcPr>
            <w:tcW w:w="71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6.1%</w:t>
            </w:r>
          </w:p>
        </w:tc>
        <w:tc>
          <w:tcPr>
            <w:tcW w:w="77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9.6%</w:t>
            </w:r>
          </w:p>
        </w:tc>
      </w:tr>
      <w:tr>
        <w:trPr/>
        <w:tc>
          <w:tcPr>
            <w:tcW w:w="4580" w:type="dxa"/>
            <w:tcBorders>
              <w:left w:val="single" w:sz="8" w:space="0" w:color="000000"/>
              <w:bottom w:val="single" w:sz="8" w:space="0" w:color="000000"/>
              <w:right w:val="single" w:sz="8" w:space="0" w:color="000000"/>
            </w:tcBorders>
            <w:tcMar>
              <w:top w:w="0" w:type="dxa"/>
              <w:left w:w="47"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LIABILITIES AND NET SHAREHOLDERS’ EQUITY</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17,286,872</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19,110,416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19,169,338</w:t>
            </w:r>
          </w:p>
        </w:tc>
        <w:tc>
          <w:tcPr>
            <w:tcW w:w="71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0.3%</w:t>
            </w:r>
          </w:p>
        </w:tc>
        <w:tc>
          <w:tcPr>
            <w:tcW w:w="7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Statement of Income </w:t>
        <w:br/>
        <w:t>(S/ Thousands, IFRS)</w:t>
      </w:r>
    </w:p>
    <w:p>
      <w:pPr>
        <w:pStyle w:val="TextBody"/>
        <w:bidi w:val="0"/>
        <w:spacing w:before="0" w:after="0"/>
        <w:ind w:left="0" w:right="0" w:hanging="0"/>
        <w:jc w:val="left"/>
        <w:rPr>
          <w:caps w:val="false"/>
          <w:smallCaps w:val="false"/>
        </w:rPr>
      </w:pPr>
      <w:r>
        <w:rPr>
          <w:caps w:val="false"/>
          <w:smallCaps w:val="false"/>
        </w:rPr>
        <w:t> </w:t>
      </w:r>
    </w:p>
    <w:tbl>
      <w:tblPr>
        <w:tblW w:w="9711" w:type="dxa"/>
        <w:jc w:val="left"/>
        <w:tblInd w:w="-10" w:type="dxa"/>
        <w:tblLayout w:type="fixed"/>
        <w:tblCellMar>
          <w:top w:w="28" w:type="dxa"/>
          <w:left w:w="28" w:type="dxa"/>
          <w:bottom w:w="28" w:type="dxa"/>
          <w:right w:w="28" w:type="dxa"/>
        </w:tblCellMar>
      </w:tblPr>
      <w:tblGrid>
        <w:gridCol w:w="2975"/>
        <w:gridCol w:w="725"/>
        <w:gridCol w:w="725"/>
        <w:gridCol w:w="725"/>
        <w:gridCol w:w="655"/>
        <w:gridCol w:w="864"/>
        <w:gridCol w:w="941"/>
        <w:gridCol w:w="941"/>
        <w:gridCol w:w="1160"/>
      </w:tblGrid>
      <w:tr>
        <w:trPr/>
        <w:tc>
          <w:tcPr>
            <w:tcW w:w="297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72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16"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2Q25</w:t>
            </w:r>
          </w:p>
        </w:tc>
        <w:tc>
          <w:tcPr>
            <w:tcW w:w="72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78" w:right="25"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w:t>
            </w:r>
          </w:p>
          <w:p>
            <w:pPr>
              <w:pStyle w:val="TableContents"/>
              <w:bidi w:val="0"/>
              <w:spacing w:before="0" w:after="0"/>
              <w:ind w:left="78" w:right="66"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725"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5" w:right="2"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1519"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6"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ind w:left="18"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w:t>
            </w:r>
          </w:p>
        </w:tc>
        <w:tc>
          <w:tcPr>
            <w:tcW w:w="1882"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1"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Up to</w:t>
            </w:r>
          </w:p>
          <w:p>
            <w:pPr>
              <w:pStyle w:val="TableContents"/>
              <w:bidi w:val="0"/>
              <w:spacing w:before="0" w:after="0"/>
              <w:ind w:left="0" w:right="0" w:firstLine="15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                Jun 26</w:t>
            </w:r>
          </w:p>
        </w:tc>
        <w:tc>
          <w:tcPr>
            <w:tcW w:w="1160" w:type="dxa"/>
            <w:tcBorders>
              <w:top w:val="single" w:sz="8" w:space="0" w:color="000000"/>
              <w:bottom w:val="single" w:sz="8" w:space="0" w:color="000000"/>
              <w:right w:val="single" w:sz="8" w:space="0" w:color="000000"/>
            </w:tcBorders>
            <w:shd w:fill="2AD2C7" w:val="clear"/>
            <w:tcMar>
              <w:left w:w="0" w:type="dxa"/>
              <w:right w:w="102"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xml:space="preserve">% change </w:t>
              <w:br/>
              <w:t>Jun 26 / Jun 25</w:t>
            </w:r>
          </w:p>
        </w:tc>
      </w:tr>
      <w:tr>
        <w:trPr/>
        <w:tc>
          <w:tcPr>
            <w:tcW w:w="297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interest income</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604,031</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677,933</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707,035</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4.3%</w:t>
            </w:r>
          </w:p>
        </w:tc>
        <w:tc>
          <w:tcPr>
            <w:tcW w:w="8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17.1%</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1,183,931</w:t>
            </w:r>
          </w:p>
        </w:tc>
        <w:tc>
          <w:tcPr>
            <w:tcW w:w="94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1,384,968</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17.0%</w:t>
            </w:r>
          </w:p>
        </w:tc>
      </w:tr>
      <w:tr>
        <w:trPr/>
        <w:tc>
          <w:tcPr>
            <w:tcW w:w="297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Provision for loan losses, net of recoveries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(169,741)</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(166,972)</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(184,269)</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10.4%</w:t>
            </w:r>
          </w:p>
        </w:tc>
        <w:tc>
          <w:tcPr>
            <w:tcW w:w="8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(327,953)</w:t>
            </w:r>
          </w:p>
        </w:tc>
        <w:tc>
          <w:tcPr>
            <w:tcW w:w="94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(351,241)</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w:t>
            </w:r>
          </w:p>
        </w:tc>
      </w:tr>
      <w:tr>
        <w:trPr/>
        <w:tc>
          <w:tcPr>
            <w:tcW w:w="297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interest income after provisions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434,290</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510,961</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522,766</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w:t>
            </w:r>
          </w:p>
        </w:tc>
        <w:tc>
          <w:tcPr>
            <w:tcW w:w="8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20.4%</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855,978</w:t>
            </w:r>
          </w:p>
        </w:tc>
        <w:tc>
          <w:tcPr>
            <w:tcW w:w="94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1,033,727</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20.8%</w:t>
            </w:r>
          </w:p>
        </w:tc>
      </w:tr>
      <w:tr>
        <w:trPr/>
        <w:tc>
          <w:tcPr>
            <w:tcW w:w="297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Non-financial income</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37,492</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48,515</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46,311</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w:t>
            </w:r>
          </w:p>
        </w:tc>
        <w:tc>
          <w:tcPr>
            <w:tcW w:w="8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23.5%</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70,307</w:t>
            </w:r>
          </w:p>
        </w:tc>
        <w:tc>
          <w:tcPr>
            <w:tcW w:w="94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94,826</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34.9%</w:t>
            </w:r>
          </w:p>
        </w:tc>
      </w:tr>
      <w:tr>
        <w:trPr/>
        <w:tc>
          <w:tcPr>
            <w:tcW w:w="297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expenses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(335,792)</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(362,024)</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(359,856)</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-0.6%</w:t>
            </w:r>
          </w:p>
        </w:tc>
        <w:tc>
          <w:tcPr>
            <w:tcW w:w="8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(663,736)</w:t>
            </w:r>
          </w:p>
        </w:tc>
        <w:tc>
          <w:tcPr>
            <w:tcW w:w="94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(721,880)</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8.8%</w:t>
            </w:r>
          </w:p>
        </w:tc>
      </w:tr>
      <w:tr>
        <w:trPr/>
        <w:tc>
          <w:tcPr>
            <w:tcW w:w="297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Translation result</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(79)</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201</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277</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37.8%</w:t>
            </w:r>
          </w:p>
        </w:tc>
        <w:tc>
          <w:tcPr>
            <w:tcW w:w="8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-450.6%</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(828)</w:t>
            </w:r>
          </w:p>
        </w:tc>
        <w:tc>
          <w:tcPr>
            <w:tcW w:w="94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478</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-157.7%</w:t>
            </w:r>
          </w:p>
        </w:tc>
      </w:tr>
      <w:tr>
        <w:trPr/>
        <w:tc>
          <w:tcPr>
            <w:tcW w:w="2975"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(33,369)</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(49,348)</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(54,716)</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10.9%</w:t>
            </w:r>
          </w:p>
        </w:tc>
        <w:tc>
          <w:tcPr>
            <w:tcW w:w="864"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64.0%</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(64,792)</w:t>
            </w:r>
          </w:p>
        </w:tc>
        <w:tc>
          <w:tcPr>
            <w:tcW w:w="94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(104,064)</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60.6%</w:t>
            </w:r>
          </w:p>
        </w:tc>
      </w:tr>
      <w:tr>
        <w:trPr/>
        <w:tc>
          <w:tcPr>
            <w:tcW w:w="2975" w:type="dxa"/>
            <w:tcBorders>
              <w:left w:val="single" w:sz="8" w:space="0" w:color="000000"/>
              <w:bottom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income</w:t>
            </w:r>
          </w:p>
        </w:tc>
        <w:tc>
          <w:tcPr>
            <w:tcW w:w="7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102,542</w:t>
            </w:r>
          </w:p>
        </w:tc>
        <w:tc>
          <w:tcPr>
            <w:tcW w:w="7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148,305</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154,782</w:t>
            </w:r>
          </w:p>
        </w:tc>
        <w:tc>
          <w:tcPr>
            <w:tcW w:w="65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w:t>
            </w:r>
          </w:p>
        </w:tc>
        <w:tc>
          <w:tcPr>
            <w:tcW w:w="8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50.9%</w:t>
            </w:r>
          </w:p>
        </w:tc>
        <w:tc>
          <w:tcPr>
            <w:tcW w:w="9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196,929</w:t>
            </w:r>
          </w:p>
        </w:tc>
        <w:tc>
          <w:tcPr>
            <w:tcW w:w="9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303,087</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Selected Financial Indicators</w:t>
      </w:r>
    </w:p>
    <w:p>
      <w:pPr>
        <w:pStyle w:val="TextBody"/>
        <w:bidi w:val="0"/>
        <w:spacing w:before="0" w:after="0"/>
        <w:ind w:left="91" w:right="4722" w:hanging="0"/>
        <w:jc w:val="center"/>
        <w:rPr>
          <w:caps w:val="false"/>
          <w:smallCaps w:val="false"/>
        </w:rPr>
      </w:pPr>
      <w:r>
        <w:rPr>
          <w:caps w:val="false"/>
          <w:smallCaps w:val="false"/>
        </w:rPr>
        <w:t> </w:t>
      </w:r>
    </w:p>
    <w:tbl>
      <w:tblPr>
        <w:tblW w:w="7389" w:type="dxa"/>
        <w:jc w:val="left"/>
        <w:tblInd w:w="-10" w:type="dxa"/>
        <w:tblLayout w:type="fixed"/>
        <w:tblCellMar>
          <w:top w:w="28" w:type="dxa"/>
          <w:left w:w="28" w:type="dxa"/>
          <w:bottom w:w="28" w:type="dxa"/>
          <w:right w:w="28" w:type="dxa"/>
        </w:tblCellMar>
      </w:tblPr>
      <w:tblGrid>
        <w:gridCol w:w="1520"/>
        <w:gridCol w:w="560"/>
        <w:gridCol w:w="636"/>
        <w:gridCol w:w="560"/>
        <w:gridCol w:w="654"/>
        <w:gridCol w:w="685"/>
        <w:gridCol w:w="797"/>
        <w:gridCol w:w="797"/>
        <w:gridCol w:w="1180"/>
      </w:tblGrid>
      <w:tr>
        <w:trPr/>
        <w:tc>
          <w:tcPr>
            <w:tcW w:w="1520"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56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17" w:right="2"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2Q25</w:t>
            </w:r>
          </w:p>
        </w:tc>
        <w:tc>
          <w:tcPr>
            <w:tcW w:w="636"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46" w:right="16"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w:t>
            </w:r>
          </w:p>
          <w:p>
            <w:pPr>
              <w:pStyle w:val="TableContents"/>
              <w:bidi w:val="0"/>
              <w:spacing w:before="0" w:after="0"/>
              <w:ind w:left="30" w:right="33"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56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23" w:right="9"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1339"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41"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Change</w:t>
            </w:r>
          </w:p>
          <w:p>
            <w:pPr>
              <w:pStyle w:val="TableContents"/>
              <w:bidi w:val="0"/>
              <w:spacing w:before="0" w:after="0"/>
              <w:ind w:left="17"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w:t>
            </w:r>
          </w:p>
        </w:tc>
        <w:tc>
          <w:tcPr>
            <w:tcW w:w="1594" w:type="dxa"/>
            <w:gridSpan w:val="2"/>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283"/>
              <w:jc w:val="center"/>
              <w:rPr>
                <w:rFonts w:ascii="Times New Roman;Times;Serif" w:hAnsi="Times New Roman;Times;Serif"/>
                <w:b/>
                <w:color w:val="FFFFFF"/>
                <w:sz w:val="16"/>
              </w:rPr>
            </w:pPr>
            <w:r>
              <w:rPr>
                <w:rFonts w:ascii="Times New Roman;Times;Serif" w:hAnsi="Times New Roman;Times;Serif"/>
                <w:b/>
                <w:color w:val="FFFFFF"/>
                <w:sz w:val="16"/>
              </w:rPr>
              <w:t xml:space="preserve">Up to </w:t>
              <w:br/>
              <w:t>Jun 25             Jun 26</w:t>
            </w:r>
          </w:p>
        </w:tc>
        <w:tc>
          <w:tcPr>
            <w:tcW w:w="118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44" w:right="8"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ind w:left="44" w:right="2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 Jun 25</w:t>
            </w:r>
          </w:p>
        </w:tc>
      </w:tr>
      <w:tr>
        <w:trPr/>
        <w:tc>
          <w:tcPr>
            <w:tcW w:w="152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Efficiency ratio</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52.0%</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49.2%</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46.8%</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-243 bps</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-521 bps</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52.4%</w:t>
            </w:r>
          </w:p>
        </w:tc>
        <w:tc>
          <w:tcPr>
            <w:tcW w:w="797"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48.0%</w:t>
            </w:r>
          </w:p>
        </w:tc>
        <w:tc>
          <w:tcPr>
            <w:tcW w:w="118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-445 bps</w:t>
            </w:r>
          </w:p>
        </w:tc>
      </w:tr>
      <w:tr>
        <w:trPr/>
        <w:tc>
          <w:tcPr>
            <w:tcW w:w="152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ROAE</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21.9%</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22.9%</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 bps</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659 bps</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15.1%</w:t>
            </w:r>
          </w:p>
        </w:tc>
        <w:tc>
          <w:tcPr>
            <w:tcW w:w="797"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21.7%</w:t>
            </w:r>
          </w:p>
        </w:tc>
        <w:tc>
          <w:tcPr>
            <w:tcW w:w="118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659 bps</w:t>
            </w:r>
          </w:p>
        </w:tc>
      </w:tr>
      <w:tr>
        <w:trPr/>
        <w:tc>
          <w:tcPr>
            <w:tcW w:w="152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ROAE incl. Goodwill</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15.5%</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20.8%</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21.8%</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 bps</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632 bps</w:t>
            </w:r>
          </w:p>
        </w:tc>
        <w:tc>
          <w:tcPr>
            <w:tcW w:w="79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14.4%</w:t>
            </w:r>
          </w:p>
        </w:tc>
        <w:tc>
          <w:tcPr>
            <w:tcW w:w="7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20.7%</w:t>
            </w:r>
          </w:p>
        </w:tc>
        <w:tc>
          <w:tcPr>
            <w:tcW w:w="11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632 bps</w:t>
            </w:r>
          </w:p>
        </w:tc>
      </w:tr>
      <w:tr>
        <w:trPr/>
        <w:tc>
          <w:tcPr>
            <w:tcW w:w="152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L/D ratio</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118.0%</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126.5%</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128.4%</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188 bps</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1045 bps</w:t>
            </w:r>
          </w:p>
        </w:tc>
        <w:tc>
          <w:tcPr>
            <w:tcW w:w="1594" w:type="dxa"/>
            <w:gridSpan w:val="2"/>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52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IOL ratio</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 bps</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 bps</w:t>
            </w:r>
          </w:p>
        </w:tc>
        <w:tc>
          <w:tcPr>
            <w:tcW w:w="1594" w:type="dxa"/>
            <w:gridSpan w:val="2"/>
            <w:vMerge w:val="continue"/>
            <w:tcBorders/>
            <w:tcMar>
              <w:top w:w="0" w:type="dxa"/>
              <w:left w:w="0" w:type="dxa"/>
              <w:bottom w:w="0" w:type="dxa"/>
              <w:right w:w="0" w:type="dxa"/>
            </w:tcMar>
            <w:vAlign w:val="center"/>
          </w:tcPr>
          <w:p>
            <w:pPr>
              <w:pStyle w:val="Normal"/>
              <w:bidi w:val="0"/>
              <w:jc w:val="left"/>
              <w:rPr/>
            </w:pPr>
            <w:r>
              <w:rPr/>
            </w:r>
          </w:p>
        </w:tc>
        <w:tc>
          <w:tcPr>
            <w:tcW w:w="1180" w:type="dxa"/>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52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NPL ratio</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 bps</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-127 bps</w:t>
            </w:r>
          </w:p>
        </w:tc>
        <w:tc>
          <w:tcPr>
            <w:tcW w:w="1594" w:type="dxa"/>
            <w:gridSpan w:val="2"/>
            <w:vMerge w:val="continue"/>
            <w:tcBorders/>
            <w:tcMar>
              <w:top w:w="0" w:type="dxa"/>
              <w:left w:w="0" w:type="dxa"/>
              <w:bottom w:w="0" w:type="dxa"/>
              <w:right w:w="0" w:type="dxa"/>
            </w:tcMar>
            <w:vAlign w:val="center"/>
          </w:tcPr>
          <w:p>
            <w:pPr>
              <w:pStyle w:val="Normal"/>
              <w:bidi w:val="0"/>
              <w:jc w:val="left"/>
              <w:rPr/>
            </w:pPr>
            <w:r>
              <w:rPr/>
            </w:r>
          </w:p>
        </w:tc>
        <w:tc>
          <w:tcPr>
            <w:tcW w:w="1180" w:type="dxa"/>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520" w:type="dxa"/>
            <w:tcBorders>
              <w:left w:val="single" w:sz="8" w:space="0" w:color="000000"/>
              <w:right w:val="single" w:sz="8" w:space="0" w:color="000000"/>
            </w:tcBorders>
            <w:tcMar>
              <w:top w:w="0" w:type="dxa"/>
              <w:left w:w="3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Coverage of IOLs</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134.7%</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169.7%</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179.7%</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996 bps</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4500 bps</w:t>
            </w:r>
          </w:p>
        </w:tc>
        <w:tc>
          <w:tcPr>
            <w:tcW w:w="1594" w:type="dxa"/>
            <w:gridSpan w:val="2"/>
            <w:vMerge w:val="continue"/>
            <w:tcBorders/>
            <w:tcMar>
              <w:top w:w="0" w:type="dxa"/>
              <w:left w:w="0" w:type="dxa"/>
              <w:bottom w:w="0" w:type="dxa"/>
              <w:right w:w="0" w:type="dxa"/>
            </w:tcMar>
            <w:vAlign w:val="center"/>
          </w:tcPr>
          <w:p>
            <w:pPr>
              <w:pStyle w:val="Normal"/>
              <w:bidi w:val="0"/>
              <w:jc w:val="left"/>
              <w:rPr/>
            </w:pPr>
            <w:r>
              <w:rPr/>
            </w:r>
          </w:p>
        </w:tc>
        <w:tc>
          <w:tcPr>
            <w:tcW w:w="1180" w:type="dxa"/>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520" w:type="dxa"/>
            <w:tcBorders>
              <w:left w:val="single" w:sz="8" w:space="0" w:color="000000"/>
              <w:bottom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Coverage of NPLs</w:t>
            </w:r>
          </w:p>
        </w:tc>
        <w:tc>
          <w:tcPr>
            <w:tcW w:w="5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113.7%</w:t>
            </w:r>
          </w:p>
        </w:tc>
        <w:tc>
          <w:tcPr>
            <w:tcW w:w="6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137.4%</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142.2%</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488 bps</w:t>
            </w:r>
          </w:p>
        </w:tc>
        <w:tc>
          <w:tcPr>
            <w:tcW w:w="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2858 bps</w:t>
            </w:r>
          </w:p>
        </w:tc>
        <w:tc>
          <w:tcPr>
            <w:tcW w:w="1594" w:type="dxa"/>
            <w:gridSpan w:val="2"/>
            <w:vMerge w:val="continue"/>
            <w:tcBorders/>
            <w:tcMar>
              <w:top w:w="0" w:type="dxa"/>
              <w:left w:w="0" w:type="dxa"/>
              <w:bottom w:w="0" w:type="dxa"/>
              <w:right w:w="0" w:type="dxa"/>
            </w:tcMar>
            <w:vAlign w:val="center"/>
          </w:tcPr>
          <w:p>
            <w:pPr>
              <w:pStyle w:val="Normal"/>
              <w:bidi w:val="0"/>
              <w:jc w:val="left"/>
              <w:rPr/>
            </w:pPr>
            <w:r>
              <w:rPr/>
            </w:r>
          </w:p>
        </w:tc>
        <w:tc>
          <w:tcPr>
            <w:tcW w:w="1180" w:type="dxa"/>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520" w:type="dxa"/>
            <w:tcBorders>
              <w:left w:val="single" w:sz="8" w:space="0" w:color="000000"/>
              <w:right w:val="single" w:sz="8" w:space="0" w:color="000000"/>
            </w:tcBorders>
            <w:tcMar>
              <w:top w:w="0" w:type="dxa"/>
              <w:left w:w="35" w:type="dxa"/>
              <w:bottom w:w="0" w:type="dxa"/>
            </w:tcMar>
            <w:vAlign w:val="center"/>
          </w:tcPr>
          <w:p>
            <w:pPr>
              <w:pStyle w:val="TableContents"/>
              <w:bidi w:val="0"/>
              <w:spacing w:lineRule="auto" w:line="240" w:before="0" w:after="283"/>
              <w:jc w:val="left"/>
              <w:rPr>
                <w:rFonts w:ascii="Times New Roman;Times;Serif" w:hAnsi="Times New Roman;Times;Serif"/>
                <w:sz w:val="16"/>
              </w:rPr>
            </w:pPr>
            <w:r>
              <w:rPr>
                <w:rFonts w:ascii="Times New Roman;Times;Serif" w:hAnsi="Times New Roman;Times;Serif"/>
                <w:sz w:val="16"/>
              </w:rPr>
              <w:t>Branches (1)</w:t>
            </w:r>
          </w:p>
        </w:tc>
        <w:tc>
          <w:tcPr>
            <w:tcW w:w="56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285</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282</w:t>
            </w:r>
          </w:p>
        </w:tc>
        <w:tc>
          <w:tcPr>
            <w:tcW w:w="5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282</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w:t>
            </w:r>
          </w:p>
        </w:tc>
        <w:tc>
          <w:tcPr>
            <w:tcW w:w="6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w:t>
            </w:r>
          </w:p>
        </w:tc>
        <w:tc>
          <w:tcPr>
            <w:tcW w:w="1594" w:type="dxa"/>
            <w:gridSpan w:val="2"/>
            <w:vMerge w:val="continue"/>
            <w:tcBorders/>
            <w:tcMar>
              <w:top w:w="0" w:type="dxa"/>
              <w:left w:w="0" w:type="dxa"/>
              <w:bottom w:w="0" w:type="dxa"/>
              <w:right w:w="0" w:type="dxa"/>
            </w:tcMar>
            <w:vAlign w:val="center"/>
          </w:tcPr>
          <w:p>
            <w:pPr>
              <w:pStyle w:val="Normal"/>
              <w:bidi w:val="0"/>
              <w:jc w:val="left"/>
              <w:rPr/>
            </w:pPr>
            <w:r>
              <w:rPr/>
            </w:r>
          </w:p>
        </w:tc>
        <w:tc>
          <w:tcPr>
            <w:tcW w:w="1180" w:type="dxa"/>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r>
        <w:trPr/>
        <w:tc>
          <w:tcPr>
            <w:tcW w:w="1520" w:type="dxa"/>
            <w:tcBorders>
              <w:left w:val="single" w:sz="8" w:space="0" w:color="000000"/>
              <w:bottom w:val="single" w:sz="8" w:space="0" w:color="000000"/>
              <w:right w:val="single" w:sz="8" w:space="0" w:color="000000"/>
            </w:tcBorders>
            <w:tcMar>
              <w:top w:w="0" w:type="dxa"/>
              <w:left w:w="35"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Employees</w:t>
            </w:r>
          </w:p>
        </w:tc>
        <w:tc>
          <w:tcPr>
            <w:tcW w:w="5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9,664</w:t>
            </w:r>
          </w:p>
        </w:tc>
        <w:tc>
          <w:tcPr>
            <w:tcW w:w="6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9,535</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9,545</w:t>
            </w:r>
          </w:p>
        </w:tc>
        <w:tc>
          <w:tcPr>
            <w:tcW w:w="65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w:t>
            </w:r>
          </w:p>
        </w:tc>
        <w:tc>
          <w:tcPr>
            <w:tcW w:w="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-119</w:t>
            </w:r>
          </w:p>
        </w:tc>
        <w:tc>
          <w:tcPr>
            <w:tcW w:w="1594" w:type="dxa"/>
            <w:gridSpan w:val="2"/>
            <w:vMerge w:val="continue"/>
            <w:tcBorders/>
            <w:tcMar>
              <w:top w:w="0" w:type="dxa"/>
              <w:left w:w="0" w:type="dxa"/>
              <w:bottom w:w="0" w:type="dxa"/>
              <w:right w:w="0" w:type="dxa"/>
            </w:tcMar>
            <w:vAlign w:val="center"/>
          </w:tcPr>
          <w:p>
            <w:pPr>
              <w:pStyle w:val="Normal"/>
              <w:bidi w:val="0"/>
              <w:jc w:val="left"/>
              <w:rPr/>
            </w:pPr>
            <w:r>
              <w:rPr/>
            </w:r>
          </w:p>
        </w:tc>
        <w:tc>
          <w:tcPr>
            <w:tcW w:w="1180" w:type="dxa"/>
            <w:tcBorders/>
            <w:tcMar>
              <w:top w:w="0" w:type="dxa"/>
              <w:left w:w="0" w:type="dxa"/>
              <w:bottom w:w="0" w:type="dxa"/>
              <w:right w:w="0" w:type="dxa"/>
            </w:tcMa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Includes Banco de la Nacion branches.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21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0" descr=""/>
                    <pic:cNvPicPr>
                      <a:picLocks noChangeAspect="1" noChangeArrowheads="1"/>
                    </pic:cNvPicPr>
                  </pic:nvPicPr>
                  <pic:blipFill>
                    <a:blip r:embed="rId196"/>
                    <a:stretch>
                      <a:fillRect/>
                    </a:stretch>
                  </pic:blipFill>
                  <pic:spPr bwMode="auto">
                    <a:xfrm>
                      <a:off x="0" y="0"/>
                      <a:ext cx="7620000" cy="64770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1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1" descr=""/>
                          <pic:cNvPicPr>
                            <a:picLocks noChangeAspect="1" noChangeArrowheads="1"/>
                          </pic:cNvPicPr>
                        </pic:nvPicPr>
                        <pic:blipFill>
                          <a:blip r:embed="rId197"/>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color w:val="A6A6A6"/>
                <w:sz w:val="20"/>
              </w:rPr>
            </w:pPr>
            <w:r>
              <w:rPr>
                <w:rFonts w:ascii="Times New Roman;Times;Serif" w:hAnsi="Times New Roman;Times;Serif"/>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5"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12.7.7. Prima AFP</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Statement of Financial Position </w:t>
        <w:br/>
        <w:t>(S/ Thousands, IFRS)</w:t>
      </w:r>
    </w:p>
    <w:p>
      <w:pPr>
        <w:pStyle w:val="TextBody"/>
        <w:bidi w:val="0"/>
        <w:spacing w:before="0" w:after="0"/>
        <w:ind w:left="0" w:right="0" w:hanging="0"/>
        <w:jc w:val="left"/>
        <w:rPr>
          <w:caps w:val="false"/>
          <w:smallCaps w:val="false"/>
        </w:rPr>
      </w:pPr>
      <w:r>
        <w:rPr>
          <w:caps w:val="false"/>
          <w:smallCaps w:val="false"/>
        </w:rPr>
        <w:t> </w:t>
      </w:r>
    </w:p>
    <w:tbl>
      <w:tblPr>
        <w:tblW w:w="7584" w:type="dxa"/>
        <w:jc w:val="center"/>
        <w:tblInd w:w="0" w:type="dxa"/>
        <w:tblLayout w:type="fixed"/>
        <w:tblCellMar>
          <w:top w:w="28" w:type="dxa"/>
          <w:left w:w="28" w:type="dxa"/>
          <w:bottom w:w="28" w:type="dxa"/>
          <w:right w:w="28" w:type="dxa"/>
        </w:tblCellMar>
      </w:tblPr>
      <w:tblGrid>
        <w:gridCol w:w="4235"/>
        <w:gridCol w:w="605"/>
        <w:gridCol w:w="605"/>
        <w:gridCol w:w="605"/>
        <w:gridCol w:w="781"/>
        <w:gridCol w:w="753"/>
      </w:tblGrid>
      <w:tr>
        <w:trPr/>
        <w:tc>
          <w:tcPr>
            <w:tcW w:w="423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60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w:t>
            </w:r>
          </w:p>
        </w:tc>
        <w:tc>
          <w:tcPr>
            <w:tcW w:w="60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As of</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Mar 25</w:t>
            </w:r>
          </w:p>
        </w:tc>
        <w:tc>
          <w:tcPr>
            <w:tcW w:w="605"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w:t>
            </w:r>
          </w:p>
        </w:tc>
        <w:tc>
          <w:tcPr>
            <w:tcW w:w="1534"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w:t>
            </w:r>
          </w:p>
        </w:tc>
      </w:tr>
      <w:tr>
        <w:trPr/>
        <w:tc>
          <w:tcPr>
            <w:tcW w:w="4235" w:type="dxa"/>
            <w:tcBorders>
              <w:left w:val="single" w:sz="8" w:space="0" w:color="000000"/>
              <w:right w:val="single" w:sz="8" w:space="0" w:color="000000"/>
            </w:tcBorders>
            <w:tcMar>
              <w:top w:w="0" w:type="dxa"/>
              <w:left w:w="151"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Cash and due from banks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5,582</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126,919</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63,554</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-49.9%</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Non-interest bearing</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3,876</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3,436</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2,502</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-27.2%</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-35.4%</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bearing</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1,706</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123,483</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61,052</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-50.6%</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through profit or loss investments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361,646</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317,051</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347,054</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9.5%</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Fair value through other comprehensive income investments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1,405</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2,689</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1,369</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-49.1%</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w:t>
            </w:r>
          </w:p>
        </w:tc>
      </w:tr>
      <w:tr>
        <w:trPr/>
        <w:tc>
          <w:tcPr>
            <w:tcW w:w="4235" w:type="dxa"/>
            <w:tcBorders>
              <w:left w:val="single" w:sz="8" w:space="0" w:color="000000"/>
              <w:right w:val="single" w:sz="8" w:space="0" w:color="000000"/>
            </w:tcBorders>
            <w:tcMar>
              <w:top w:w="0" w:type="dxa"/>
              <w:left w:w="151"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plant and equipment, net</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5,751</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5,002</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4,823</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-16.1%</w:t>
            </w:r>
          </w:p>
        </w:tc>
      </w:tr>
      <w:tr>
        <w:trPr/>
        <w:tc>
          <w:tcPr>
            <w:tcW w:w="4235" w:type="dxa"/>
            <w:tcBorders>
              <w:left w:val="single" w:sz="8" w:space="0" w:color="000000"/>
              <w:right w:val="single" w:sz="8" w:space="0" w:color="000000"/>
            </w:tcBorders>
            <w:tcMar>
              <w:top w:w="0" w:type="dxa"/>
              <w:left w:w="151"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Assets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212,969</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211,755</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211,996</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0.1%</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-0.5%</w:t>
            </w:r>
          </w:p>
        </w:tc>
      </w:tr>
      <w:tr>
        <w:trPr/>
        <w:tc>
          <w:tcPr>
            <w:tcW w:w="4235" w:type="dxa"/>
            <w:tcBorders>
              <w:left w:val="single" w:sz="8" w:space="0" w:color="000000"/>
              <w:right w:val="single" w:sz="8" w:space="0" w:color="000000"/>
            </w:tcBorders>
            <w:tcMar>
              <w:top w:w="0" w:type="dxa"/>
              <w:left w:w="45"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Assets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587,353</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663,416</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628,796</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7.1%</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Due to banks and correspondents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-70.0%</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-45.5%</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Lease payable</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2,401</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2,021</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1,923</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-19.9%</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liabilities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153,573</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304,085</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214,060</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-29.6%</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39.4%</w:t>
            </w:r>
          </w:p>
        </w:tc>
      </w:tr>
      <w:tr>
        <w:trPr/>
        <w:tc>
          <w:tcPr>
            <w:tcW w:w="4235" w:type="dxa"/>
            <w:tcBorders>
              <w:left w:val="single" w:sz="8" w:space="0" w:color="000000"/>
              <w:right w:val="single" w:sz="8" w:space="0" w:color="000000"/>
            </w:tcBorders>
            <w:tcMar>
              <w:top w:w="0" w:type="dxa"/>
              <w:left w:w="45"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Liabilities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155,985</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306,126</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215,989</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-29.4%</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38.5%</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stock</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40,505</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40,505</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40,505</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xml:space="preserve">n.a. </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Reserves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20,243</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20,243</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20,243</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 xml:space="preserve">n.a. </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n.a.</w:t>
            </w:r>
          </w:p>
        </w:tc>
      </w:tr>
      <w:tr>
        <w:trPr/>
        <w:tc>
          <w:tcPr>
            <w:tcW w:w="4235" w:type="dxa"/>
            <w:tcBorders>
              <w:left w:val="single" w:sz="8" w:space="0" w:color="000000"/>
              <w:right w:val="single" w:sz="8" w:space="0" w:color="000000"/>
            </w:tcBorders>
            <w:tcMar>
              <w:top w:w="0" w:type="dxa"/>
              <w:left w:w="25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reserves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681</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1,265</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1,338</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96.5%</w:t>
            </w:r>
          </w:p>
        </w:tc>
      </w:tr>
      <w:tr>
        <w:trPr/>
        <w:tc>
          <w:tcPr>
            <w:tcW w:w="4235" w:type="dxa"/>
            <w:tcBorders>
              <w:left w:val="single" w:sz="8" w:space="0" w:color="000000"/>
              <w:right w:val="single" w:sz="8" w:space="0" w:color="000000"/>
            </w:tcBorders>
            <w:tcMar>
              <w:top w:w="0" w:type="dxa"/>
              <w:left w:w="4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Retained earnings</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304,309</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257,992</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257,992</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-15.2%</w:t>
            </w:r>
          </w:p>
        </w:tc>
      </w:tr>
      <w:tr>
        <w:trPr/>
        <w:tc>
          <w:tcPr>
            <w:tcW w:w="4235" w:type="dxa"/>
            <w:tcBorders>
              <w:left w:val="single" w:sz="8" w:space="0" w:color="000000"/>
              <w:right w:val="single" w:sz="8" w:space="0" w:color="000000"/>
            </w:tcBorders>
            <w:tcMar>
              <w:top w:w="0" w:type="dxa"/>
              <w:left w:w="45"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for the Period</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65,630</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37,285</w:t>
            </w:r>
          </w:p>
        </w:tc>
        <w:tc>
          <w:tcPr>
            <w:tcW w:w="60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92,729</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148.7%</w:t>
            </w:r>
          </w:p>
        </w:tc>
        <w:tc>
          <w:tcPr>
            <w:tcW w:w="75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41.3%</w:t>
            </w:r>
          </w:p>
        </w:tc>
      </w:tr>
      <w:tr>
        <w:trPr/>
        <w:tc>
          <w:tcPr>
            <w:tcW w:w="4235" w:type="dxa"/>
            <w:tcBorders>
              <w:left w:val="single" w:sz="8" w:space="0" w:color="000000"/>
              <w:bottom w:val="single" w:sz="8" w:space="0" w:color="000000"/>
              <w:right w:val="single" w:sz="8" w:space="0" w:color="000000"/>
            </w:tcBorders>
            <w:tcMar>
              <w:top w:w="0" w:type="dxa"/>
              <w:left w:w="45"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Liabilities and Equity</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587,353</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663,416</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628,796</w:t>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-5.2%</w:t>
            </w:r>
          </w:p>
        </w:tc>
        <w:tc>
          <w:tcPr>
            <w:tcW w:w="7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Income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Thousands, IFRS)</w:t>
      </w:r>
    </w:p>
    <w:p>
      <w:pPr>
        <w:pStyle w:val="TextBody"/>
        <w:bidi w:val="0"/>
        <w:spacing w:before="0" w:after="0"/>
        <w:ind w:left="0" w:right="0" w:hanging="0"/>
        <w:jc w:val="left"/>
        <w:rPr>
          <w:caps w:val="false"/>
          <w:smallCaps w:val="false"/>
        </w:rPr>
      </w:pPr>
      <w:r>
        <w:rPr>
          <w:caps w:val="false"/>
          <w:smallCaps w:val="false"/>
        </w:rPr>
        <w:t> </w:t>
      </w:r>
    </w:p>
    <w:tbl>
      <w:tblPr>
        <w:tblW w:w="9034" w:type="dxa"/>
        <w:jc w:val="left"/>
        <w:tblInd w:w="-10" w:type="dxa"/>
        <w:tblLayout w:type="fixed"/>
        <w:tblCellMar>
          <w:top w:w="28" w:type="dxa"/>
          <w:left w:w="28" w:type="dxa"/>
          <w:bottom w:w="28" w:type="dxa"/>
          <w:right w:w="28" w:type="dxa"/>
        </w:tblCellMar>
      </w:tblPr>
      <w:tblGrid>
        <w:gridCol w:w="2945"/>
        <w:gridCol w:w="635"/>
        <w:gridCol w:w="635"/>
        <w:gridCol w:w="635"/>
        <w:gridCol w:w="801"/>
        <w:gridCol w:w="763"/>
        <w:gridCol w:w="730"/>
        <w:gridCol w:w="730"/>
        <w:gridCol w:w="1160"/>
      </w:tblGrid>
      <w:tr>
        <w:trPr/>
        <w:tc>
          <w:tcPr>
            <w:tcW w:w="294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63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2Q25</w:t>
            </w:r>
          </w:p>
        </w:tc>
        <w:tc>
          <w:tcPr>
            <w:tcW w:w="63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635"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1564"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w:t>
            </w:r>
          </w:p>
        </w:tc>
        <w:tc>
          <w:tcPr>
            <w:tcW w:w="1460" w:type="dxa"/>
            <w:gridSpan w:val="2"/>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FFFFFF"/>
                <w:sz w:val="16"/>
              </w:rPr>
            </w:pPr>
            <w:r>
              <w:rPr>
                <w:rFonts w:ascii="Times New Roman;Times;Serif" w:hAnsi="Times New Roman;Times;Serif"/>
                <w:b/>
                <w:i w:val="false"/>
                <w:caps w:val="false"/>
                <w:smallCaps w:val="false"/>
                <w:color w:val="FFFFFF"/>
                <w:sz w:val="16"/>
              </w:rPr>
              <w:t xml:space="preserve">Up to </w:t>
            </w:r>
            <w:r>
              <w:rPr>
                <w:rFonts w:ascii="Times New Roman;Times;Serif" w:hAnsi="Times New Roman;Times;Serif"/>
                <w:b w:val="false"/>
                <w:i w:val="false"/>
                <w:caps w:val="false"/>
                <w:smallCaps w:val="false"/>
                <w:color w:val="FFFFFF"/>
                <w:sz w:val="16"/>
              </w:rPr>
              <w:br/>
            </w:r>
            <w:r>
              <w:rPr>
                <w:rFonts w:ascii="Times New Roman;Times;Serif" w:hAnsi="Times New Roman;Times;Serif"/>
                <w:b/>
                <w:i w:val="false"/>
                <w:caps w:val="false"/>
                <w:smallCaps w:val="false"/>
                <w:color w:val="FFFFFF"/>
                <w:sz w:val="16"/>
              </w:rPr>
              <w:t>Jun 25          Jun 26</w:t>
            </w:r>
          </w:p>
        </w:tc>
        <w:tc>
          <w:tcPr>
            <w:tcW w:w="116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 Jun 25</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Financial income</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557</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1,201</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742</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-38.2%</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33.2%</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2,038</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1,943</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Financial expenses</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(518)</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(972)</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(649)</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-33.2%</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25.3%</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(971)</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(1,621)</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66.9%</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Interest income, net</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229</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93</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-59.4%</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138.5%</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1,067</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322</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-69.8%</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 income</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97,233</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91,195</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94,901</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4.1%</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191,305</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186,096</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on securities</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8,618</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15,648</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30,026</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91.9%</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248.4%</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1,238</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45,674</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3589.3%</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from exchange differences</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(113)</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113</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-200.0%</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-44.1%</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452</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-100.0%</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463</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673</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2,630</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290.8%</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468.0%</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3,303</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393.7%</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Salaries and employee benefits</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(24,878)</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(24,830)</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(23,627)</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(48,309)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(48,457)</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0.3%</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Administrative expenses</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(18,206)</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(20,162)</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(17,633)</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-12.5%</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(39,783)</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(37,795)</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-5.0%</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Depreciation and amortization</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(6,970)</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(7,244)</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(7,399)</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(13,840)</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(14,643)</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5.8%</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expenses</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(594)</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(264)</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(948)</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259.1%</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59.6%</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(759)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(1,212)</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59.7%</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Profit before income tax</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55,907</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55,132</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78,156</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41.8%</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39.8%</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92,040</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133,288</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44.8%</w:t>
            </w:r>
          </w:p>
        </w:tc>
      </w:tr>
      <w:tr>
        <w:trPr/>
        <w:tc>
          <w:tcPr>
            <w:tcW w:w="2945" w:type="dxa"/>
            <w:tcBorders>
              <w:left w:val="single" w:sz="8" w:space="0" w:color="000000"/>
              <w:right w:val="single" w:sz="8" w:space="0" w:color="000000"/>
            </w:tcBorders>
            <w:tcMar>
              <w:top w:w="0" w:type="dxa"/>
              <w:left w:w="40"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(14,749)</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(17,847)</w:t>
            </w:r>
          </w:p>
        </w:tc>
        <w:tc>
          <w:tcPr>
            <w:tcW w:w="63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(22,712)</w:t>
            </w:r>
          </w:p>
        </w:tc>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27.3%</w:t>
            </w:r>
          </w:p>
        </w:tc>
        <w:tc>
          <w:tcPr>
            <w:tcW w:w="76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54.0%</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(26,410)</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(40,559)</w:t>
            </w:r>
          </w:p>
        </w:tc>
        <w:tc>
          <w:tcPr>
            <w:tcW w:w="116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53.6%</w:t>
            </w:r>
          </w:p>
        </w:tc>
      </w:tr>
      <w:tr>
        <w:trPr/>
        <w:tc>
          <w:tcPr>
            <w:tcW w:w="2945" w:type="dxa"/>
            <w:tcBorders>
              <w:left w:val="single" w:sz="8" w:space="0" w:color="000000"/>
              <w:bottom w:val="single" w:sz="8" w:space="0" w:color="000000"/>
              <w:right w:val="single" w:sz="8" w:space="0" w:color="000000"/>
            </w:tcBorders>
            <w:tcMar>
              <w:top w:w="0" w:type="dxa"/>
              <w:left w:w="4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profit</w:t>
            </w:r>
          </w:p>
        </w:tc>
        <w:tc>
          <w:tcPr>
            <w:tcW w:w="63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41,158</w:t>
            </w:r>
          </w:p>
        </w:tc>
        <w:tc>
          <w:tcPr>
            <w:tcW w:w="63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37,285</w:t>
            </w:r>
          </w:p>
        </w:tc>
        <w:tc>
          <w:tcPr>
            <w:tcW w:w="6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55,444</w:t>
            </w:r>
          </w:p>
        </w:tc>
        <w:tc>
          <w:tcPr>
            <w:tcW w:w="8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48.7%</w:t>
            </w:r>
          </w:p>
        </w:tc>
        <w:tc>
          <w:tcPr>
            <w:tcW w:w="7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34.7%</w:t>
            </w:r>
          </w:p>
        </w:tc>
        <w:tc>
          <w:tcPr>
            <w:tcW w:w="7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65,630</w:t>
            </w:r>
          </w:p>
        </w:tc>
        <w:tc>
          <w:tcPr>
            <w:tcW w:w="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92,729</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Selected Financial Indicators</w:t>
      </w:r>
    </w:p>
    <w:p>
      <w:pPr>
        <w:pStyle w:val="TextBody"/>
        <w:bidi w:val="0"/>
        <w:spacing w:before="0" w:after="0"/>
        <w:ind w:left="0" w:right="0" w:hanging="0"/>
        <w:jc w:val="left"/>
        <w:rPr>
          <w:caps w:val="false"/>
          <w:smallCaps w:val="false"/>
        </w:rPr>
      </w:pPr>
      <w:r>
        <w:rPr>
          <w:caps w:val="false"/>
          <w:smallCaps w:val="false"/>
        </w:rPr>
        <w:t> </w:t>
      </w:r>
    </w:p>
    <w:tbl>
      <w:tblPr>
        <w:tblW w:w="8502" w:type="dxa"/>
        <w:jc w:val="center"/>
        <w:tblInd w:w="0" w:type="dxa"/>
        <w:tblLayout w:type="fixed"/>
        <w:tblCellMar>
          <w:top w:w="28" w:type="dxa"/>
          <w:left w:w="28" w:type="dxa"/>
          <w:bottom w:w="28" w:type="dxa"/>
          <w:right w:w="28" w:type="dxa"/>
        </w:tblCellMar>
      </w:tblPr>
      <w:tblGrid>
        <w:gridCol w:w="3005"/>
        <w:gridCol w:w="470"/>
        <w:gridCol w:w="636"/>
        <w:gridCol w:w="470"/>
        <w:gridCol w:w="670"/>
        <w:gridCol w:w="670"/>
        <w:gridCol w:w="730"/>
        <w:gridCol w:w="730"/>
        <w:gridCol w:w="1121"/>
      </w:tblGrid>
      <w:tr>
        <w:trPr/>
        <w:tc>
          <w:tcPr>
            <w:tcW w:w="300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47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54" w:right="14"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2Q25</w:t>
            </w:r>
          </w:p>
        </w:tc>
        <w:tc>
          <w:tcPr>
            <w:tcW w:w="636"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28" w:right="16"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w:t>
            </w:r>
          </w:p>
          <w:p>
            <w:pPr>
              <w:pStyle w:val="TableContents"/>
              <w:bidi w:val="0"/>
              <w:spacing w:before="0" w:after="0"/>
              <w:ind w:left="28" w:right="3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47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23" w:right="9"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1340"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46"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Change</w:t>
            </w:r>
          </w:p>
          <w:p>
            <w:pPr>
              <w:pStyle w:val="TableContents"/>
              <w:bidi w:val="0"/>
              <w:spacing w:before="0" w:after="0"/>
              <w:ind w:left="17"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w:t>
            </w:r>
          </w:p>
        </w:tc>
        <w:tc>
          <w:tcPr>
            <w:tcW w:w="1460" w:type="dxa"/>
            <w:gridSpan w:val="2"/>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FFFFFF"/>
                <w:sz w:val="20"/>
              </w:rPr>
            </w:pPr>
            <w:r>
              <w:rPr>
                <w:rFonts w:ascii="Times New Roman;Times;Serif" w:hAnsi="Times New Roman;Times;Serif"/>
                <w:b/>
                <w:i w:val="false"/>
                <w:caps w:val="false"/>
                <w:smallCaps w:val="false"/>
                <w:color w:val="FFFFFF"/>
                <w:sz w:val="16"/>
              </w:rPr>
              <w:t xml:space="preserve">Up to </w:t>
            </w:r>
            <w:r>
              <w:rPr>
                <w:rFonts w:ascii="Times New Roman;Times;Serif" w:hAnsi="Times New Roman;Times;Serif"/>
                <w:b w:val="false"/>
                <w:i w:val="false"/>
                <w:caps w:val="false"/>
                <w:smallCaps w:val="false"/>
                <w:color w:val="FFFFFF"/>
                <w:sz w:val="16"/>
              </w:rPr>
              <w:br/>
            </w:r>
            <w:r>
              <w:rPr>
                <w:rFonts w:ascii="Times New Roman;Times;Serif" w:hAnsi="Times New Roman;Times;Serif"/>
                <w:b/>
                <w:i w:val="false"/>
                <w:caps w:val="false"/>
                <w:smallCaps w:val="false"/>
                <w:color w:val="FFFFFF"/>
                <w:sz w:val="16"/>
              </w:rPr>
              <w:t>Jun 25          Jun 26</w:t>
            </w:r>
          </w:p>
        </w:tc>
        <w:tc>
          <w:tcPr>
            <w:tcW w:w="1121"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52" w:right="13"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Change</w:t>
            </w:r>
          </w:p>
          <w:p>
            <w:pPr>
              <w:pStyle w:val="TableContents"/>
              <w:bidi w:val="0"/>
              <w:spacing w:before="0" w:after="0"/>
              <w:ind w:left="52" w:right="6"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/Jun 25</w:t>
            </w:r>
          </w:p>
        </w:tc>
      </w:tr>
      <w:tr>
        <w:trPr/>
        <w:tc>
          <w:tcPr>
            <w:tcW w:w="3005" w:type="dxa"/>
            <w:tcBorders>
              <w:left w:val="single" w:sz="8" w:space="0" w:color="000000"/>
              <w:right w:val="single" w:sz="8" w:space="0" w:color="000000"/>
            </w:tcBorders>
            <w:tcMar>
              <w:top w:w="0" w:type="dxa"/>
              <w:left w:w="38"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ROE</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40.1%</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36.8%</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57.6%</w:t>
            </w:r>
          </w:p>
        </w:tc>
        <w:tc>
          <w:tcPr>
            <w:tcW w:w="6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2080 bps</w:t>
            </w:r>
          </w:p>
        </w:tc>
        <w:tc>
          <w:tcPr>
            <w:tcW w:w="6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1751 bps</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42.8%</w:t>
            </w:r>
          </w:p>
        </w:tc>
        <w:tc>
          <w:tcPr>
            <w:tcW w:w="112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1388 bps</w:t>
            </w:r>
          </w:p>
        </w:tc>
      </w:tr>
      <w:tr>
        <w:trPr/>
        <w:tc>
          <w:tcPr>
            <w:tcW w:w="3005" w:type="dxa"/>
            <w:tcBorders>
              <w:left w:val="single" w:sz="8" w:space="0" w:color="000000"/>
              <w:right w:val="single" w:sz="8" w:space="0" w:color="000000"/>
            </w:tcBorders>
            <w:tcMar>
              <w:top w:w="0" w:type="dxa"/>
              <w:left w:w="38"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Interest Margin</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0.0%</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0.2%</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0.1%</w:t>
            </w:r>
          </w:p>
        </w:tc>
        <w:tc>
          <w:tcPr>
            <w:tcW w:w="6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 bps</w:t>
            </w:r>
          </w:p>
        </w:tc>
        <w:tc>
          <w:tcPr>
            <w:tcW w:w="6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 bps</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0.5%</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0.1%</w:t>
            </w:r>
          </w:p>
        </w:tc>
        <w:tc>
          <w:tcPr>
            <w:tcW w:w="112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-39 bps</w:t>
            </w:r>
          </w:p>
        </w:tc>
      </w:tr>
      <w:tr>
        <w:trPr/>
        <w:tc>
          <w:tcPr>
            <w:tcW w:w="3005" w:type="dxa"/>
            <w:tcBorders>
              <w:left w:val="single" w:sz="8" w:space="0" w:color="000000"/>
              <w:right w:val="single" w:sz="8" w:space="0" w:color="000000"/>
            </w:tcBorders>
            <w:tcMar>
              <w:top w:w="0" w:type="dxa"/>
              <w:left w:w="38"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Efficiency Ratio</w:t>
            </w:r>
          </w:p>
        </w:tc>
        <w:tc>
          <w:tcPr>
            <w:tcW w:w="4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51.4%</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57.2%</w:t>
            </w:r>
          </w:p>
        </w:tc>
        <w:tc>
          <w:tcPr>
            <w:tcW w:w="4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51.2%</w:t>
            </w:r>
          </w:p>
        </w:tc>
        <w:tc>
          <w:tcPr>
            <w:tcW w:w="67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-605 bps</w:t>
            </w:r>
          </w:p>
        </w:tc>
        <w:tc>
          <w:tcPr>
            <w:tcW w:w="67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 bps</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54.1%</w:t>
            </w:r>
          </w:p>
        </w:tc>
        <w:tc>
          <w:tcPr>
            <w:tcW w:w="1121"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 bps</w:t>
            </w:r>
          </w:p>
        </w:tc>
      </w:tr>
      <w:tr>
        <w:trPr/>
        <w:tc>
          <w:tcPr>
            <w:tcW w:w="3005" w:type="dxa"/>
            <w:tcBorders>
              <w:left w:val="single" w:sz="8" w:space="0" w:color="000000"/>
              <w:bottom w:val="single" w:sz="8" w:space="0" w:color="000000"/>
              <w:right w:val="single" w:sz="8" w:space="0" w:color="000000"/>
            </w:tcBorders>
            <w:tcMar>
              <w:top w:w="0" w:type="dxa"/>
              <w:left w:w="3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Expenses / Total Average Assets</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32.2%</w:t>
            </w:r>
          </w:p>
        </w:tc>
        <w:tc>
          <w:tcPr>
            <w:tcW w:w="6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31.0%</w:t>
            </w:r>
          </w:p>
        </w:tc>
        <w:tc>
          <w:tcPr>
            <w:tcW w:w="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30.1%</w:t>
            </w:r>
          </w:p>
        </w:tc>
        <w:tc>
          <w:tcPr>
            <w:tcW w:w="6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-88 bps</w:t>
            </w:r>
          </w:p>
        </w:tc>
        <w:tc>
          <w:tcPr>
            <w:tcW w:w="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-204 bps</w:t>
            </w:r>
          </w:p>
        </w:tc>
        <w:tc>
          <w:tcPr>
            <w:tcW w:w="7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32.7%</w:t>
            </w:r>
          </w:p>
        </w:tc>
        <w:tc>
          <w:tcPr>
            <w:tcW w:w="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30.7%</w:t>
            </w:r>
          </w:p>
        </w:tc>
        <w:tc>
          <w:tcPr>
            <w:tcW w:w="11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-201 bps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 Indicators and Market Share</w:t>
      </w:r>
    </w:p>
    <w:p>
      <w:pPr>
        <w:pStyle w:val="TextBody"/>
        <w:bidi w:val="0"/>
        <w:spacing w:before="0" w:after="0"/>
        <w:ind w:left="4451" w:right="4451" w:hanging="0"/>
        <w:jc w:val="center"/>
        <w:rPr>
          <w:caps w:val="false"/>
          <w:smallCaps w:val="false"/>
        </w:rPr>
      </w:pPr>
      <w:r>
        <w:rPr>
          <w:caps w:val="false"/>
          <w:smallCaps w:val="false"/>
        </w:rPr>
        <w:t> </w:t>
      </w:r>
    </w:p>
    <w:tbl>
      <w:tblPr>
        <w:tblW w:w="6170" w:type="dxa"/>
        <w:jc w:val="left"/>
        <w:tblInd w:w="-10" w:type="dxa"/>
        <w:tblLayout w:type="fixed"/>
        <w:tblCellMar>
          <w:top w:w="28" w:type="dxa"/>
          <w:left w:w="28" w:type="dxa"/>
          <w:bottom w:w="28" w:type="dxa"/>
          <w:right w:w="28" w:type="dxa"/>
        </w:tblCellMar>
      </w:tblPr>
      <w:tblGrid>
        <w:gridCol w:w="1715"/>
        <w:gridCol w:w="740"/>
        <w:gridCol w:w="830"/>
        <w:gridCol w:w="650"/>
        <w:gridCol w:w="740"/>
        <w:gridCol w:w="830"/>
        <w:gridCol w:w="665"/>
      </w:tblGrid>
      <w:tr>
        <w:trPr/>
        <w:tc>
          <w:tcPr>
            <w:tcW w:w="171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74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Prima</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System</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650"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Share %</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74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Prima</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830"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System</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665"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Share %</w:t>
            </w:r>
          </w:p>
          <w:p>
            <w:pPr>
              <w:pStyle w:val="TableContents"/>
              <w:bidi w:val="0"/>
              <w:spacing w:before="0" w:after="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r>
      <w:tr>
        <w:trPr/>
        <w:tc>
          <w:tcPr>
            <w:tcW w:w="1715"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AUMs (S/ Millions)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31,611</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111,767</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34,869</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124,034</w:t>
            </w:r>
          </w:p>
        </w:tc>
        <w:tc>
          <w:tcPr>
            <w:tcW w:w="665" w:type="dxa"/>
            <w:tcBorders>
              <w:right w:val="single" w:sz="8" w:space="0" w:color="000000"/>
            </w:tcBorders>
            <w:tcMar>
              <w:top w:w="0" w:type="dxa"/>
              <w:left w:w="0" w:type="dxa"/>
              <w:bottom w:w="0" w:type="dxa"/>
              <w:right w:w="99"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w:t>
            </w:r>
          </w:p>
        </w:tc>
      </w:tr>
      <w:tr>
        <w:trPr/>
        <w:tc>
          <w:tcPr>
            <w:tcW w:w="1715" w:type="dxa"/>
            <w:tcBorders>
              <w:left w:val="single" w:sz="8" w:space="0" w:color="000000"/>
              <w:right w:val="single" w:sz="8" w:space="0" w:color="000000"/>
            </w:tcBorders>
            <w:tcMar>
              <w:top w:w="0" w:type="dxa"/>
              <w:left w:w="47"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Affiliates (S/ Millions)</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2,362,143</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10,432,929</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c>
          <w:tcPr>
            <w:tcW w:w="74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2,365,113</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10,552,814</w:t>
            </w:r>
          </w:p>
        </w:tc>
        <w:tc>
          <w:tcPr>
            <w:tcW w:w="665" w:type="dxa"/>
            <w:tcBorders>
              <w:right w:val="single" w:sz="8" w:space="0" w:color="000000"/>
            </w:tcBorders>
            <w:tcMar>
              <w:top w:w="0" w:type="dxa"/>
              <w:left w:w="0" w:type="dxa"/>
              <w:bottom w:w="0" w:type="dxa"/>
              <w:right w:w="99"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w:t>
            </w:r>
          </w:p>
        </w:tc>
      </w:tr>
      <w:tr>
        <w:trPr/>
        <w:tc>
          <w:tcPr>
            <w:tcW w:w="1715" w:type="dxa"/>
            <w:tcBorders>
              <w:left w:val="single" w:sz="8" w:space="0" w:color="000000"/>
              <w:bottom w:val="single" w:sz="8" w:space="0" w:color="000000"/>
              <w:right w:val="single" w:sz="8" w:space="0" w:color="000000"/>
            </w:tcBorders>
            <w:tcMar>
              <w:top w:w="0" w:type="dxa"/>
              <w:left w:w="47"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Collections (S/ Millions)</w:t>
            </w:r>
          </w:p>
        </w:tc>
        <w:tc>
          <w:tcPr>
            <w:tcW w:w="74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763</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3,143</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w:t>
            </w:r>
          </w:p>
        </w:tc>
        <w:tc>
          <w:tcPr>
            <w:tcW w:w="74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762</w:t>
            </w:r>
          </w:p>
        </w:tc>
        <w:tc>
          <w:tcPr>
            <w:tcW w:w="8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3,303</w:t>
            </w:r>
          </w:p>
        </w:tc>
        <w:tc>
          <w:tcPr>
            <w:tcW w:w="665" w:type="dxa"/>
            <w:tcBorders>
              <w:bottom w:val="single" w:sz="8" w:space="0" w:color="000000"/>
              <w:right w:val="single" w:sz="8" w:space="0" w:color="000000"/>
            </w:tcBorders>
            <w:tcMar>
              <w:top w:w="0" w:type="dxa"/>
              <w:left w:w="0" w:type="dxa"/>
              <w:right w:w="99"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w:t>
            </w:r>
          </w:p>
        </w:tc>
      </w:tr>
    </w:tbl>
    <w:p>
      <w:pPr>
        <w:pStyle w:val="TextBody"/>
        <w:bidi w:val="0"/>
        <w:spacing w:before="0" w:after="0"/>
        <w:ind w:left="89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Superintendencia de Banca, Seguros y AFPs.</w:t>
      </w:r>
    </w:p>
    <w:p>
      <w:pPr>
        <w:pStyle w:val="TextBody"/>
        <w:bidi w:val="0"/>
        <w:spacing w:before="0" w:after="0"/>
        <w:ind w:left="895"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21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2" descr=""/>
                    <pic:cNvPicPr>
                      <a:picLocks noChangeAspect="1" noChangeArrowheads="1"/>
                    </pic:cNvPicPr>
                  </pic:nvPicPr>
                  <pic:blipFill>
                    <a:blip r:embed="rId198"/>
                    <a:stretch>
                      <a:fillRect/>
                    </a:stretch>
                  </pic:blipFill>
                  <pic:spPr bwMode="auto">
                    <a:xfrm>
                      <a:off x="0" y="0"/>
                      <a:ext cx="7620000" cy="638175"/>
                    </a:xfrm>
                    <a:prstGeom prst="rect">
                      <a:avLst/>
                    </a:prstGeom>
                  </pic:spPr>
                </pic:pic>
              </a:graphicData>
            </a:graphic>
          </wp:inline>
        </w:drawing>
      </w:r>
    </w:p>
    <w:p>
      <w:pPr>
        <w:pStyle w:val="TextBody"/>
        <w:bidi w:val="0"/>
        <w:spacing w:before="0" w:after="0"/>
        <w:ind w:left="895" w:right="0" w:hanging="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1995"/>
        <w:gridCol w:w="65"/>
        <w:gridCol w:w="1940"/>
        <w:gridCol w:w="2720"/>
      </w:tblGrid>
      <w:tr>
        <w:trPr/>
        <w:tc>
          <w:tcPr>
            <w:tcW w:w="1995"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1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3" descr=""/>
                          <pic:cNvPicPr>
                            <a:picLocks noChangeAspect="1" noChangeArrowheads="1"/>
                          </pic:cNvPicPr>
                        </pic:nvPicPr>
                        <pic:blipFill>
                          <a:blip r:embed="rId199"/>
                          <a:stretch>
                            <a:fillRect/>
                          </a:stretch>
                        </pic:blipFill>
                        <pic:spPr bwMode="auto">
                          <a:xfrm>
                            <a:off x="0" y="0"/>
                            <a:ext cx="1257300" cy="2095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Times New Roman;Times;Serif" w:hAnsi="Times New Roman;Times;Serif"/>
                <w:b w:val="false"/>
                <w:i w:val="false"/>
                <w:caps w:val="false"/>
                <w:smallCaps w:val="false"/>
                <w:color w:val="A6A6A6"/>
                <w:sz w:val="20"/>
              </w:rPr>
            </w:pPr>
            <w:r>
              <w:rPr>
                <w:rFonts w:ascii="Times New Roman;Times;Serif" w:hAnsi="Times New Roman;Times;Serif"/>
                <w:b w:val="false"/>
                <w:i w:val="false"/>
                <w:caps w:val="false"/>
                <w:smallCaps w:val="false"/>
                <w:color w:val="A6A6A6"/>
                <w:sz w:val="20"/>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b w:val="false"/>
                <w:i w:val="false"/>
                <w:caps w:val="false"/>
                <w:smallCaps w:val="false"/>
                <w:color w:val="FFFFFF"/>
                <w:sz w:val="16"/>
              </w:rPr>
            </w:pPr>
            <w:r>
              <w:rPr>
                <w:rFonts w:ascii="Times New Roman;Times;Serif" w:hAnsi="Times New Roman;Times;Serif"/>
                <w:b w:val="false"/>
                <w:i w:val="false"/>
                <w:caps w:val="false"/>
                <w:smallCaps w:val="false"/>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b w:val="false"/>
                <w:i w:val="false"/>
                <w:caps w:val="false"/>
                <w:smallCaps w:val="false"/>
                <w:color w:val="FF00FF"/>
                <w:sz w:val="16"/>
              </w:rPr>
            </w:pPr>
            <w:r>
              <w:rPr>
                <w:rFonts w:ascii="Times New Roman;Times;Serif" w:hAnsi="Times New Roman;Times;Serif"/>
                <w:b w:val="false"/>
                <w:i w:val="false"/>
                <w:caps w:val="false"/>
                <w:smallCaps w:val="false"/>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000000" w:val="clear"/>
            <w:vAlign w:val="center"/>
          </w:tcPr>
          <w:p>
            <w:pPr>
              <w:pStyle w:val="TableContents"/>
              <w:bidi w:val="0"/>
              <w:spacing w:before="0" w:after="283"/>
              <w:jc w:val="left"/>
              <w:rPr>
                <w:caps w:val="false"/>
                <w:smallCaps w:val="false"/>
              </w:rPr>
            </w:pPr>
            <w:r>
              <w:rPr>
                <w:caps w:val="false"/>
                <w:smallCaps w:val="false"/>
              </w:rPr>
              <w:t> </w:t>
            </w:r>
          </w:p>
        </w:tc>
      </w:tr>
      <w:tr>
        <w:trPr/>
        <w:tc>
          <w:tcPr>
            <w:tcW w:w="4000" w:type="dxa"/>
            <w:gridSpan w:val="3"/>
            <w:tcBorders/>
            <w:shd w:fill="E93BAB" w:val="clear"/>
            <w:vAlign w:val="center"/>
          </w:tcPr>
          <w:p>
            <w:pPr>
              <w:pStyle w:val="TableContents"/>
              <w:bidi w:val="0"/>
              <w:spacing w:before="0" w:after="283"/>
              <w:jc w:val="left"/>
              <w:rPr>
                <w:rFonts w:ascii="Times New Roman;Times;Serif" w:hAnsi="Times New Roman;Times;Serif"/>
                <w:b/>
                <w:i w:val="false"/>
                <w:caps w:val="false"/>
                <w:smallCaps w:val="false"/>
                <w:color w:val="FFFFFF"/>
                <w:sz w:val="24"/>
              </w:rPr>
            </w:pPr>
            <w:r>
              <w:rPr>
                <w:rFonts w:ascii="Times New Roman;Times;Serif" w:hAnsi="Times New Roman;Times;Serif"/>
                <w:b/>
                <w:i w:val="false"/>
                <w:caps w:val="false"/>
                <w:smallCaps w:val="false"/>
                <w:color w:val="FFFFFF"/>
                <w:sz w:val="24"/>
              </w:rPr>
              <w:t>12. Appendix</w:t>
            </w:r>
          </w:p>
        </w:tc>
        <w:tc>
          <w:tcPr>
            <w:tcW w:w="2720" w:type="dxa"/>
            <w:tcBorders/>
            <w:shd w:fill="E93BAB"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12.7.8. Grupo Pacifico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Key Indicators of Financial Position</w:t>
      </w:r>
    </w:p>
    <w:p>
      <w:pPr>
        <w:pStyle w:val="TextBody"/>
        <w:bidi w:val="0"/>
        <w:spacing w:before="0" w:after="0"/>
        <w:ind w:left="151" w:right="568"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 Thousands, IFRS)</w:t>
      </w:r>
    </w:p>
    <w:p>
      <w:pPr>
        <w:pStyle w:val="TextBody"/>
        <w:bidi w:val="0"/>
        <w:spacing w:before="0" w:after="0"/>
        <w:ind w:left="151" w:right="568" w:hanging="0"/>
        <w:jc w:val="center"/>
        <w:rPr>
          <w:caps w:val="false"/>
          <w:smallCaps w:val="false"/>
        </w:rPr>
      </w:pPr>
      <w:r>
        <w:rPr>
          <w:caps w:val="false"/>
          <w:smallCaps w:val="false"/>
        </w:rPr>
        <w:t> </w:t>
      </w:r>
    </w:p>
    <w:tbl>
      <w:tblPr>
        <w:tblW w:w="4725" w:type="dxa"/>
        <w:jc w:val="left"/>
        <w:tblInd w:w="-10" w:type="dxa"/>
        <w:tblLayout w:type="fixed"/>
        <w:tblCellMar>
          <w:top w:w="28" w:type="dxa"/>
          <w:left w:w="28" w:type="dxa"/>
          <w:bottom w:w="28" w:type="dxa"/>
          <w:right w:w="28" w:type="dxa"/>
        </w:tblCellMar>
      </w:tblPr>
      <w:tblGrid>
        <w:gridCol w:w="1430"/>
        <w:gridCol w:w="830"/>
        <w:gridCol w:w="830"/>
        <w:gridCol w:w="830"/>
        <w:gridCol w:w="395"/>
        <w:gridCol w:w="410"/>
      </w:tblGrid>
      <w:tr>
        <w:trPr/>
        <w:tc>
          <w:tcPr>
            <w:tcW w:w="1430" w:type="dxa"/>
            <w:vMerge w:val="restart"/>
            <w:tcBorders>
              <w:top w:val="single" w:sz="8" w:space="0" w:color="000000"/>
              <w:left w:val="single" w:sz="8" w:space="0" w:color="000000"/>
              <w:bottom w:val="single" w:sz="12" w:space="0" w:color="000000"/>
              <w:right w:val="single" w:sz="12" w:space="0" w:color="000000"/>
            </w:tcBorders>
            <w:shd w:fill="2AD2C7" w:val="clear"/>
            <w:vAlign w:val="center"/>
          </w:tcPr>
          <w:p>
            <w:pPr>
              <w:pStyle w:val="TableContents"/>
              <w:bidi w:val="0"/>
              <w:spacing w:before="0" w:after="283"/>
              <w:jc w:val="left"/>
              <w:rPr/>
            </w:pPr>
            <w:r>
              <w:rPr/>
              <w:t> </w:t>
            </w:r>
          </w:p>
        </w:tc>
        <w:tc>
          <w:tcPr>
            <w:tcW w:w="830" w:type="dxa"/>
            <w:tcBorders>
              <w:top w:val="single" w:sz="8" w:space="0" w:color="000000"/>
            </w:tcBorders>
            <w:shd w:fill="2AD2C7" w:val="clear"/>
            <w:tcMar>
              <w:left w:w="0" w:type="dxa"/>
              <w:bottom w:w="0" w:type="dxa"/>
              <w:right w:w="0" w:type="dxa"/>
            </w:tcMar>
            <w:vAlign w:val="center"/>
          </w:tcPr>
          <w:p>
            <w:pPr>
              <w:pStyle w:val="TableContents"/>
              <w:bidi w:val="0"/>
              <w:spacing w:before="0" w:after="283"/>
              <w:jc w:val="center"/>
              <w:rPr/>
            </w:pPr>
            <w:r>
              <w:rPr/>
              <w:t> </w:t>
            </w:r>
          </w:p>
        </w:tc>
        <w:tc>
          <w:tcPr>
            <w:tcW w:w="830" w:type="dxa"/>
            <w:vMerge w:val="restart"/>
            <w:tcBorders>
              <w:top w:val="single" w:sz="8" w:space="0" w:color="000000"/>
              <w:bottom w:val="single" w:sz="12" w:space="0" w:color="000000"/>
            </w:tcBorders>
            <w:shd w:fill="2AD2C7" w:val="clear"/>
            <w:tcMar>
              <w:left w:w="0" w:type="dxa"/>
              <w:right w:w="0" w:type="dxa"/>
            </w:tcMar>
            <w:vAlign w:val="center"/>
          </w:tcPr>
          <w:p>
            <w:pPr>
              <w:pStyle w:val="TableContents"/>
              <w:bidi w:val="0"/>
              <w:spacing w:before="0" w:after="0"/>
              <w:jc w:val="center"/>
              <w:rPr>
                <w:rFonts w:ascii="Times New Roman;Times;Serif" w:hAnsi="Times New Roman;Times;Serif"/>
                <w:b/>
                <w:i w:val="false"/>
                <w:caps w:val="false"/>
                <w:smallCaps w:val="false"/>
                <w:color w:val="FFFFFF"/>
                <w:sz w:val="18"/>
              </w:rPr>
            </w:pPr>
            <w:r>
              <w:rPr>
                <w:rFonts w:ascii="Times New Roman;Times;Serif" w:hAnsi="Times New Roman;Times;Serif"/>
                <w:b/>
                <w:i w:val="false"/>
                <w:caps w:val="false"/>
                <w:smallCaps w:val="false"/>
                <w:color w:val="FFFFFF"/>
                <w:sz w:val="18"/>
              </w:rPr>
              <w:t>As of</w:t>
            </w:r>
          </w:p>
          <w:p>
            <w:pPr>
              <w:pStyle w:val="TableContents"/>
              <w:bidi w:val="0"/>
              <w:spacing w:before="0" w:after="0"/>
              <w:jc w:val="center"/>
              <w:rPr>
                <w:rFonts w:ascii="Times New Roman;Times;Serif" w:hAnsi="Times New Roman;Times;Serif"/>
                <w:b/>
                <w:i w:val="false"/>
                <w:caps w:val="false"/>
                <w:smallCaps w:val="false"/>
                <w:color w:val="FFFFFF"/>
                <w:sz w:val="18"/>
              </w:rPr>
            </w:pPr>
            <w:r>
              <w:rPr>
                <w:rFonts w:ascii="Times New Roman;Times;Serif" w:hAnsi="Times New Roman;Times;Serif"/>
                <w:b/>
                <w:i w:val="false"/>
                <w:caps w:val="false"/>
                <w:smallCaps w:val="false"/>
                <w:color w:val="FFFFFF"/>
                <w:sz w:val="18"/>
              </w:rPr>
              <w:t>Mar 25</w:t>
            </w:r>
          </w:p>
        </w:tc>
        <w:tc>
          <w:tcPr>
            <w:tcW w:w="830" w:type="dxa"/>
            <w:tcBorders>
              <w:top w:val="single" w:sz="8" w:space="0" w:color="000000"/>
              <w:right w:val="single" w:sz="12" w:space="0" w:color="000000"/>
            </w:tcBorders>
            <w:shd w:fill="2AD2C7" w:val="clear"/>
            <w:tcMar>
              <w:left w:w="0" w:type="dxa"/>
              <w:bottom w:w="0" w:type="dxa"/>
            </w:tcMar>
            <w:vAlign w:val="center"/>
          </w:tcPr>
          <w:p>
            <w:pPr>
              <w:pStyle w:val="TableContents"/>
              <w:bidi w:val="0"/>
              <w:spacing w:before="0" w:after="283"/>
              <w:jc w:val="center"/>
              <w:rPr/>
            </w:pPr>
            <w:r>
              <w:rPr/>
              <w:t> </w:t>
            </w:r>
          </w:p>
        </w:tc>
        <w:tc>
          <w:tcPr>
            <w:tcW w:w="805" w:type="dxa"/>
            <w:gridSpan w:val="2"/>
            <w:tcBorders>
              <w:top w:val="single" w:sz="8" w:space="0" w:color="000000"/>
              <w:right w:val="single" w:sz="8" w:space="0" w:color="000000"/>
            </w:tcBorders>
            <w:shd w:fill="2AD2C7" w:val="clear"/>
            <w:tcMar>
              <w:left w:w="0" w:type="dxa"/>
              <w:bottom w:w="0" w:type="dxa"/>
            </w:tcMar>
            <w:vAlign w:val="center"/>
          </w:tcPr>
          <w:p>
            <w:pPr>
              <w:pStyle w:val="TableContents"/>
              <w:bidi w:val="0"/>
              <w:spacing w:before="0" w:after="283"/>
              <w:jc w:val="center"/>
              <w:rPr>
                <w:rFonts w:ascii="Times New Roman;Times;Serif" w:hAnsi="Times New Roman;Times;Serif"/>
                <w:b/>
                <w:color w:val="FFFFFF"/>
                <w:sz w:val="18"/>
              </w:rPr>
            </w:pPr>
            <w:r>
              <w:rPr>
                <w:rFonts w:ascii="Times New Roman;Times;Serif" w:hAnsi="Times New Roman;Times;Serif"/>
                <w:b/>
                <w:color w:val="FFFFFF"/>
                <w:sz w:val="18"/>
              </w:rPr>
              <w:t>% change</w:t>
            </w:r>
          </w:p>
        </w:tc>
      </w:tr>
      <w:tr>
        <w:trPr/>
        <w:tc>
          <w:tcPr>
            <w:tcW w:w="1430" w:type="dxa"/>
            <w:vMerge w:val="continue"/>
            <w:tcBorders>
              <w:top w:val="single" w:sz="8" w:space="0" w:color="000000"/>
              <w:left w:val="single" w:sz="8" w:space="0" w:color="000000"/>
              <w:bottom w:val="single" w:sz="12" w:space="0" w:color="000000"/>
              <w:right w:val="single" w:sz="12" w:space="0" w:color="000000"/>
            </w:tcBorders>
            <w:shd w:fill="2AD2C7" w:val="clear"/>
            <w:vAlign w:val="center"/>
          </w:tcPr>
          <w:p>
            <w:pPr>
              <w:pStyle w:val="Normal"/>
              <w:bidi w:val="0"/>
              <w:jc w:val="left"/>
              <w:rPr/>
            </w:pPr>
            <w:r>
              <w:rPr/>
            </w:r>
          </w:p>
        </w:tc>
        <w:tc>
          <w:tcPr>
            <w:tcW w:w="830" w:type="dxa"/>
            <w:tcBorders>
              <w:bottom w:val="single" w:sz="12" w:space="0" w:color="000000"/>
            </w:tcBorders>
            <w:shd w:fill="2AD2C7"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8"/>
              </w:rPr>
            </w:pPr>
            <w:r>
              <w:rPr>
                <w:rFonts w:ascii="Times New Roman;Times;Serif" w:hAnsi="Times New Roman;Times;Serif"/>
                <w:b/>
                <w:color w:val="FFFFFF"/>
                <w:sz w:val="18"/>
              </w:rPr>
              <w:t>Jun 25</w:t>
            </w:r>
          </w:p>
        </w:tc>
        <w:tc>
          <w:tcPr>
            <w:tcW w:w="830" w:type="dxa"/>
            <w:vMerge w:val="continue"/>
            <w:tcBorders>
              <w:top w:val="single" w:sz="8" w:space="0" w:color="000000"/>
              <w:bottom w:val="single" w:sz="12" w:space="0" w:color="000000"/>
            </w:tcBorders>
            <w:shd w:fill="2AD2C7" w:val="clear"/>
            <w:tcMar>
              <w:left w:w="0" w:type="dxa"/>
              <w:right w:w="0" w:type="dxa"/>
            </w:tcMar>
            <w:vAlign w:val="center"/>
          </w:tcPr>
          <w:p>
            <w:pPr>
              <w:pStyle w:val="Normal"/>
              <w:bidi w:val="0"/>
              <w:jc w:val="left"/>
              <w:rPr/>
            </w:pPr>
            <w:r>
              <w:rPr/>
            </w:r>
          </w:p>
        </w:tc>
        <w:tc>
          <w:tcPr>
            <w:tcW w:w="830" w:type="dxa"/>
            <w:tcBorders>
              <w:bottom w:val="single" w:sz="12" w:space="0" w:color="000000"/>
              <w:right w:val="single" w:sz="12" w:space="0" w:color="000000"/>
            </w:tcBorders>
            <w:shd w:fill="2AD2C7"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8"/>
              </w:rPr>
            </w:pPr>
            <w:r>
              <w:rPr>
                <w:rFonts w:ascii="Times New Roman;Times;Serif" w:hAnsi="Times New Roman;Times;Serif"/>
                <w:b/>
                <w:color w:val="FFFFFF"/>
                <w:sz w:val="18"/>
              </w:rPr>
              <w:t>Jun 26</w:t>
            </w:r>
          </w:p>
        </w:tc>
        <w:tc>
          <w:tcPr>
            <w:tcW w:w="395" w:type="dxa"/>
            <w:tcBorders>
              <w:bottom w:val="single" w:sz="12" w:space="0" w:color="000000"/>
            </w:tcBorders>
            <w:shd w:fill="2AD2C7" w:val="clear"/>
            <w:tcMar>
              <w:top w:w="0" w:type="dxa"/>
              <w:left w:w="0" w:type="dxa"/>
              <w:right w:w="0" w:type="dxa"/>
            </w:tcMar>
            <w:vAlign w:val="center"/>
          </w:tcPr>
          <w:p>
            <w:pPr>
              <w:pStyle w:val="TableContents"/>
              <w:bidi w:val="0"/>
              <w:spacing w:before="0" w:after="283"/>
              <w:jc w:val="center"/>
              <w:rPr>
                <w:rFonts w:ascii="Times New Roman;Times;Serif" w:hAnsi="Times New Roman;Times;Serif"/>
                <w:b/>
                <w:color w:val="FFFFFF"/>
                <w:sz w:val="18"/>
              </w:rPr>
            </w:pPr>
            <w:r>
              <w:rPr>
                <w:rFonts w:ascii="Times New Roman;Times;Serif" w:hAnsi="Times New Roman;Times;Serif"/>
                <w:b/>
                <w:color w:val="FFFFFF"/>
                <w:sz w:val="18"/>
              </w:rPr>
              <w:t>QoQ</w:t>
            </w:r>
          </w:p>
        </w:tc>
        <w:tc>
          <w:tcPr>
            <w:tcW w:w="410" w:type="dxa"/>
            <w:tcBorders>
              <w:bottom w:val="single" w:sz="12" w:space="0" w:color="000000"/>
              <w:right w:val="single" w:sz="12" w:space="0" w:color="000000"/>
            </w:tcBorders>
            <w:shd w:fill="2AD2C7" w:val="clear"/>
            <w:tcMar>
              <w:top w:w="0" w:type="dxa"/>
              <w:left w:w="0" w:type="dxa"/>
            </w:tcMar>
            <w:vAlign w:val="center"/>
          </w:tcPr>
          <w:p>
            <w:pPr>
              <w:pStyle w:val="TableContents"/>
              <w:bidi w:val="0"/>
              <w:spacing w:before="0" w:after="283"/>
              <w:jc w:val="center"/>
              <w:rPr>
                <w:rFonts w:ascii="Times New Roman;Times;Serif" w:hAnsi="Times New Roman;Times;Serif"/>
                <w:b/>
                <w:color w:val="FFFFFF"/>
                <w:sz w:val="18"/>
              </w:rPr>
            </w:pPr>
            <w:r>
              <w:rPr>
                <w:rFonts w:ascii="Times New Roman;Times;Serif" w:hAnsi="Times New Roman;Times;Serif"/>
                <w:b/>
                <w:color w:val="FFFFFF"/>
                <w:sz w:val="18"/>
              </w:rPr>
              <w:t>YoY</w:t>
            </w:r>
          </w:p>
        </w:tc>
      </w:tr>
      <w:tr>
        <w:trPr/>
        <w:tc>
          <w:tcPr>
            <w:tcW w:w="1430" w:type="dxa"/>
            <w:tcBorders>
              <w:left w:val="single" w:sz="8" w:space="0" w:color="000000"/>
              <w:righ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Total assets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19,964,153</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21,109,210</w:t>
            </w:r>
          </w:p>
        </w:tc>
        <w:tc>
          <w:tcPr>
            <w:tcW w:w="830" w:type="dxa"/>
            <w:tcBorders>
              <w:right w:val="single" w:sz="1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21,434,137</w:t>
            </w:r>
          </w:p>
        </w:tc>
        <w:tc>
          <w:tcPr>
            <w:tcW w:w="39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1.5%</w:t>
            </w:r>
          </w:p>
        </w:tc>
        <w:tc>
          <w:tcPr>
            <w:tcW w:w="410" w:type="dxa"/>
            <w:tcBorders>
              <w:right w:val="single" w:sz="1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7.4%</w:t>
            </w:r>
          </w:p>
        </w:tc>
      </w:tr>
      <w:tr>
        <w:trPr/>
        <w:tc>
          <w:tcPr>
            <w:tcW w:w="1430" w:type="dxa"/>
            <w:tcBorders>
              <w:left w:val="single" w:sz="8" w:space="0" w:color="000000"/>
              <w:right w:val="single" w:sz="12" w:space="0" w:color="000000"/>
            </w:tcBorders>
            <w:tcMar>
              <w:top w:w="0" w:type="dxa"/>
              <w:bottom w:w="0" w:type="dxa"/>
            </w:tcMar>
            <w:vAlign w:val="center"/>
          </w:tcPr>
          <w:p>
            <w:pPr>
              <w:pStyle w:val="TableContents"/>
              <w:bidi w:val="0"/>
              <w:spacing w:lineRule="auto" w:line="240" w:before="0" w:after="283"/>
              <w:jc w:val="left"/>
              <w:rPr>
                <w:rFonts w:ascii="Times New Roman;Times;Serif" w:hAnsi="Times New Roman;Times;Serif"/>
                <w:sz w:val="18"/>
              </w:rPr>
            </w:pPr>
            <w:r>
              <w:rPr>
                <w:rFonts w:ascii="Times New Roman;Times;Serif" w:hAnsi="Times New Roman;Times;Serif"/>
                <w:sz w:val="18"/>
              </w:rPr>
              <w:t>Total Invesment (1)</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14,228,488</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14,826,311</w:t>
            </w:r>
          </w:p>
        </w:tc>
        <w:tc>
          <w:tcPr>
            <w:tcW w:w="830" w:type="dxa"/>
            <w:tcBorders>
              <w:right w:val="single" w:sz="1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15,231,009</w:t>
            </w:r>
          </w:p>
        </w:tc>
        <w:tc>
          <w:tcPr>
            <w:tcW w:w="39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2.7%</w:t>
            </w:r>
          </w:p>
        </w:tc>
        <w:tc>
          <w:tcPr>
            <w:tcW w:w="410" w:type="dxa"/>
            <w:tcBorders>
              <w:right w:val="single" w:sz="1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7.0%</w:t>
            </w:r>
          </w:p>
        </w:tc>
      </w:tr>
      <w:tr>
        <w:trPr/>
        <w:tc>
          <w:tcPr>
            <w:tcW w:w="1430" w:type="dxa"/>
            <w:tcBorders>
              <w:left w:val="single" w:sz="8" w:space="0" w:color="000000"/>
              <w:righ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Total Liabilities</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15,922,813</w:t>
            </w:r>
          </w:p>
        </w:tc>
        <w:tc>
          <w:tcPr>
            <w:tcW w:w="8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17,089,133</w:t>
            </w:r>
          </w:p>
        </w:tc>
        <w:tc>
          <w:tcPr>
            <w:tcW w:w="830" w:type="dxa"/>
            <w:tcBorders>
              <w:right w:val="single" w:sz="1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17,215,302</w:t>
            </w:r>
          </w:p>
        </w:tc>
        <w:tc>
          <w:tcPr>
            <w:tcW w:w="39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0.7%</w:t>
            </w:r>
          </w:p>
        </w:tc>
        <w:tc>
          <w:tcPr>
            <w:tcW w:w="410" w:type="dxa"/>
            <w:tcBorders>
              <w:right w:val="single" w:sz="12"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8.1%</w:t>
            </w:r>
          </w:p>
        </w:tc>
      </w:tr>
      <w:tr>
        <w:trPr/>
        <w:tc>
          <w:tcPr>
            <w:tcW w:w="1430" w:type="dxa"/>
            <w:tcBorders>
              <w:left w:val="single" w:sz="8"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Net equity</w:t>
            </w:r>
          </w:p>
        </w:tc>
        <w:tc>
          <w:tcPr>
            <w:tcW w:w="830"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3,341,104</w:t>
            </w:r>
          </w:p>
        </w:tc>
        <w:tc>
          <w:tcPr>
            <w:tcW w:w="830"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3,412,102</w:t>
            </w:r>
          </w:p>
        </w:tc>
        <w:tc>
          <w:tcPr>
            <w:tcW w:w="83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3,584,918</w:t>
            </w:r>
          </w:p>
        </w:tc>
        <w:tc>
          <w:tcPr>
            <w:tcW w:w="39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5.1%</w:t>
            </w:r>
          </w:p>
        </w:tc>
        <w:tc>
          <w:tcPr>
            <w:tcW w:w="41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7.3%</w:t>
            </w:r>
          </w:p>
        </w:tc>
      </w:tr>
    </w:tbl>
    <w:p>
      <w:pPr>
        <w:pStyle w:val="TextBody"/>
        <w:bidi w:val="0"/>
        <w:spacing w:before="0" w:after="0"/>
        <w:ind w:left="151" w:right="574" w:hanging="0"/>
        <w:jc w:val="center"/>
        <w:rPr>
          <w:caps w:val="false"/>
          <w:smallCaps w:val="false"/>
        </w:rPr>
      </w:pPr>
      <w:r>
        <w:rPr>
          <w:caps w:val="false"/>
          <w:smallCaps w:val="false"/>
        </w:rPr>
        <w:t> </w:t>
      </w:r>
    </w:p>
    <w:p>
      <w:pPr>
        <w:pStyle w:val="TextBody"/>
        <w:bidi w:val="0"/>
        <w:spacing w:before="0" w:after="0"/>
        <w:ind w:left="151" w:right="574"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Statement of Income</w:t>
      </w:r>
    </w:p>
    <w:p>
      <w:pPr>
        <w:pStyle w:val="TextBody"/>
        <w:bidi w:val="0"/>
        <w:spacing w:before="0" w:after="0"/>
        <w:ind w:left="151" w:right="568"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 Thousands, IFRS)</w:t>
      </w:r>
    </w:p>
    <w:p>
      <w:pPr>
        <w:pStyle w:val="TextBody"/>
        <w:bidi w:val="0"/>
        <w:spacing w:before="0" w:after="0"/>
        <w:ind w:left="151" w:right="568" w:hanging="0"/>
        <w:jc w:val="center"/>
        <w:rPr>
          <w:caps w:val="false"/>
          <w:smallCaps w:val="false"/>
        </w:rPr>
      </w:pPr>
      <w:r>
        <w:rPr>
          <w:caps w:val="false"/>
          <w:smallCaps w:val="false"/>
        </w:rPr>
        <w:t>  </w:t>
      </w:r>
    </w:p>
    <w:tbl>
      <w:tblPr>
        <w:tblW w:w="9576" w:type="dxa"/>
        <w:jc w:val="left"/>
        <w:tblInd w:w="-10" w:type="dxa"/>
        <w:tblLayout w:type="fixed"/>
        <w:tblCellMar>
          <w:top w:w="28" w:type="dxa"/>
          <w:left w:w="28" w:type="dxa"/>
          <w:bottom w:w="28" w:type="dxa"/>
          <w:right w:w="28" w:type="dxa"/>
        </w:tblCellMar>
      </w:tblPr>
      <w:tblGrid>
        <w:gridCol w:w="3545"/>
        <w:gridCol w:w="725"/>
        <w:gridCol w:w="725"/>
        <w:gridCol w:w="725"/>
        <w:gridCol w:w="620"/>
        <w:gridCol w:w="620"/>
        <w:gridCol w:w="730"/>
        <w:gridCol w:w="730"/>
        <w:gridCol w:w="1156"/>
      </w:tblGrid>
      <w:tr>
        <w:trPr/>
        <w:tc>
          <w:tcPr>
            <w:tcW w:w="3545"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pPr>
            <w:r>
              <w:rPr/>
              <w:t> </w:t>
            </w:r>
          </w:p>
        </w:tc>
        <w:tc>
          <w:tcPr>
            <w:tcW w:w="72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20"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2Q25</w:t>
            </w:r>
          </w:p>
        </w:tc>
        <w:tc>
          <w:tcPr>
            <w:tcW w:w="725" w:type="dxa"/>
            <w:tcBorders>
              <w:top w:val="single" w:sz="8" w:space="0" w:color="000000"/>
              <w:bottom w:val="single" w:sz="8" w:space="0" w:color="000000"/>
            </w:tcBorders>
            <w:shd w:fill="2AD2C7" w:val="clear"/>
            <w:tcMar>
              <w:left w:w="0" w:type="dxa"/>
              <w:right w:w="0" w:type="dxa"/>
            </w:tcMar>
            <w:vAlign w:val="center"/>
          </w:tcPr>
          <w:p>
            <w:pPr>
              <w:pStyle w:val="TableContents"/>
              <w:bidi w:val="0"/>
              <w:spacing w:before="0" w:after="0"/>
              <w:ind w:left="48" w:right="48"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w:t>
            </w:r>
          </w:p>
          <w:p>
            <w:pPr>
              <w:pStyle w:val="TableContents"/>
              <w:bidi w:val="0"/>
              <w:spacing w:before="0" w:after="0"/>
              <w:ind w:left="48" w:right="49"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725"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44"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1240"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31"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ind w:left="79"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          YoY</w:t>
            </w:r>
          </w:p>
        </w:tc>
        <w:tc>
          <w:tcPr>
            <w:tcW w:w="1460" w:type="dxa"/>
            <w:gridSpan w:val="2"/>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42"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Up to</w:t>
            </w:r>
          </w:p>
          <w:p>
            <w:pPr>
              <w:pStyle w:val="TableContents"/>
              <w:bidi w:val="0"/>
              <w:spacing w:before="0" w:after="0"/>
              <w:ind w:left="35" w:right="0"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          Jun 26</w:t>
            </w:r>
          </w:p>
        </w:tc>
        <w:tc>
          <w:tcPr>
            <w:tcW w:w="1156"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0"/>
              <w:ind w:left="58" w:right="21"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p>
            <w:pPr>
              <w:pStyle w:val="TableContents"/>
              <w:bidi w:val="0"/>
              <w:spacing w:before="0" w:after="0"/>
              <w:ind w:left="58" w:right="11" w:hanging="0"/>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 Jun 25</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Insurance Service Result</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340,560</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221,138</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295,078</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33.4%</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620,491</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516,216</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-16.8%</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Reinsurance Result</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(105,650)</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(65,101)</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(134,206)</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106.2%</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27.0%</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(200,511)</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(199,307)</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-0.6%</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Insurance underwriting result</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234,910</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156,037</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160,872</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-31.5%</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419,980</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316,909</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-24.5%</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Sale of medical services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474,732</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424,663</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440,841</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-7.1%</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552,999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865,504</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56.5%</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sales of medical services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(351,512)</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(300,820)</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(307,396)</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-12.6%</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(386,905)</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(608,216)</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57.2%</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Medical services result</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123,220</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123,843</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133,445</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7.8%</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8.3%</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166,094</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257,288</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54.9%</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income</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234,866</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281,302</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246,764</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-12.3%</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473,079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528,066</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11.6%</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(156,502)</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(182,052)</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(188,095)</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20.2%</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(302,200)</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(370,147)</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22.5%</w:t>
            </w:r>
          </w:p>
        </w:tc>
      </w:tr>
      <w:tr>
        <w:trPr/>
        <w:tc>
          <w:tcPr>
            <w:tcW w:w="3545" w:type="dxa"/>
            <w:tcBorders>
              <w:left w:val="single" w:sz="8" w:space="0" w:color="000000"/>
              <w:right w:val="single" w:sz="8" w:space="0" w:color="000000"/>
            </w:tcBorders>
            <w:tcMar>
              <w:top w:w="0" w:type="dxa"/>
              <w:left w:w="139"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expenses attributable to insurance activities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(139,055)</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(162,917)</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(169,075)</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3.8%</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21.6%</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(274,676)</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(331,992)</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20.9%</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Interest Income</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78,364</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99,250</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58,669</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-40.9%</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-25.1%</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170,879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157,919</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-7.6%</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Fee Income and Gain in FX</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(6,397)</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(5,799)</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660</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-111.4%</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-110.3%</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(10,548)</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(5,139)</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-51.3%</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Other Income No Core:</w:t>
            </w:r>
          </w:p>
        </w:tc>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620" w:type="dxa"/>
            <w:tcBorders/>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gain (loss) from exchange differences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488</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(660)</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(837)</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26.8%</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-271.5%</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137</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(1,497)</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-1192.7%</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 on securities and associates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(15,390)</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4,024</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6,978</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73.4%</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-145.3%</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(49,786)</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11,002</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-122.1%</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not operational</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34,343</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32,161</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59,489</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85.0%</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73.2%</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60,607</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91,650</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51.2%</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Other Income</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13,044</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29,726</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66,290</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123.0%</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408.2%</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410</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96,016</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23318.5%</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expenses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(161,499)</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(146,656)</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(141,823)</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-3.3%</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-12.2%</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(266,914)</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(288,479)</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8.1%</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expenses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(25,822)</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(16,372)</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(29,544)</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80.5%</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14.4%</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(29,659)</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(45,916)</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54.8%</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Expenses</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(187,321)</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(163,028)</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(171,367)</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5.1%</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-8.5%</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(296,573)</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(334,395)</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12.8%</w:t>
            </w:r>
          </w:p>
        </w:tc>
      </w:tr>
      <w:tr>
        <w:trPr/>
        <w:tc>
          <w:tcPr>
            <w:tcW w:w="3545" w:type="dxa"/>
            <w:tcBorders>
              <w:left w:val="single" w:sz="8" w:space="0" w:color="000000"/>
              <w:right w:val="single" w:sz="8" w:space="0" w:color="000000"/>
            </w:tcBorders>
            <w:tcMar>
              <w:top w:w="0" w:type="dxa"/>
              <w:left w:w="43" w:type="dxa"/>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(37,568)</w:t>
            </w:r>
          </w:p>
        </w:tc>
        <w:tc>
          <w:tcPr>
            <w:tcW w:w="72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(27,856)</w:t>
            </w:r>
          </w:p>
        </w:tc>
        <w:tc>
          <w:tcPr>
            <w:tcW w:w="72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(24,214)</w:t>
            </w:r>
          </w:p>
        </w:tc>
        <w:tc>
          <w:tcPr>
            <w:tcW w:w="62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-13.1%</w:t>
            </w:r>
          </w:p>
        </w:tc>
        <w:tc>
          <w:tcPr>
            <w:tcW w:w="6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-35.5%</w:t>
            </w:r>
          </w:p>
        </w:tc>
        <w:tc>
          <w:tcPr>
            <w:tcW w:w="730"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(53,620)</w:t>
            </w:r>
          </w:p>
        </w:tc>
        <w:tc>
          <w:tcPr>
            <w:tcW w:w="73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(52,070)</w:t>
            </w:r>
          </w:p>
        </w:tc>
        <w:tc>
          <w:tcPr>
            <w:tcW w:w="1156"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-2.9%</w:t>
            </w:r>
          </w:p>
        </w:tc>
      </w:tr>
      <w:tr>
        <w:trPr/>
        <w:tc>
          <w:tcPr>
            <w:tcW w:w="3545" w:type="dxa"/>
            <w:tcBorders>
              <w:left w:val="single" w:sz="8" w:space="0" w:color="000000"/>
              <w:bottom w:val="single" w:sz="8" w:space="0" w:color="000000"/>
              <w:right w:val="single" w:sz="8" w:space="0" w:color="000000"/>
            </w:tcBorders>
            <w:tcMar>
              <w:top w:w="0" w:type="dxa"/>
              <w:left w:w="43"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income</w:t>
            </w:r>
          </w:p>
        </w:tc>
        <w:tc>
          <w:tcPr>
            <w:tcW w:w="7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224,649</w:t>
            </w:r>
          </w:p>
        </w:tc>
        <w:tc>
          <w:tcPr>
            <w:tcW w:w="7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217,972</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223,695</w:t>
            </w:r>
          </w:p>
        </w:tc>
        <w:tc>
          <w:tcPr>
            <w:tcW w:w="62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2.6%</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-0.4%</w:t>
            </w:r>
          </w:p>
        </w:tc>
        <w:tc>
          <w:tcPr>
            <w:tcW w:w="73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407,170</w:t>
            </w:r>
          </w:p>
        </w:tc>
        <w:tc>
          <w:tcPr>
            <w:tcW w:w="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441,667</w:t>
            </w:r>
          </w:p>
        </w:tc>
        <w:tc>
          <w:tcPr>
            <w:tcW w:w="11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8.5%</w:t>
            </w:r>
          </w:p>
        </w:tc>
      </w:tr>
    </w:tbl>
    <w:p>
      <w:pPr>
        <w:pStyle w:val="TextBody"/>
        <w:bidi w:val="0"/>
        <w:spacing w:before="0" w:after="0"/>
        <w:ind w:left="854" w:right="0" w:hanging="0"/>
        <w:jc w:val="left"/>
        <w:rPr>
          <w:caps w:val="false"/>
          <w:smallCaps w:val="false"/>
        </w:rPr>
      </w:pPr>
      <w:r>
        <w:rPr>
          <w:caps w:val="false"/>
          <w:smallCaps w:val="false"/>
        </w:rPr>
        <w:t> </w:t>
      </w:r>
    </w:p>
    <w:p>
      <w:pPr>
        <w:pStyle w:val="TextBody"/>
        <w:bidi w:val="0"/>
        <w:spacing w:before="0" w:after="0"/>
        <w:ind w:left="854"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*Financial statements without consolidation adjustments.</w:t>
      </w:r>
    </w:p>
    <w:p>
      <w:pPr>
        <w:pStyle w:val="TextBody"/>
        <w:bidi w:val="0"/>
        <w:spacing w:before="0" w:after="0"/>
        <w:ind w:left="854"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Excluding investments in real estate.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February 2025, Grupo Pacifico’s financial statements reflect the agreement with Banmedica (in equal parts) of the businesses of:</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health insurance managed by Grupo Pacifico and included in its Financial Statements in each of the accounting lines;</w:t>
            </w:r>
          </w:p>
        </w:tc>
      </w:tr>
    </w:tbl>
    <w:tbl>
      <w:tblPr>
        <w:tblW w:w="5000" w:type="pct"/>
        <w:jc w:val="left"/>
        <w:tblInd w:w="0" w:type="dxa"/>
        <w:tblLayout w:type="fixed"/>
        <w:tblCellMar>
          <w:top w:w="0" w:type="dxa"/>
          <w:left w:w="0" w:type="dxa"/>
          <w:bottom w:w="0" w:type="dxa"/>
          <w:right w:w="0" w:type="dxa"/>
        </w:tblCellMar>
      </w:tblPr>
      <w:tblGrid>
        <w:gridCol w:w="84"/>
        <w:gridCol w:w="580"/>
        <w:gridCol w:w="9541"/>
      </w:tblGrid>
      <w:tr>
        <w:trPr/>
        <w:tc>
          <w:tcPr>
            <w:tcW w:w="8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health insurance (dependent workers); and</w:t>
            </w:r>
          </w:p>
        </w:tc>
      </w:tr>
    </w:tbl>
    <w:tbl>
      <w:tblPr>
        <w:tblW w:w="5000" w:type="pct"/>
        <w:jc w:val="left"/>
        <w:tblInd w:w="0" w:type="dxa"/>
        <w:tblLayout w:type="fixed"/>
        <w:tblCellMar>
          <w:top w:w="0" w:type="dxa"/>
          <w:left w:w="0" w:type="dxa"/>
          <w:bottom w:w="0" w:type="dxa"/>
          <w:right w:w="0" w:type="dxa"/>
        </w:tblCellMar>
      </w:tblPr>
      <w:tblGrid>
        <w:gridCol w:w="218"/>
        <w:gridCol w:w="1842"/>
        <w:gridCol w:w="8145"/>
      </w:tblGrid>
      <w:tr>
        <w:trPr/>
        <w:tc>
          <w:tcPr>
            <w:tcW w:w="21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pStyle w:val="TextBody"/>
        <w:bidi w:val="0"/>
        <w:spacing w:before="0" w:after="0"/>
        <w:ind w:left="175"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explained before, corporate health insurance and medical services businesses are consolidated by Banmedica. The following table reflects the consolidated results from which Grupo Pacifico receives the 50% net income.</w:t>
      </w:r>
    </w:p>
    <w:p>
      <w:pPr>
        <w:pStyle w:val="TextBody"/>
        <w:bidi w:val="0"/>
        <w:spacing w:before="0" w:after="0"/>
        <w:ind w:left="854" w:right="0" w:hanging="683"/>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22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4" descr=""/>
                    <pic:cNvPicPr>
                      <a:picLocks noChangeAspect="1" noChangeArrowheads="1"/>
                    </pic:cNvPicPr>
                  </pic:nvPicPr>
                  <pic:blipFill>
                    <a:blip r:embed="rId200"/>
                    <a:stretch>
                      <a:fillRect/>
                    </a:stretch>
                  </pic:blipFill>
                  <pic:spPr bwMode="auto">
                    <a:xfrm>
                      <a:off x="0" y="0"/>
                      <a:ext cx="7620000" cy="638175"/>
                    </a:xfrm>
                    <a:prstGeom prst="rect">
                      <a:avLst/>
                    </a:prstGeom>
                  </pic:spPr>
                </pic:pic>
              </a:graphicData>
            </a:graphic>
          </wp:inline>
        </w:drawing>
      </w:r>
    </w:p>
    <w:p>
      <w:pPr>
        <w:pStyle w:val="TextBody"/>
        <w:bidi w:val="0"/>
        <w:spacing w:before="0" w:after="0"/>
        <w:ind w:left="854" w:right="0" w:hanging="683"/>
        <w:jc w:val="left"/>
        <w:rPr>
          <w:caps w:val="false"/>
          <w:smallCaps w:val="false"/>
        </w:rPr>
      </w:pPr>
      <w:r>
        <w:rPr>
          <w:caps w:val="false"/>
          <w:smallCaps w:val="false"/>
        </w:rPr>
        <w:t> </w:t>
      </w:r>
    </w:p>
    <w:p>
      <w:pPr>
        <w:pStyle w:val="TextBody"/>
        <w:bidi w:val="0"/>
        <w:spacing w:before="200" w:after="200"/>
        <w:ind w:left="854" w:right="0" w:hanging="683"/>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854" w:right="0" w:hanging="683"/>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2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85" descr=""/>
                          <pic:cNvPicPr>
                            <a:picLocks noChangeAspect="1" noChangeArrowheads="1"/>
                          </pic:cNvPicPr>
                        </pic:nvPicPr>
                        <pic:blipFill>
                          <a:blip r:embed="rId201"/>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color w:val="FFFFFF"/>
        </w:rPr>
      </w:pPr>
      <w:r>
        <w:rPr>
          <w:caps w:val="false"/>
          <w:smallCaps w:val="false"/>
          <w:color w:val="FFFFFF"/>
        </w:rPr>
        <w:t> </w:t>
      </w:r>
    </w:p>
    <w:p>
      <w:pPr>
        <w:pStyle w:val="TextBody"/>
        <w:bidi w:val="0"/>
        <w:spacing w:lineRule="auto" w:line="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12.7.9. Investment Management &amp; Advisory *</w:t>
      </w:r>
    </w:p>
    <w:p>
      <w:pPr>
        <w:pStyle w:val="TextBody"/>
        <w:bidi w:val="0"/>
        <w:ind w:left="0" w:right="0" w:hanging="0"/>
        <w:jc w:val="both"/>
        <w:rPr>
          <w:caps w:val="false"/>
          <w:smallCaps w:val="false"/>
        </w:rPr>
      </w:pPr>
      <w:r>
        <w:rPr>
          <w:caps w:val="false"/>
          <w:smallCaps w:val="false"/>
        </w:rPr>
        <w:t> </w:t>
      </w:r>
    </w:p>
    <w:tbl>
      <w:tblPr>
        <w:tblW w:w="9075" w:type="dxa"/>
        <w:jc w:val="left"/>
        <w:tblInd w:w="-10" w:type="dxa"/>
        <w:tblLayout w:type="fixed"/>
        <w:tblCellMar>
          <w:top w:w="28" w:type="dxa"/>
          <w:left w:w="60" w:type="dxa"/>
          <w:bottom w:w="0" w:type="dxa"/>
          <w:right w:w="60" w:type="dxa"/>
        </w:tblCellMar>
      </w:tblPr>
      <w:tblGrid>
        <w:gridCol w:w="2960"/>
        <w:gridCol w:w="725"/>
        <w:gridCol w:w="725"/>
        <w:gridCol w:w="725"/>
        <w:gridCol w:w="710"/>
        <w:gridCol w:w="620"/>
        <w:gridCol w:w="725"/>
        <w:gridCol w:w="725"/>
        <w:gridCol w:w="1160"/>
      </w:tblGrid>
      <w:tr>
        <w:trPr/>
        <w:tc>
          <w:tcPr>
            <w:tcW w:w="2960" w:type="dxa"/>
            <w:tcBorders>
              <w:top w:val="single" w:sz="8" w:space="0" w:color="000000"/>
              <w:left w:val="single" w:sz="8" w:space="0" w:color="000000"/>
              <w:right w:val="single" w:sz="8" w:space="0" w:color="000000"/>
            </w:tcBorders>
            <w:shd w:fill="29D2C7" w:val="clear"/>
            <w:vAlign w:val="center"/>
          </w:tcPr>
          <w:p>
            <w:pPr>
              <w:pStyle w:val="TableContents"/>
              <w:bidi w:val="0"/>
              <w:spacing w:before="0" w:after="283"/>
              <w:jc w:val="left"/>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Investment Management &amp; Advisory *</w:t>
            </w:r>
          </w:p>
        </w:tc>
        <w:tc>
          <w:tcPr>
            <w:tcW w:w="725" w:type="dxa"/>
            <w:tcBorders>
              <w:top w:val="single" w:sz="8" w:space="0" w:color="000000"/>
            </w:tcBorders>
            <w:shd w:fill="29D2C7" w:val="clear"/>
            <w:tcMar>
              <w:left w:w="0" w:type="dxa"/>
              <w:right w:w="0" w:type="dxa"/>
            </w:tcMar>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725" w:type="dxa"/>
            <w:tcBorders>
              <w:top w:val="single" w:sz="8" w:space="0" w:color="000000"/>
            </w:tcBorders>
            <w:shd w:fill="29D2C7" w:val="clear"/>
            <w:tcMar>
              <w:left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Quarter</w:t>
            </w:r>
          </w:p>
        </w:tc>
        <w:tc>
          <w:tcPr>
            <w:tcW w:w="725" w:type="dxa"/>
            <w:tcBorders>
              <w:top w:val="single" w:sz="8" w:space="0" w:color="000000"/>
              <w:right w:val="single" w:sz="8" w:space="0" w:color="000000"/>
            </w:tcBorders>
            <w:shd w:fill="29D2C7" w:val="clear"/>
            <w:tcMar>
              <w:left w:w="0" w:type="dxa"/>
            </w:tcMar>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1330" w:type="dxa"/>
            <w:gridSpan w:val="2"/>
            <w:tcBorders>
              <w:top w:val="single" w:sz="8" w:space="0" w:color="000000"/>
              <w:right w:val="single" w:sz="8" w:space="0" w:color="000000"/>
            </w:tcBorders>
            <w:shd w:fill="29D2C7" w:val="clear"/>
            <w:tcMar>
              <w:lef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tc>
        <w:tc>
          <w:tcPr>
            <w:tcW w:w="1450" w:type="dxa"/>
            <w:gridSpan w:val="2"/>
            <w:tcBorders>
              <w:top w:val="single" w:sz="8" w:space="0" w:color="000000"/>
              <w:right w:val="single" w:sz="8" w:space="0" w:color="000000"/>
            </w:tcBorders>
            <w:shd w:fill="29D2C7" w:val="clear"/>
            <w:tcMar>
              <w:lef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Up to</w:t>
            </w:r>
          </w:p>
        </w:tc>
        <w:tc>
          <w:tcPr>
            <w:tcW w:w="1160" w:type="dxa"/>
            <w:tcBorders>
              <w:top w:val="single" w:sz="8" w:space="0" w:color="000000"/>
              <w:right w:val="single" w:sz="8" w:space="0" w:color="000000"/>
            </w:tcBorders>
            <w:shd w:fill="29D2C7" w:val="clear"/>
            <w:tcMar>
              <w:lef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 Change</w:t>
            </w:r>
          </w:p>
        </w:tc>
      </w:tr>
      <w:tr>
        <w:trPr/>
        <w:tc>
          <w:tcPr>
            <w:tcW w:w="2960" w:type="dxa"/>
            <w:tcBorders>
              <w:left w:val="single" w:sz="8" w:space="0" w:color="000000"/>
              <w:bottom w:val="single" w:sz="8" w:space="0" w:color="000000"/>
              <w:right w:val="single" w:sz="8" w:space="0" w:color="000000"/>
            </w:tcBorders>
            <w:shd w:fill="29D2C7" w:val="clear"/>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S/ 000</w:t>
            </w:r>
          </w:p>
        </w:tc>
        <w:tc>
          <w:tcPr>
            <w:tcW w:w="725"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2Q25</w:t>
            </w:r>
          </w:p>
        </w:tc>
        <w:tc>
          <w:tcPr>
            <w:tcW w:w="725"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1Q26</w:t>
            </w:r>
          </w:p>
        </w:tc>
        <w:tc>
          <w:tcPr>
            <w:tcW w:w="725" w:type="dxa"/>
            <w:tcBorders>
              <w:bottom w:val="single" w:sz="8" w:space="0" w:color="000000"/>
              <w:right w:val="single" w:sz="8" w:space="0" w:color="000000"/>
            </w:tcBorders>
            <w:shd w:fill="29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2Q26</w:t>
            </w:r>
          </w:p>
        </w:tc>
        <w:tc>
          <w:tcPr>
            <w:tcW w:w="710"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QoQ</w:t>
            </w:r>
          </w:p>
        </w:tc>
        <w:tc>
          <w:tcPr>
            <w:tcW w:w="620" w:type="dxa"/>
            <w:tcBorders>
              <w:bottom w:val="single" w:sz="8" w:space="0" w:color="000000"/>
              <w:right w:val="single" w:sz="8" w:space="0" w:color="000000"/>
            </w:tcBorders>
            <w:shd w:fill="29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YoY</w:t>
            </w:r>
          </w:p>
        </w:tc>
        <w:tc>
          <w:tcPr>
            <w:tcW w:w="725" w:type="dxa"/>
            <w:tcBorders>
              <w:bottom w:val="single" w:sz="8" w:space="0" w:color="000000"/>
            </w:tcBorders>
            <w:shd w:fill="29D2C7" w:val="clear"/>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25</w:t>
            </w:r>
          </w:p>
        </w:tc>
        <w:tc>
          <w:tcPr>
            <w:tcW w:w="725" w:type="dxa"/>
            <w:tcBorders>
              <w:bottom w:val="single" w:sz="8" w:space="0" w:color="000000"/>
              <w:right w:val="single" w:sz="8" w:space="0" w:color="000000"/>
            </w:tcBorders>
            <w:shd w:fill="29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w:t>
            </w:r>
          </w:p>
        </w:tc>
        <w:tc>
          <w:tcPr>
            <w:tcW w:w="1160" w:type="dxa"/>
            <w:tcBorders>
              <w:bottom w:val="single" w:sz="8" w:space="0" w:color="000000"/>
              <w:right w:val="single" w:sz="8" w:space="0" w:color="000000"/>
            </w:tcBorders>
            <w:shd w:fill="29D2C7" w:val="clear"/>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Jun 26 / Jun 25</w:t>
            </w:r>
          </w:p>
        </w:tc>
      </w:tr>
      <w:tr>
        <w:trPr/>
        <w:tc>
          <w:tcPr>
            <w:tcW w:w="296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interest income</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13,979</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4,207</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(9,299)</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-321.0%</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-166.5%</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24,420</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(5,092)</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-120.9%</w:t>
            </w:r>
          </w:p>
        </w:tc>
      </w:tr>
      <w:tr>
        <w:trPr/>
        <w:tc>
          <w:tcPr>
            <w:tcW w:w="296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232,110</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294,109</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337,289</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45.3%</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497,036</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631,398</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w:t>
            </w:r>
          </w:p>
        </w:tc>
      </w:tr>
      <w:tr>
        <w:trPr/>
        <w:tc>
          <w:tcPr>
            <w:tcW w:w="2960"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Fee income</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147,138</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174,595</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182,529</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297,410</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357,124</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w:t>
            </w:r>
          </w:p>
        </w:tc>
      </w:tr>
      <w:tr>
        <w:trPr/>
        <w:tc>
          <w:tcPr>
            <w:tcW w:w="2960"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gain on foreign exchange transactions</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21,497</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30,048</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30,527</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36,566</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60,575</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65.7%</w:t>
            </w:r>
          </w:p>
        </w:tc>
      </w:tr>
      <w:tr>
        <w:trPr/>
        <w:tc>
          <w:tcPr>
            <w:tcW w:w="2960"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gain on sales of securities</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64,298</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47,422</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188,188</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296.8%</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192.7%</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105,490</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235,610</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123.3%</w:t>
            </w:r>
          </w:p>
        </w:tc>
      </w:tr>
      <w:tr>
        <w:trPr/>
        <w:tc>
          <w:tcPr>
            <w:tcW w:w="2960"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Derivative Result</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(8,789)</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6,191</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(76,963)</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-1343.1%</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775.7%</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(4,925)</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(70,772)</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1337.0%</w:t>
            </w:r>
          </w:p>
        </w:tc>
      </w:tr>
      <w:tr>
        <w:trPr/>
        <w:tc>
          <w:tcPr>
            <w:tcW w:w="2960"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Result from exposure to the exchange rate</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4,870</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(286)</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9,234</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-3328.7%</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89.6%</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17,469</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8,948</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-48.8%</w:t>
            </w:r>
          </w:p>
        </w:tc>
      </w:tr>
      <w:tr>
        <w:trPr/>
        <w:tc>
          <w:tcPr>
            <w:tcW w:w="2960"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3,096</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36,139</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3,774</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-89.6%</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45,026</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39,913</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w:t>
            </w:r>
          </w:p>
        </w:tc>
      </w:tr>
      <w:tr>
        <w:trPr/>
        <w:tc>
          <w:tcPr>
            <w:tcW w:w="296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lineRule="auto" w:line="240"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expenses (1)</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(183,696)</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(243,650)</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(223,539)</w:t>
            </w:r>
          </w:p>
        </w:tc>
        <w:tc>
          <w:tcPr>
            <w:tcW w:w="71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w:t>
            </w:r>
          </w:p>
        </w:tc>
        <w:tc>
          <w:tcPr>
            <w:tcW w:w="6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(385,770)</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(467,189)</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w:t>
            </w:r>
          </w:p>
        </w:tc>
      </w:tr>
      <w:tr>
        <w:trPr/>
        <w:tc>
          <w:tcPr>
            <w:tcW w:w="296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income</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62,393</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54,666</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104,451</w:t>
            </w:r>
          </w:p>
        </w:tc>
        <w:tc>
          <w:tcPr>
            <w:tcW w:w="71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91.1%</w:t>
            </w:r>
          </w:p>
        </w:tc>
        <w:tc>
          <w:tcPr>
            <w:tcW w:w="6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67.4%</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135,686</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159,117</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17.3%</w:t>
            </w:r>
          </w:p>
        </w:tc>
      </w:tr>
      <w:tr>
        <w:trPr/>
        <w:tc>
          <w:tcPr>
            <w:tcW w:w="296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taxes</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(11,686)</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(11,751)</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(28,689)</w:t>
            </w:r>
          </w:p>
        </w:tc>
        <w:tc>
          <w:tcPr>
            <w:tcW w:w="710"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144.1%</w:t>
            </w:r>
          </w:p>
        </w:tc>
        <w:tc>
          <w:tcPr>
            <w:tcW w:w="62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145.5%</w:t>
            </w:r>
          </w:p>
        </w:tc>
        <w:tc>
          <w:tcPr>
            <w:tcW w:w="72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(22,784)</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(40,440)</w:t>
            </w:r>
          </w:p>
        </w:tc>
        <w:tc>
          <w:tcPr>
            <w:tcW w:w="116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77.5%</w:t>
            </w:r>
          </w:p>
        </w:tc>
      </w:tr>
      <w:tr>
        <w:trPr/>
        <w:tc>
          <w:tcPr>
            <w:tcW w:w="296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Non-controlling interest</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71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w:t>
            </w:r>
          </w:p>
        </w:tc>
        <w:tc>
          <w:tcPr>
            <w:tcW w:w="6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w:t>
            </w:r>
          </w:p>
        </w:tc>
      </w:tr>
      <w:tr>
        <w:trPr/>
        <w:tc>
          <w:tcPr>
            <w:tcW w:w="296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50,540</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42,776</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75,629</w:t>
            </w:r>
          </w:p>
        </w:tc>
        <w:tc>
          <w:tcPr>
            <w:tcW w:w="71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76.8%</w:t>
            </w:r>
          </w:p>
        </w:tc>
        <w:tc>
          <w:tcPr>
            <w:tcW w:w="6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49.6%</w:t>
            </w:r>
          </w:p>
        </w:tc>
        <w:tc>
          <w:tcPr>
            <w:tcW w:w="72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112,583</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118,405</w:t>
            </w:r>
          </w:p>
        </w:tc>
        <w:tc>
          <w:tcPr>
            <w:tcW w:w="116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w:t>
            </w:r>
          </w:p>
        </w:tc>
      </w:tr>
    </w:tbl>
    <w:p>
      <w:pPr>
        <w:pStyle w:val="TextBody"/>
        <w:bidi w:val="0"/>
        <w:ind w:left="0" w:right="0" w:hanging="0"/>
        <w:jc w:val="both"/>
        <w:rPr>
          <w:caps w:val="false"/>
          <w:smallCaps w:val="false"/>
        </w:rPr>
      </w:pPr>
      <w:r>
        <w:rPr>
          <w:caps w:val="false"/>
          <w:smallCaps w:val="false"/>
        </w:rPr>
        <w:t> </w:t>
      </w:r>
    </w:p>
    <w:p>
      <w:pPr>
        <w:pStyle w:val="TextBody"/>
        <w:bidi w:val="0"/>
        <w:spacing w:before="0" w:after="0"/>
        <w:ind w:left="504"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Includes ASB and Credicorp Capital. Does not include Wealth Management at BCP. </w:t>
      </w:r>
    </w:p>
    <w:p>
      <w:pPr>
        <w:pStyle w:val="TextBody"/>
        <w:bidi w:val="0"/>
        <w:ind w:left="504"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Includes: Salaries and employee benefits + Administrative expenses + Assigned expenses + Depreciation and amortization + Tax and contributions + Other expenses.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22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86" descr=""/>
                    <pic:cNvPicPr>
                      <a:picLocks noChangeAspect="1" noChangeArrowheads="1"/>
                    </pic:cNvPicPr>
                  </pic:nvPicPr>
                  <pic:blipFill>
                    <a:blip r:embed="rId202"/>
                    <a:stretch>
                      <a:fillRect/>
                    </a:stretch>
                  </pic:blipFill>
                  <pic:spPr bwMode="auto">
                    <a:xfrm>
                      <a:off x="0" y="0"/>
                      <a:ext cx="7620000" cy="647700"/>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2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87" descr=""/>
                          <pic:cNvPicPr>
                            <a:picLocks noChangeAspect="1" noChangeArrowheads="1"/>
                          </pic:cNvPicPr>
                        </pic:nvPicPr>
                        <pic:blipFill>
                          <a:blip r:embed="rId203"/>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color w:val="FFFFFF"/>
        </w:rPr>
      </w:pPr>
      <w:r>
        <w:rPr>
          <w:caps w:val="false"/>
          <w:smallCaps w:val="false"/>
          <w:color w:val="FFFFFF"/>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 Table of calculations </w:t>
      </w:r>
    </w:p>
    <w:p>
      <w:pPr>
        <w:pStyle w:val="TextBody"/>
        <w:bidi w:val="0"/>
        <w:spacing w:before="0" w:after="0"/>
        <w:jc w:val="left"/>
        <w:rPr>
          <w:caps w:val="false"/>
          <w:smallCaps w:val="false"/>
        </w:rPr>
      </w:pPr>
      <w:r>
        <w:rPr>
          <w:caps w:val="false"/>
          <w:smallCaps w:val="false"/>
        </w:rPr>
        <w:t> </w:t>
      </w:r>
    </w:p>
    <w:tbl>
      <w:tblPr>
        <w:tblW w:w="10205" w:type="dxa"/>
        <w:jc w:val="center"/>
        <w:tblInd w:w="0" w:type="dxa"/>
        <w:tblLayout w:type="fixed"/>
        <w:tblCellMar>
          <w:top w:w="40" w:type="dxa"/>
          <w:left w:w="28" w:type="dxa"/>
          <w:bottom w:w="40" w:type="dxa"/>
          <w:right w:w="28" w:type="dxa"/>
        </w:tblCellMar>
      </w:tblPr>
      <w:tblGrid>
        <w:gridCol w:w="240"/>
        <w:gridCol w:w="3571"/>
        <w:gridCol w:w="6394"/>
      </w:tblGrid>
      <w:tr>
        <w:trPr/>
        <w:tc>
          <w:tcPr>
            <w:tcW w:w="10205" w:type="dxa"/>
            <w:gridSpan w:val="3"/>
            <w:tcBorders>
              <w:top w:val="single" w:sz="8" w:space="0" w:color="000000"/>
              <w:left w:val="single" w:sz="8" w:space="0" w:color="000000"/>
              <w:bottom w:val="single" w:sz="8" w:space="0" w:color="000000"/>
              <w:right w:val="single" w:sz="8" w:space="0" w:color="000000"/>
            </w:tcBorders>
            <w:shd w:fill="29D2C7" w:val="clear"/>
            <w:vAlign w:val="center"/>
          </w:tcPr>
          <w:p>
            <w:pPr>
              <w:pStyle w:val="TableContents"/>
              <w:bidi w:val="0"/>
              <w:spacing w:lineRule="auto" w:line="240" w:before="0" w:after="283"/>
              <w:jc w:val="center"/>
              <w:rPr>
                <w:color w:val="FFFFFF"/>
                <w:sz w:val="16"/>
              </w:rPr>
            </w:pPr>
            <w:r>
              <w:rPr>
                <w:b/>
                <w:color w:val="FFFFFF"/>
                <w:sz w:val="16"/>
              </w:rPr>
              <w:t xml:space="preserve">Table of calculations </w:t>
            </w:r>
            <w:r>
              <w:rPr>
                <w:color w:val="FFFFFF"/>
                <w:sz w:val="16"/>
              </w:rPr>
              <w:t>(1)</w:t>
            </w:r>
          </w:p>
        </w:tc>
      </w:tr>
      <w:tr>
        <w:trPr/>
        <w:tc>
          <w:tcPr>
            <w:tcW w:w="240" w:type="dxa"/>
            <w:vMerge w:val="restart"/>
            <w:tcBorders>
              <w:left w:val="single" w:sz="8" w:space="0" w:color="000000"/>
            </w:tcBorders>
            <w:shd w:fill="FFFFFF" w:val="clear"/>
            <w:tcMar>
              <w:top w:w="0" w:type="dxa"/>
              <w:bottom w:w="0" w:type="dxa"/>
              <w:right w:w="0" w:type="dxa"/>
            </w:tcMar>
            <w:vAlign w:val="center"/>
          </w:tcPr>
          <w:p>
            <w:pPr>
              <w:pStyle w:val="TableContents"/>
              <w:bidi w:val="0"/>
              <w:spacing w:before="0" w:after="283"/>
              <w:jc w:val="center"/>
              <w:rPr/>
            </w:pPr>
            <w:r>
              <w:rPr/>
              <w:drawing>
                <wp:inline distT="0" distB="0" distL="0" distR="0">
                  <wp:extent cx="114300" cy="542925"/>
                  <wp:effectExtent l="0" t="0" r="0" b="0"/>
                  <wp:docPr id="22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8" descr=""/>
                          <pic:cNvPicPr>
                            <a:picLocks noChangeAspect="1" noChangeArrowheads="1"/>
                          </pic:cNvPicPr>
                        </pic:nvPicPr>
                        <pic:blipFill>
                          <a:blip r:embed="rId204"/>
                          <a:stretch>
                            <a:fillRect/>
                          </a:stretch>
                        </pic:blipFill>
                        <pic:spPr bwMode="auto">
                          <a:xfrm>
                            <a:off x="0" y="0"/>
                            <a:ext cx="114300" cy="542925"/>
                          </a:xfrm>
                          <a:prstGeom prst="rect">
                            <a:avLst/>
                          </a:prstGeom>
                        </pic:spPr>
                      </pic:pic>
                    </a:graphicData>
                  </a:graphic>
                </wp:inline>
              </w:drawing>
            </w:r>
            <w:r>
              <w:rPr>
                <w:color w:val="000000"/>
              </w:rPr>
              <w:t> </w:t>
            </w:r>
          </w:p>
        </w:tc>
        <w:tc>
          <w:tcPr>
            <w:tcW w:w="3571" w:type="dxa"/>
            <w:tcBorders>
              <w:left w:val="single" w:sz="8" w:space="0" w:color="000000"/>
            </w:tcBorders>
            <w:shd w:fill="FFFFFF" w:val="clear"/>
            <w:tcMar>
              <w:top w:w="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Interest earning assets</w:t>
            </w:r>
          </w:p>
        </w:tc>
        <w:tc>
          <w:tcPr>
            <w:tcW w:w="6394"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center"/>
              <w:rPr/>
            </w:pPr>
            <w:r>
              <w:rPr>
                <w:color w:val="000000"/>
                <w:sz w:val="16"/>
              </w:rPr>
              <w:t xml:space="preserve">Cash and due from banks + Total investments </w:t>
            </w:r>
            <w:r>
              <w:rPr>
                <w:sz w:val="16"/>
              </w:rPr>
              <w:br/>
            </w:r>
            <w:r>
              <w:rPr>
                <w:color w:val="000000"/>
                <w:sz w:val="16"/>
              </w:rPr>
              <w:t>+ Cash collateral, reverse repurchase agreements and securities borrowing + Loans</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Funding</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rPr>
              <w:t xml:space="preserve">Deposits and obligations + Due to banks and correspondents + BCRP instruments </w:t>
            </w:r>
            <w:r>
              <w:rPr>
                <w:sz w:val="16"/>
              </w:rPr>
              <w:br/>
            </w:r>
            <w:r>
              <w:rPr>
                <w:color w:val="000000"/>
                <w:sz w:val="16"/>
              </w:rPr>
              <w:t>+ Repurchase agreements with clients and third parties + Bonds and notes issued</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Net Interest Margin (NIM)</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Net Interest Income (excluding Net Insurance Financial Expenses)</w:t>
            </w:r>
            <w:r>
              <w:rPr>
                <w:sz w:val="16"/>
              </w:rPr>
              <w:br/>
            </w:r>
            <w:r>
              <w:rPr>
                <w:color w:val="000000"/>
                <w:sz w:val="16"/>
              </w:rPr>
              <w:t> Average Interest Earning Assets</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Risk-adjusted Net Interest Margin (Risk-adjusted NIM)</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Annualized Net Interest Income (excluding Net Insurance Financial Expenses) — Annualized Provisions</w:t>
            </w:r>
            <w:r>
              <w:rPr/>
              <w:t xml:space="preserve"> </w:t>
            </w:r>
            <w:r>
              <w:rPr>
                <w:sz w:val="16"/>
              </w:rPr>
              <w:br/>
            </w:r>
            <w:r>
              <w:rPr>
                <w:color w:val="000000"/>
                <w:sz w:val="16"/>
              </w:rPr>
              <w:t>Average period end and period beginning interest earning assets</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Funding cost</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Interest Expense (Does not Include Net Insurance Financial Expenses)</w:t>
            </w:r>
            <w:r>
              <w:rPr>
                <w:sz w:val="16"/>
              </w:rPr>
              <w:br/>
            </w:r>
            <w:r>
              <w:rPr>
                <w:color w:val="000000"/>
                <w:sz w:val="16"/>
              </w:rPr>
              <w:t> Average Funding</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Core income</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color w:val="000000"/>
                <w:sz w:val="16"/>
              </w:rPr>
            </w:pPr>
            <w:r>
              <w:rPr>
                <w:color w:val="000000"/>
                <w:sz w:val="16"/>
              </w:rPr>
              <w:t>Net Interest Income + Fee Income + Net Gain on Foreign exchange transactions</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Other core income</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color w:val="000000"/>
                <w:sz w:val="16"/>
              </w:rPr>
            </w:pPr>
            <w:r>
              <w:rPr>
                <w:color w:val="000000"/>
                <w:sz w:val="16"/>
              </w:rPr>
              <w:t>Fee Income + Net Gain on Foreign exchange transactions</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Other non-core income</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rPr>
              <w:t xml:space="preserve">Net Gain Securities + Net Gain from associates + Net Gain of derivatives held for trading </w:t>
            </w:r>
            <w:r>
              <w:rPr>
                <w:sz w:val="16"/>
              </w:rPr>
              <w:br/>
            </w:r>
            <w:r>
              <w:rPr>
                <w:color w:val="000000"/>
                <w:sz w:val="16"/>
              </w:rPr>
              <w:t>+ Net Gain from exchange differences + Other non operative income</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Return on average assets (ROA)</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Annualized Net Income attributable to Credicorp</w:t>
            </w:r>
            <w:r>
              <w:rPr/>
              <w:t xml:space="preserve"> </w:t>
            </w:r>
            <w:r>
              <w:rPr>
                <w:sz w:val="16"/>
              </w:rPr>
              <w:br/>
            </w:r>
            <w:r>
              <w:rPr>
                <w:color w:val="000000"/>
                <w:sz w:val="16"/>
              </w:rPr>
              <w:t>Average Assets</w:t>
            </w:r>
          </w:p>
        </w:tc>
      </w:tr>
      <w:tr>
        <w:trPr/>
        <w:tc>
          <w:tcPr>
            <w:tcW w:w="240" w:type="dxa"/>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Return on average equity (ROE)</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Annualized Net Income attributable to Credicorp</w:t>
            </w:r>
            <w:r>
              <w:rPr/>
              <w:t xml:space="preserve"> </w:t>
            </w:r>
            <w:r>
              <w:rPr>
                <w:sz w:val="16"/>
              </w:rPr>
              <w:br/>
            </w:r>
            <w:r>
              <w:rPr>
                <w:color w:val="000000"/>
                <w:sz w:val="16"/>
              </w:rPr>
              <w:t>Average Net Equity</w:t>
            </w:r>
          </w:p>
        </w:tc>
      </w:tr>
      <w:tr>
        <w:trPr/>
        <w:tc>
          <w:tcPr>
            <w:tcW w:w="240" w:type="dxa"/>
            <w:vMerge w:val="restart"/>
            <w:tcBorders>
              <w:top w:val="single" w:sz="8" w:space="0" w:color="000000"/>
              <w:left w:val="single" w:sz="8" w:space="0" w:color="000000"/>
            </w:tcBorders>
            <w:shd w:fill="FFFFFF" w:val="clear"/>
            <w:tcMar>
              <w:top w:w="100" w:type="dxa"/>
              <w:bottom w:w="0" w:type="dxa"/>
              <w:right w:w="0" w:type="dxa"/>
            </w:tcMar>
            <w:vAlign w:val="center"/>
          </w:tcPr>
          <w:p>
            <w:pPr>
              <w:pStyle w:val="TableContents"/>
              <w:bidi w:val="0"/>
              <w:spacing w:before="0" w:after="283"/>
              <w:jc w:val="center"/>
              <w:rPr/>
            </w:pPr>
            <w:r>
              <w:rPr>
                <w:color w:val="000000"/>
              </w:rPr>
              <w:t> </w:t>
            </w:r>
            <w:r>
              <w:rPr/>
              <w:drawing>
                <wp:inline distT="0" distB="0" distL="0" distR="0">
                  <wp:extent cx="114300" cy="742950"/>
                  <wp:effectExtent l="0" t="0" r="0" b="0"/>
                  <wp:docPr id="22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9" descr=""/>
                          <pic:cNvPicPr>
                            <a:picLocks noChangeAspect="1" noChangeArrowheads="1"/>
                          </pic:cNvPicPr>
                        </pic:nvPicPr>
                        <pic:blipFill>
                          <a:blip r:embed="rId205"/>
                          <a:stretch>
                            <a:fillRect/>
                          </a:stretch>
                        </pic:blipFill>
                        <pic:spPr bwMode="auto">
                          <a:xfrm>
                            <a:off x="0" y="0"/>
                            <a:ext cx="114300" cy="742950"/>
                          </a:xfrm>
                          <a:prstGeom prst="rect">
                            <a:avLst/>
                          </a:prstGeom>
                        </pic:spPr>
                      </pic:pic>
                    </a:graphicData>
                  </a:graphic>
                </wp:inline>
              </w:drawing>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Internal overdue ratio</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Internal overdue loans</w:t>
            </w:r>
            <w:r>
              <w:rPr>
                <w:sz w:val="16"/>
              </w:rPr>
              <w:br/>
            </w:r>
            <w:r>
              <w:rPr>
                <w:color w:val="000000"/>
                <w:sz w:val="16"/>
              </w:rPr>
              <w:t> Total Loans</w:t>
            </w:r>
          </w:p>
        </w:tc>
      </w:tr>
      <w:tr>
        <w:trPr/>
        <w:tc>
          <w:tcPr>
            <w:tcW w:w="240" w:type="dxa"/>
            <w:vMerge w:val="continue"/>
            <w:tcBorders>
              <w:top w:val="single" w:sz="8" w:space="0" w:color="000000"/>
              <w:left w:val="single" w:sz="8" w:space="0" w:color="000000"/>
            </w:tcBorders>
            <w:shd w:fill="FFFFFF" w:val="clear"/>
            <w:tcMar>
              <w:top w:w="10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Non - performing loans ratio (NPL ratio)</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(Internal overdue loans + Refinanced loans)</w:t>
            </w:r>
            <w:r>
              <w:rPr/>
              <w:t xml:space="preserve"> </w:t>
            </w:r>
            <w:r>
              <w:rPr>
                <w:sz w:val="16"/>
              </w:rPr>
              <w:br/>
            </w:r>
            <w:r>
              <w:rPr>
                <w:color w:val="000000"/>
                <w:sz w:val="16"/>
              </w:rPr>
              <w:t>Total Loans</w:t>
            </w:r>
          </w:p>
        </w:tc>
      </w:tr>
      <w:tr>
        <w:trPr/>
        <w:tc>
          <w:tcPr>
            <w:tcW w:w="240" w:type="dxa"/>
            <w:vMerge w:val="continue"/>
            <w:tcBorders>
              <w:top w:val="single" w:sz="8" w:space="0" w:color="000000"/>
              <w:left w:val="single" w:sz="8" w:space="0" w:color="000000"/>
            </w:tcBorders>
            <w:shd w:fill="FFFFFF" w:val="clear"/>
            <w:tcMar>
              <w:top w:w="10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Coverage ratio of internal overdue loans</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Allowance for loans losses</w:t>
            </w:r>
            <w:r>
              <w:rPr>
                <w:sz w:val="16"/>
              </w:rPr>
              <w:br/>
            </w:r>
            <w:r>
              <w:rPr>
                <w:color w:val="000000"/>
                <w:sz w:val="16"/>
              </w:rPr>
              <w:t>Internal overdue loans</w:t>
            </w:r>
          </w:p>
        </w:tc>
      </w:tr>
      <w:tr>
        <w:trPr/>
        <w:tc>
          <w:tcPr>
            <w:tcW w:w="240" w:type="dxa"/>
            <w:vMerge w:val="continue"/>
            <w:tcBorders>
              <w:top w:val="single" w:sz="8" w:space="0" w:color="000000"/>
              <w:left w:val="single" w:sz="8" w:space="0" w:color="000000"/>
            </w:tcBorders>
            <w:shd w:fill="FFFFFF" w:val="clear"/>
            <w:tcMar>
              <w:top w:w="10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Coverage ratio of non - performing loans</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Allowance for loans losses</w:t>
            </w:r>
            <w:r>
              <w:rPr/>
              <w:t xml:space="preserve"> </w:t>
            </w:r>
            <w:r>
              <w:rPr>
                <w:sz w:val="16"/>
              </w:rPr>
              <w:br/>
            </w:r>
            <w:r>
              <w:rPr>
                <w:color w:val="000000"/>
                <w:sz w:val="16"/>
              </w:rPr>
              <w:t>Non — performing loans</w:t>
            </w:r>
          </w:p>
        </w:tc>
      </w:tr>
      <w:tr>
        <w:trPr/>
        <w:tc>
          <w:tcPr>
            <w:tcW w:w="240" w:type="dxa"/>
            <w:vMerge w:val="continue"/>
            <w:tcBorders>
              <w:top w:val="single" w:sz="8" w:space="0" w:color="000000"/>
              <w:left w:val="single" w:sz="8" w:space="0" w:color="000000"/>
            </w:tcBorders>
            <w:shd w:fill="FFFFFF" w:val="clear"/>
            <w:tcMar>
              <w:top w:w="10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Cost of risk</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u w:val="single"/>
              </w:rPr>
              <w:t>Annualized provision for credit losses on loans portfolio, net of recoveries</w:t>
            </w:r>
            <w:r>
              <w:rPr>
                <w:sz w:val="16"/>
              </w:rPr>
              <w:br/>
            </w:r>
            <w:r>
              <w:rPr>
                <w:color w:val="000000"/>
                <w:sz w:val="16"/>
              </w:rPr>
              <w:t>Average Total Loans</w:t>
            </w:r>
          </w:p>
        </w:tc>
      </w:tr>
      <w:tr>
        <w:trPr/>
        <w:tc>
          <w:tcPr>
            <w:tcW w:w="240" w:type="dxa"/>
            <w:vMerge w:val="restart"/>
            <w:tcBorders>
              <w:top w:val="single" w:sz="8" w:space="0" w:color="000000"/>
              <w:left w:val="single" w:sz="8" w:space="0" w:color="000000"/>
            </w:tcBorders>
            <w:shd w:fill="FFFFFF" w:val="clear"/>
            <w:tcMar>
              <w:top w:w="100" w:type="dxa"/>
              <w:bottom w:w="0" w:type="dxa"/>
              <w:right w:w="0" w:type="dxa"/>
            </w:tcMar>
            <w:vAlign w:val="center"/>
          </w:tcPr>
          <w:p>
            <w:pPr>
              <w:pStyle w:val="TableContents"/>
              <w:bidi w:val="0"/>
              <w:spacing w:before="0" w:after="283"/>
              <w:jc w:val="center"/>
              <w:rPr/>
            </w:pPr>
            <w:r>
              <w:rPr/>
              <w:drawing>
                <wp:inline distT="0" distB="0" distL="0" distR="0">
                  <wp:extent cx="114300" cy="1085850"/>
                  <wp:effectExtent l="0" t="0" r="0" b="0"/>
                  <wp:docPr id="22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0" descr=""/>
                          <pic:cNvPicPr>
                            <a:picLocks noChangeAspect="1" noChangeArrowheads="1"/>
                          </pic:cNvPicPr>
                        </pic:nvPicPr>
                        <pic:blipFill>
                          <a:blip r:embed="rId206"/>
                          <a:stretch>
                            <a:fillRect/>
                          </a:stretch>
                        </pic:blipFill>
                        <pic:spPr bwMode="auto">
                          <a:xfrm>
                            <a:off x="0" y="0"/>
                            <a:ext cx="114300" cy="1085850"/>
                          </a:xfrm>
                          <a:prstGeom prst="rect">
                            <a:avLst/>
                          </a:prstGeom>
                        </pic:spPr>
                      </pic:pic>
                    </a:graphicData>
                  </a:graphic>
                </wp:inline>
              </w:drawing>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Operating expenses</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rPr>
              <w:t>Salaries and employees benefits + Administrtive expenses + Depreciation and amortization</w:t>
            </w:r>
            <w:r>
              <w:rPr>
                <w:sz w:val="16"/>
              </w:rPr>
              <w:br/>
            </w:r>
            <w:r>
              <w:rPr>
                <w:color w:val="000000"/>
                <w:sz w:val="16"/>
              </w:rPr>
              <w:t>+ Association in participation + Acquisition cost</w:t>
            </w:r>
          </w:p>
        </w:tc>
      </w:tr>
      <w:tr>
        <w:trPr/>
        <w:tc>
          <w:tcPr>
            <w:tcW w:w="240" w:type="dxa"/>
            <w:vMerge w:val="continue"/>
            <w:tcBorders>
              <w:top w:val="single" w:sz="8" w:space="0" w:color="000000"/>
              <w:left w:val="single" w:sz="8" w:space="0" w:color="000000"/>
            </w:tcBorders>
            <w:shd w:fill="FFFFFF" w:val="clear"/>
            <w:tcMar>
              <w:top w:w="10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Operating Income</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before="0" w:after="283"/>
              <w:jc w:val="center"/>
              <w:rPr/>
            </w:pPr>
            <w:r>
              <w:rPr>
                <w:color w:val="000000"/>
                <w:sz w:val="16"/>
              </w:rPr>
              <w:t xml:space="preserve">Net interest, similar income, and expenses + Fee income + Net gain on foreign exchange transactions </w:t>
            </w:r>
            <w:r>
              <w:rPr>
                <w:sz w:val="16"/>
              </w:rPr>
              <w:br/>
            </w:r>
            <w:r>
              <w:rPr>
                <w:color w:val="000000"/>
                <w:sz w:val="16"/>
              </w:rPr>
              <w:t>+ Net gain from associates + Net gain on derivatives held for trading + Net gain from echange differences</w:t>
            </w:r>
          </w:p>
        </w:tc>
      </w:tr>
      <w:tr>
        <w:trPr/>
        <w:tc>
          <w:tcPr>
            <w:tcW w:w="240" w:type="dxa"/>
            <w:vMerge w:val="continue"/>
            <w:tcBorders>
              <w:top w:val="single" w:sz="8" w:space="0" w:color="000000"/>
              <w:left w:val="single" w:sz="8" w:space="0" w:color="000000"/>
            </w:tcBorders>
            <w:shd w:fill="FFFFFF" w:val="clear"/>
            <w:tcMar>
              <w:top w:w="100" w:type="dxa"/>
              <w:bottom w:w="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Efficiency ratio</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jc w:val="center"/>
              <w:rPr>
                <w:sz w:val="14"/>
              </w:rPr>
            </w:pPr>
            <w:r>
              <w:rPr>
                <w:color w:val="000000"/>
                <w:sz w:val="16"/>
              </w:rPr>
              <w:t xml:space="preserve">Salaries and employee benefits + Administrative expenses + Depreciation and amortization </w:t>
            </w:r>
            <w:r>
              <w:rPr>
                <w:sz w:val="16"/>
              </w:rPr>
              <w:br/>
            </w:r>
            <w:r>
              <w:rPr>
                <w:color w:val="000000"/>
                <w:sz w:val="16"/>
              </w:rPr>
              <w:t>+ Association in participation</w:t>
            </w:r>
          </w:p>
          <w:p>
            <w:pPr>
              <w:pStyle w:val="TableContents"/>
              <w:bidi w:val="0"/>
              <w:spacing w:before="0" w:after="283"/>
              <w:jc w:val="center"/>
              <w:rPr/>
            </w:pPr>
            <w:r>
              <w:rPr/>
              <w:t xml:space="preserve">  </w:t>
            </w:r>
            <w:r>
              <w:rPr>
                <w:b w:val="false"/>
                <w:i w:val="false"/>
                <w:caps w:val="false"/>
                <w:smallCaps w:val="false"/>
                <w:color w:val="000000"/>
                <w:sz w:val="16"/>
              </w:rPr>
              <w:t xml:space="preserve">Net interest, similar income and expenses + Fee Income + Net gain on foreign </w:t>
            </w:r>
            <w:r>
              <w:rPr>
                <w:sz w:val="16"/>
              </w:rPr>
              <w:br/>
            </w:r>
            <w:r>
              <w:rPr>
                <w:b w:val="false"/>
                <w:i w:val="false"/>
                <w:caps w:val="false"/>
                <w:smallCaps w:val="false"/>
                <w:color w:val="000000"/>
                <w:sz w:val="16"/>
              </w:rPr>
              <w:t xml:space="preserve">exchange transactions + Net gain from associates+Net gain on derivatives held for trading </w:t>
            </w:r>
            <w:r>
              <w:rPr>
                <w:sz w:val="16"/>
              </w:rPr>
              <w:br/>
            </w:r>
            <w:r>
              <w:rPr>
                <w:b w:val="false"/>
                <w:i w:val="false"/>
                <w:caps w:val="false"/>
                <w:smallCaps w:val="false"/>
                <w:color w:val="000000"/>
                <w:sz w:val="16"/>
              </w:rPr>
              <w:t>+ Result on exchange differences+Insurance Underwriting Result</w:t>
            </w:r>
          </w:p>
        </w:tc>
      </w:tr>
      <w:tr>
        <w:trPr/>
        <w:tc>
          <w:tcPr>
            <w:tcW w:w="240" w:type="dxa"/>
            <w:vMerge w:val="restart"/>
            <w:tcBorders>
              <w:top w:val="single" w:sz="8" w:space="0" w:color="000000"/>
              <w:left w:val="single" w:sz="8" w:space="0" w:color="000000"/>
              <w:bottom w:val="single" w:sz="8" w:space="0" w:color="000000"/>
            </w:tcBorders>
            <w:shd w:fill="FFFFFF" w:val="clear"/>
            <w:tcMar>
              <w:top w:w="100" w:type="dxa"/>
              <w:bottom w:w="100" w:type="dxa"/>
              <w:right w:w="0" w:type="dxa"/>
            </w:tcMar>
            <w:vAlign w:val="center"/>
          </w:tcPr>
          <w:p>
            <w:pPr>
              <w:pStyle w:val="TableContents"/>
              <w:bidi w:val="0"/>
              <w:spacing w:before="0" w:after="283"/>
              <w:jc w:val="center"/>
              <w:rPr/>
            </w:pPr>
            <w:r>
              <w:rPr/>
              <w:drawing>
                <wp:inline distT="0" distB="0" distL="0" distR="0">
                  <wp:extent cx="114300" cy="790575"/>
                  <wp:effectExtent l="0" t="0" r="0" b="0"/>
                  <wp:docPr id="22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1" descr=""/>
                          <pic:cNvPicPr>
                            <a:picLocks noChangeAspect="1" noChangeArrowheads="1"/>
                          </pic:cNvPicPr>
                        </pic:nvPicPr>
                        <pic:blipFill>
                          <a:blip r:embed="rId207"/>
                          <a:stretch>
                            <a:fillRect/>
                          </a:stretch>
                        </pic:blipFill>
                        <pic:spPr bwMode="auto">
                          <a:xfrm>
                            <a:off x="0" y="0"/>
                            <a:ext cx="114300" cy="790575"/>
                          </a:xfrm>
                          <a:prstGeom prst="rect">
                            <a:avLst/>
                          </a:prstGeom>
                        </pic:spPr>
                      </pic:pic>
                    </a:graphicData>
                  </a:graphic>
                </wp:inline>
              </w:drawing>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Liquidity Coverage ratio</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lineRule="auto" w:line="240" w:before="0" w:after="283"/>
              <w:jc w:val="center"/>
              <w:rPr>
                <w:sz w:val="14"/>
              </w:rPr>
            </w:pPr>
            <w:r>
              <w:rPr>
                <w:color w:val="000000"/>
                <w:sz w:val="16"/>
                <w:u w:val="single"/>
              </w:rPr>
              <w:t>Total High Quality Liquid Assets + Min (Total Inflow 30 days; 75% * Total Outflow 30 days)</w:t>
            </w:r>
            <w:r>
              <w:rPr>
                <w:sz w:val="16"/>
              </w:rPr>
              <w:br/>
            </w:r>
            <w:r>
              <w:rPr>
                <w:color w:val="000000"/>
                <w:sz w:val="16"/>
              </w:rPr>
              <w:t>Total Outflow 30 days</w:t>
            </w:r>
          </w:p>
        </w:tc>
      </w:tr>
      <w:tr>
        <w:trPr/>
        <w:tc>
          <w:tcPr>
            <w:tcW w:w="240" w:type="dxa"/>
            <w:vMerge w:val="continue"/>
            <w:tcBorders>
              <w:top w:val="single" w:sz="8" w:space="0" w:color="000000"/>
              <w:left w:val="single" w:sz="8" w:space="0" w:color="000000"/>
              <w:bottom w:val="single" w:sz="8" w:space="0" w:color="000000"/>
            </w:tcBorders>
            <w:shd w:fill="FFFFFF" w:val="clear"/>
            <w:tcMar>
              <w:top w:w="100" w:type="dxa"/>
              <w:bottom w:w="10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Regulatory Capital ratio</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jc w:val="center"/>
              <w:rPr>
                <w:sz w:val="16"/>
              </w:rPr>
            </w:pPr>
            <w:r>
              <w:rPr>
                <w:sz w:val="16"/>
              </w:rPr>
              <w:t>Regulatory Capital  </w:t>
            </w:r>
          </w:p>
          <w:p>
            <w:pPr>
              <w:pStyle w:val="TableContents"/>
              <w:bidi w:val="0"/>
              <w:spacing w:before="0" w:after="283"/>
              <w:jc w:val="center"/>
              <w:rPr>
                <w:color w:val="000000"/>
                <w:sz w:val="16"/>
              </w:rPr>
            </w:pPr>
            <w:r>
              <w:rPr>
                <w:color w:val="000000"/>
                <w:sz w:val="16"/>
              </w:rPr>
              <w:t>Risk — weighted assets</w:t>
            </w:r>
          </w:p>
        </w:tc>
      </w:tr>
      <w:tr>
        <w:trPr/>
        <w:tc>
          <w:tcPr>
            <w:tcW w:w="240" w:type="dxa"/>
            <w:vMerge w:val="continue"/>
            <w:tcBorders>
              <w:top w:val="single" w:sz="8" w:space="0" w:color="000000"/>
              <w:left w:val="single" w:sz="8" w:space="0" w:color="000000"/>
              <w:bottom w:val="single" w:sz="8" w:space="0" w:color="000000"/>
            </w:tcBorders>
            <w:shd w:fill="FFFFFF" w:val="clear"/>
            <w:tcMar>
              <w:top w:w="100" w:type="dxa"/>
              <w:bottom w:w="100" w:type="dxa"/>
              <w:right w:w="0" w:type="dxa"/>
            </w:tcMar>
            <w:vAlign w:val="center"/>
          </w:tcPr>
          <w:p>
            <w:pPr>
              <w:pStyle w:val="Normal"/>
              <w:bidi w:val="0"/>
              <w:jc w:val="left"/>
              <w:rPr/>
            </w:pPr>
            <w:r>
              <w:rPr/>
            </w:r>
          </w:p>
        </w:tc>
        <w:tc>
          <w:tcPr>
            <w:tcW w:w="3571" w:type="dxa"/>
            <w:tcBorders>
              <w:top w:val="single" w:sz="8" w:space="0" w:color="000000"/>
              <w:left w:val="single" w:sz="8" w:space="0" w:color="000000"/>
            </w:tcBorders>
            <w:shd w:fill="FFFFFF" w:val="clear"/>
            <w:tcMar>
              <w:top w:w="100" w:type="dxa"/>
              <w:left w:w="40" w:type="dxa"/>
              <w:bottom w:w="0" w:type="dxa"/>
              <w:right w:w="0" w:type="dxa"/>
            </w:tcMar>
            <w:vAlign w:val="center"/>
          </w:tcPr>
          <w:p>
            <w:pPr>
              <w:pStyle w:val="TableContents"/>
              <w:bidi w:val="0"/>
              <w:spacing w:before="0" w:after="283"/>
              <w:jc w:val="left"/>
              <w:rPr>
                <w:b/>
                <w:color w:val="000000"/>
                <w:sz w:val="16"/>
              </w:rPr>
            </w:pPr>
            <w:r>
              <w:rPr>
                <w:b/>
                <w:color w:val="000000"/>
                <w:sz w:val="16"/>
              </w:rPr>
              <w:t>Tier 1 ratio</w:t>
            </w:r>
          </w:p>
        </w:tc>
        <w:tc>
          <w:tcPr>
            <w:tcW w:w="6394" w:type="dxa"/>
            <w:tcBorders>
              <w:top w:val="single" w:sz="8" w:space="0" w:color="000000"/>
              <w:left w:val="single" w:sz="8" w:space="0" w:color="000000"/>
              <w:right w:val="single" w:sz="8" w:space="0" w:color="000000"/>
            </w:tcBorders>
            <w:shd w:fill="FFFFFF" w:val="clear"/>
            <w:tcMar>
              <w:top w:w="100" w:type="dxa"/>
              <w:bottom w:w="0" w:type="dxa"/>
            </w:tcMar>
            <w:vAlign w:val="center"/>
          </w:tcPr>
          <w:p>
            <w:pPr>
              <w:pStyle w:val="TableContents"/>
              <w:bidi w:val="0"/>
              <w:spacing w:lineRule="auto" w:line="240"/>
              <w:jc w:val="center"/>
              <w:rPr>
                <w:color w:val="000000"/>
                <w:sz w:val="16"/>
              </w:rPr>
            </w:pPr>
            <w:r>
              <w:rPr>
                <w:color w:val="000000"/>
                <w:sz w:val="16"/>
              </w:rPr>
              <w:t>Tier 1(2) </w:t>
            </w:r>
          </w:p>
          <w:p>
            <w:pPr>
              <w:pStyle w:val="TableContents"/>
              <w:bidi w:val="0"/>
              <w:spacing w:before="0" w:after="283"/>
              <w:jc w:val="center"/>
              <w:rPr>
                <w:color w:val="000000"/>
                <w:sz w:val="16"/>
              </w:rPr>
            </w:pPr>
            <w:r>
              <w:rPr>
                <w:color w:val="000000"/>
                <w:sz w:val="16"/>
              </w:rPr>
              <w:t>Risk — weighted assets</w:t>
            </w:r>
          </w:p>
        </w:tc>
      </w:tr>
      <w:tr>
        <w:trPr/>
        <w:tc>
          <w:tcPr>
            <w:tcW w:w="240" w:type="dxa"/>
            <w:vMerge w:val="continue"/>
            <w:tcBorders>
              <w:top w:val="single" w:sz="8" w:space="0" w:color="000000"/>
              <w:left w:val="single" w:sz="8" w:space="0" w:color="000000"/>
              <w:bottom w:val="single" w:sz="8" w:space="0" w:color="000000"/>
            </w:tcBorders>
            <w:shd w:fill="FFFFFF" w:val="clear"/>
            <w:tcMar>
              <w:top w:w="100" w:type="dxa"/>
              <w:bottom w:w="100" w:type="dxa"/>
              <w:right w:w="0" w:type="dxa"/>
            </w:tcMar>
            <w:vAlign w:val="center"/>
          </w:tcPr>
          <w:p>
            <w:pPr>
              <w:pStyle w:val="Normal"/>
              <w:bidi w:val="0"/>
              <w:jc w:val="left"/>
              <w:rPr/>
            </w:pPr>
            <w:r>
              <w:rPr/>
            </w:r>
          </w:p>
        </w:tc>
        <w:tc>
          <w:tcPr>
            <w:tcW w:w="3571" w:type="dxa"/>
            <w:tcBorders>
              <w:top w:val="single" w:sz="8" w:space="0" w:color="000000"/>
              <w:left w:val="single" w:sz="8" w:space="0" w:color="000000"/>
              <w:bottom w:val="single" w:sz="8" w:space="0" w:color="000000"/>
            </w:tcBorders>
            <w:shd w:fill="FFFFFF" w:val="clear"/>
            <w:tcMar>
              <w:top w:w="100" w:type="dxa"/>
              <w:left w:w="40" w:type="dxa"/>
              <w:bottom w:w="100" w:type="dxa"/>
              <w:right w:w="0" w:type="dxa"/>
            </w:tcMar>
            <w:vAlign w:val="center"/>
          </w:tcPr>
          <w:p>
            <w:pPr>
              <w:pStyle w:val="TableContents"/>
              <w:bidi w:val="0"/>
              <w:spacing w:lineRule="auto" w:line="240" w:before="0" w:after="283"/>
              <w:jc w:val="left"/>
              <w:rPr>
                <w:b/>
                <w:color w:val="000000"/>
                <w:sz w:val="16"/>
              </w:rPr>
            </w:pPr>
            <w:r>
              <w:rPr>
                <w:b/>
                <w:color w:val="000000"/>
                <w:sz w:val="16"/>
              </w:rPr>
              <w:t>Common Equity Tier 1 ratio (3)</w:t>
            </w:r>
          </w:p>
        </w:tc>
        <w:tc>
          <w:tcPr>
            <w:tcW w:w="6394" w:type="dxa"/>
            <w:tcBorders>
              <w:top w:val="single" w:sz="8" w:space="0" w:color="000000"/>
              <w:left w:val="single" w:sz="8" w:space="0" w:color="000000"/>
              <w:bottom w:val="single" w:sz="8" w:space="0" w:color="000000"/>
              <w:right w:val="single" w:sz="8" w:space="0" w:color="000000"/>
            </w:tcBorders>
            <w:shd w:fill="FFFFFF" w:val="clear"/>
            <w:tcMar>
              <w:top w:w="100" w:type="dxa"/>
              <w:bottom w:w="100" w:type="dxa"/>
            </w:tcMar>
            <w:vAlign w:val="center"/>
          </w:tcPr>
          <w:p>
            <w:pPr>
              <w:pStyle w:val="TableContents"/>
              <w:bidi w:val="0"/>
              <w:spacing w:lineRule="auto" w:line="240" w:before="0" w:after="283"/>
              <w:jc w:val="center"/>
              <w:rPr/>
            </w:pPr>
            <w:r>
              <w:rPr>
                <w:color w:val="000000"/>
                <w:sz w:val="16"/>
                <w:u w:val="single"/>
              </w:rPr>
              <w:t>Capital + Reserves — 100% of applicable deductions (4) + Retained Earnings + Unrealized gains or losses</w:t>
            </w:r>
            <w:r>
              <w:rPr>
                <w:sz w:val="16"/>
              </w:rPr>
              <w:br/>
            </w:r>
            <w:r>
              <w:rPr>
                <w:color w:val="000000"/>
                <w:sz w:val="16"/>
              </w:rPr>
              <w:t>Risk — weighted assets</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Averages are determined as the average of period-beginning and period-ending balances. </w:t>
      </w:r>
    </w:p>
    <w:p>
      <w:pPr>
        <w:pStyle w:val="TextBody"/>
        <w:bidi w:val="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Includes investment in subsidiaries, goodwill, intangibles, and deferred tax that rely on future profitability. </w:t>
      </w:r>
    </w:p>
    <w:p>
      <w:pPr>
        <w:pStyle w:val="TextBody"/>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Common Equity Tier 1 = Capital Stock + Reserves + Accumulated earnings – Unrealized profits or losses - 100% deductions (investment in subsidiaries, goodwill, intangible assets, and deferred tax assets based on future returns). </w:t>
      </w:r>
    </w:p>
    <w:p>
      <w:pPr>
        <w:pStyle w:val="TextBody"/>
        <w:bidi w:val="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Includes investment in subsidiaries, goodwill, intangible assets, and deferred taxes based on future returns.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38175"/>
            <wp:effectExtent l="0" t="0" r="0" b="0"/>
            <wp:docPr id="22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2" descr=""/>
                    <pic:cNvPicPr>
                      <a:picLocks noChangeAspect="1" noChangeArrowheads="1"/>
                    </pic:cNvPicPr>
                  </pic:nvPicPr>
                  <pic:blipFill>
                    <a:blip r:embed="rId208"/>
                    <a:stretch>
                      <a:fillRect/>
                    </a:stretch>
                  </pic:blipFill>
                  <pic:spPr bwMode="auto">
                    <a:xfrm>
                      <a:off x="0" y="0"/>
                      <a:ext cx="7620000" cy="638175"/>
                    </a:xfrm>
                    <a:prstGeom prst="rect">
                      <a:avLst/>
                    </a:prstGeom>
                  </pic:spPr>
                </pic:pic>
              </a:graphicData>
            </a:graphic>
          </wp:inline>
        </w:drawing>
      </w:r>
    </w:p>
    <w:p>
      <w:pPr>
        <w:pStyle w:val="HorizontalLine"/>
        <w:pBdr>
          <w:bottom w:val="single" w:sz="12" w:space="0" w:color="808080"/>
        </w:pBdr>
        <w:bidi w:val="0"/>
        <w:spacing w:before="200" w:after="200"/>
        <w:jc w:val="left"/>
        <w:rPr/>
      </w:pPr>
      <w:r>
        <w:rPr/>
      </w:r>
    </w:p>
    <w:tbl>
      <w:tblPr>
        <w:tblW w:w="6715" w:type="dxa"/>
        <w:jc w:val="left"/>
        <w:tblInd w:w="0" w:type="dxa"/>
        <w:tblLayout w:type="fixed"/>
        <w:tblCellMar>
          <w:top w:w="0" w:type="dxa"/>
          <w:left w:w="0" w:type="dxa"/>
          <w:bottom w:w="0" w:type="dxa"/>
          <w:right w:w="0" w:type="dxa"/>
        </w:tblCellMar>
      </w:tblPr>
      <w:tblGrid>
        <w:gridCol w:w="1995"/>
        <w:gridCol w:w="60"/>
        <w:gridCol w:w="1940"/>
        <w:gridCol w:w="2720"/>
      </w:tblGrid>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1995" w:type="dxa"/>
            <w:tcBorders/>
            <w:shd w:fill="000000" w:val="clear"/>
            <w:vAlign w:val="center"/>
          </w:tcPr>
          <w:p>
            <w:pPr>
              <w:pStyle w:val="TableContents"/>
              <w:bidi w:val="0"/>
              <w:spacing w:before="0" w:after="283"/>
              <w:jc w:val="left"/>
              <w:rPr/>
            </w:pPr>
            <w:r>
              <w:rPr/>
              <w:drawing>
                <wp:inline distT="0" distB="0" distL="0" distR="0">
                  <wp:extent cx="1257300" cy="209550"/>
                  <wp:effectExtent l="0" t="0" r="0" b="0"/>
                  <wp:docPr id="22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3" descr=""/>
                          <pic:cNvPicPr>
                            <a:picLocks noChangeAspect="1" noChangeArrowheads="1"/>
                          </pic:cNvPicPr>
                        </pic:nvPicPr>
                        <pic:blipFill>
                          <a:blip r:embed="rId209"/>
                          <a:stretch>
                            <a:fillRect/>
                          </a:stretch>
                        </pic:blipFill>
                        <pic:spPr bwMode="auto">
                          <a:xfrm>
                            <a:off x="0" y="0"/>
                            <a:ext cx="1257300" cy="209550"/>
                          </a:xfrm>
                          <a:prstGeom prst="rect">
                            <a:avLst/>
                          </a:prstGeom>
                        </pic:spPr>
                      </pic:pic>
                    </a:graphicData>
                  </a:graphic>
                </wp:inline>
              </w:drawing>
            </w:r>
          </w:p>
        </w:tc>
        <w:tc>
          <w:tcPr>
            <w:tcW w:w="60" w:type="dxa"/>
            <w:tcBorders/>
            <w:shd w:fill="000000" w:val="clear"/>
            <w:vAlign w:val="center"/>
          </w:tcPr>
          <w:p>
            <w:pPr>
              <w:pStyle w:val="TableContents"/>
              <w:bidi w:val="0"/>
              <w:spacing w:before="0" w:after="283"/>
              <w:jc w:val="center"/>
              <w:rPr>
                <w:rFonts w:ascii="Times New Roman;Times;Serif" w:hAnsi="Times New Roman;Times;Serif"/>
                <w:color w:val="A6A6A6"/>
                <w:sz w:val="16"/>
              </w:rPr>
            </w:pPr>
            <w:r>
              <w:rPr>
                <w:rFonts w:ascii="Times New Roman;Times;Serif" w:hAnsi="Times New Roman;Times;Serif"/>
                <w:color w:val="A6A6A6"/>
                <w:sz w:val="16"/>
              </w:rPr>
              <w:t>|</w:t>
            </w:r>
          </w:p>
        </w:tc>
        <w:tc>
          <w:tcPr>
            <w:tcW w:w="1940" w:type="dxa"/>
            <w:tcBorders/>
            <w:shd w:fill="000000" w:val="clear"/>
            <w:vAlign w:val="center"/>
          </w:tcPr>
          <w:p>
            <w:pPr>
              <w:pStyle w:val="TableContents"/>
              <w:bidi w:val="0"/>
              <w:spacing w:before="0" w:after="283"/>
              <w:jc w:val="left"/>
              <w:rPr>
                <w:rFonts w:ascii="Times New Roman;Times;Serif" w:hAnsi="Times New Roman;Times;Serif"/>
                <w:color w:val="FFFFFF"/>
                <w:sz w:val="16"/>
              </w:rPr>
            </w:pPr>
            <w:r>
              <w:rPr>
                <w:rFonts w:ascii="Times New Roman;Times;Serif" w:hAnsi="Times New Roman;Times;Serif"/>
                <w:color w:val="FFFFFF"/>
                <w:sz w:val="16"/>
              </w:rPr>
              <w:t>Earnings Release 2Q / 2026</w:t>
            </w:r>
          </w:p>
        </w:tc>
        <w:tc>
          <w:tcPr>
            <w:tcW w:w="2720" w:type="dxa"/>
            <w:tcBorders/>
            <w:shd w:fill="000000" w:val="clear"/>
            <w:vAlign w:val="center"/>
          </w:tcPr>
          <w:p>
            <w:pPr>
              <w:pStyle w:val="TableContents"/>
              <w:bidi w:val="0"/>
              <w:spacing w:before="0" w:after="283"/>
              <w:jc w:val="right"/>
              <w:rPr>
                <w:rFonts w:ascii="Times New Roman;Times;Serif" w:hAnsi="Times New Roman;Times;Serif"/>
                <w:color w:val="FF00FF"/>
                <w:sz w:val="16"/>
              </w:rPr>
            </w:pPr>
            <w:r>
              <w:rPr>
                <w:rFonts w:ascii="Times New Roman;Times;Serif" w:hAnsi="Times New Roman;Times;Serif"/>
                <w:color w:val="FF00FF"/>
                <w:sz w:val="16"/>
              </w:rPr>
              <w:t>Analysis of 2Q26 Consolidated Results</w:t>
            </w:r>
          </w:p>
        </w:tc>
      </w:tr>
      <w:tr>
        <w:trPr/>
        <w:tc>
          <w:tcPr>
            <w:tcW w:w="1995" w:type="dxa"/>
            <w:tcBorders/>
            <w:shd w:fill="000000" w:val="clear"/>
            <w:vAlign w:val="center"/>
          </w:tcPr>
          <w:p>
            <w:pPr>
              <w:pStyle w:val="TableContents"/>
              <w:bidi w:val="0"/>
              <w:spacing w:before="0" w:after="283"/>
              <w:jc w:val="left"/>
              <w:rPr/>
            </w:pPr>
            <w:r>
              <w:rPr/>
              <w:t> </w:t>
            </w:r>
          </w:p>
        </w:tc>
        <w:tc>
          <w:tcPr>
            <w:tcW w:w="60" w:type="dxa"/>
            <w:tcBorders/>
            <w:shd w:fill="000000" w:val="clear"/>
            <w:vAlign w:val="center"/>
          </w:tcPr>
          <w:p>
            <w:pPr>
              <w:pStyle w:val="TableContents"/>
              <w:bidi w:val="0"/>
              <w:spacing w:before="0" w:after="283"/>
              <w:jc w:val="left"/>
              <w:rPr/>
            </w:pPr>
            <w:r>
              <w:rPr/>
              <w:t> </w:t>
            </w:r>
          </w:p>
        </w:tc>
        <w:tc>
          <w:tcPr>
            <w:tcW w:w="1940" w:type="dxa"/>
            <w:tcBorders/>
            <w:shd w:fill="000000" w:val="clear"/>
            <w:vAlign w:val="center"/>
          </w:tcPr>
          <w:p>
            <w:pPr>
              <w:pStyle w:val="TableContents"/>
              <w:bidi w:val="0"/>
              <w:spacing w:before="0" w:after="283"/>
              <w:jc w:val="left"/>
              <w:rPr/>
            </w:pPr>
            <w:r>
              <w:rPr/>
              <w:t> </w:t>
            </w:r>
          </w:p>
        </w:tc>
        <w:tc>
          <w:tcPr>
            <w:tcW w:w="2720" w:type="dxa"/>
            <w:tcBorders/>
            <w:shd w:fill="000000" w:val="clear"/>
            <w:vAlign w:val="center"/>
          </w:tcPr>
          <w:p>
            <w:pPr>
              <w:pStyle w:val="TableContents"/>
              <w:bidi w:val="0"/>
              <w:spacing w:before="0" w:after="283"/>
              <w:jc w:val="left"/>
              <w:rPr/>
            </w:pPr>
            <w:r>
              <w:rPr/>
              <w:t> </w:t>
            </w:r>
          </w:p>
        </w:tc>
      </w:tr>
      <w:tr>
        <w:trPr/>
        <w:tc>
          <w:tcPr>
            <w:tcW w:w="3995" w:type="dxa"/>
            <w:gridSpan w:val="3"/>
            <w:tcBorders/>
            <w:shd w:fill="E93BAB" w:val="clear"/>
            <w:vAlign w:val="center"/>
          </w:tcPr>
          <w:p>
            <w:pPr>
              <w:pStyle w:val="TableContents"/>
              <w:bidi w:val="0"/>
              <w:spacing w:before="0" w:after="283"/>
              <w:jc w:val="left"/>
              <w:rPr>
                <w:rFonts w:ascii="Times New Roman;Times;Serif" w:hAnsi="Times New Roman;Times;Serif"/>
                <w:b/>
                <w:color w:val="FFFFFF"/>
                <w:sz w:val="24"/>
              </w:rPr>
            </w:pPr>
            <w:r>
              <w:rPr>
                <w:rFonts w:ascii="Times New Roman;Times;Serif" w:hAnsi="Times New Roman;Times;Serif"/>
                <w:b/>
                <w:color w:val="FFFFFF"/>
                <w:sz w:val="24"/>
              </w:rPr>
              <w:t>12. Appendix</w:t>
            </w:r>
          </w:p>
        </w:tc>
        <w:tc>
          <w:tcPr>
            <w:tcW w:w="2720" w:type="dxa"/>
            <w:tcBorders/>
            <w:shd w:fill="E93BAB"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color w:val="FFFFFF"/>
        </w:rPr>
      </w:pPr>
      <w:r>
        <w:rPr>
          <w:caps w:val="false"/>
          <w:smallCaps w:val="false"/>
          <w:color w:val="FFFFFF"/>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 Glossary of terms</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28" w:type="dxa"/>
          <w:right w:w="60" w:type="dxa"/>
        </w:tblCellMar>
      </w:tblPr>
      <w:tblGrid>
        <w:gridCol w:w="2703"/>
        <w:gridCol w:w="7502"/>
      </w:tblGrid>
      <w:tr>
        <w:trPr/>
        <w:tc>
          <w:tcPr>
            <w:tcW w:w="2703" w:type="dxa"/>
            <w:tcBorders>
              <w:top w:val="single" w:sz="8" w:space="0" w:color="000000"/>
              <w:left w:val="single" w:sz="8" w:space="0" w:color="000000"/>
              <w:bottom w:val="single" w:sz="8" w:space="0" w:color="000000"/>
              <w:right w:val="single" w:sz="8" w:space="0" w:color="000000"/>
            </w:tcBorders>
            <w:shd w:fill="2AD2C7" w:val="cle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Term</w:t>
            </w:r>
          </w:p>
        </w:tc>
        <w:tc>
          <w:tcPr>
            <w:tcW w:w="7502" w:type="dxa"/>
            <w:tcBorders>
              <w:top w:val="single" w:sz="8" w:space="0" w:color="000000"/>
              <w:bottom w:val="single" w:sz="8" w:space="0" w:color="000000"/>
              <w:right w:val="single" w:sz="8" w:space="0" w:color="000000"/>
            </w:tcBorders>
            <w:shd w:fill="2AD2C7" w:val="clear"/>
            <w:tcMar>
              <w:left w:w="0" w:type="dxa"/>
            </w:tcMar>
            <w:vAlign w:val="center"/>
          </w:tcPr>
          <w:p>
            <w:pPr>
              <w:pStyle w:val="TableContents"/>
              <w:bidi w:val="0"/>
              <w:spacing w:before="0" w:after="283"/>
              <w:jc w:val="center"/>
              <w:rPr>
                <w:rFonts w:ascii="Times New Roman;Times;Serif" w:hAnsi="Times New Roman;Times;Serif"/>
                <w:b/>
                <w:i w:val="false"/>
                <w:caps w:val="false"/>
                <w:smallCaps w:val="false"/>
                <w:color w:val="FFFFFF"/>
                <w:sz w:val="16"/>
              </w:rPr>
            </w:pPr>
            <w:r>
              <w:rPr>
                <w:rFonts w:ascii="Times New Roman;Times;Serif" w:hAnsi="Times New Roman;Times;Serif"/>
                <w:b/>
                <w:i w:val="false"/>
                <w:caps w:val="false"/>
                <w:smallCaps w:val="false"/>
                <w:color w:val="FFFFFF"/>
                <w:sz w:val="16"/>
              </w:rPr>
              <w:t>Definition</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AFP</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Administradora de Fondo de Pensiones or Private Pension Funds Administrators</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BCRP</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Banco Central de Reserva del Perú or Peruvian Central Bank</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EAP</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Economically active population</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Financially Included</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 of financially included clients through BCP since 2020. New clients with BCP </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savings accounts or new Yape affiliates that: (i) Do not have debt in the financial system nor other BCP products in the 12 months prior to their inclusion, </w:t>
            </w:r>
          </w:p>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and (ii) Have performed at least 3 monthly transactions on average through any BCP channel in the last 3 months</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GMV</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Merchant Volume</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Government Program Loans (“GP” or “GP Loans”)</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 Portfolio related to Reactiva Peru, FAE-Mype and Impulso Myperu programs to respond quickly and effectively to liquidity needs and maintain the payment chain</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MAU</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Monthly Active Users</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MEF</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Ministry of Economy and Finance of Peru</w:t>
            </w:r>
          </w:p>
        </w:tc>
      </w:tr>
      <w:tr>
        <w:trPr/>
        <w:tc>
          <w:tcPr>
            <w:tcW w:w="27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TPV</w:t>
            </w:r>
          </w:p>
        </w:tc>
        <w:tc>
          <w:tcPr>
            <w:tcW w:w="75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Payment Volume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647700"/>
            <wp:effectExtent l="0" t="0" r="0" b="0"/>
            <wp:docPr id="23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4" descr=""/>
                    <pic:cNvPicPr>
                      <a:picLocks noChangeAspect="1" noChangeArrowheads="1"/>
                    </pic:cNvPicPr>
                  </pic:nvPicPr>
                  <pic:blipFill>
                    <a:blip r:embed="rId210"/>
                    <a:stretch>
                      <a:fillRect/>
                    </a:stretch>
                  </pic:blipFill>
                  <pic:spPr bwMode="auto">
                    <a:xfrm>
                      <a:off x="0" y="0"/>
                      <a:ext cx="7620000" cy="647700"/>
                    </a:xfrm>
                    <a:prstGeom prst="rect">
                      <a:avLst/>
                    </a:prstGeom>
                  </pic:spPr>
                </pic:pic>
              </a:graphicData>
            </a:graphic>
          </wp:inline>
        </w:drawing>
      </w:r>
      <w:r>
        <w:rPr>
          <w:caps w:val="false"/>
          <w:smallCaps w:val="false"/>
        </w:rPr>
        <w:t xml:space="preserve"> </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2.jpeg"/><Relationship Id="rId13" Type="http://schemas.openxmlformats.org/officeDocument/2006/relationships/image" Target="media/image5.jpeg"/><Relationship Id="rId14" Type="http://schemas.openxmlformats.org/officeDocument/2006/relationships/image" Target="media/image2.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2.jpeg"/><Relationship Id="rId19" Type="http://schemas.openxmlformats.org/officeDocument/2006/relationships/image" Target="media/image9.jpeg"/><Relationship Id="rId20" Type="http://schemas.openxmlformats.org/officeDocument/2006/relationships/image" Target="media/image2.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2.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jpeg"/><Relationship Id="rId39" Type="http://schemas.openxmlformats.org/officeDocument/2006/relationships/image" Target="media/image24.jpeg"/><Relationship Id="rId40" Type="http://schemas.openxmlformats.org/officeDocument/2006/relationships/image" Target="media/image2.jpeg"/><Relationship Id="rId41" Type="http://schemas.openxmlformats.org/officeDocument/2006/relationships/image" Target="media/image25.jpeg"/><Relationship Id="rId42" Type="http://schemas.openxmlformats.org/officeDocument/2006/relationships/image" Target="media/image2.jpeg"/><Relationship Id="rId43" Type="http://schemas.openxmlformats.org/officeDocument/2006/relationships/image" Target="media/image26.jpeg"/><Relationship Id="rId44" Type="http://schemas.openxmlformats.org/officeDocument/2006/relationships/image" Target="media/image2.jpeg"/><Relationship Id="rId45" Type="http://schemas.openxmlformats.org/officeDocument/2006/relationships/image" Target="media/image27.jpeg"/><Relationship Id="rId46" Type="http://schemas.openxmlformats.org/officeDocument/2006/relationships/image" Target="media/image2.jpeg"/><Relationship Id="rId47" Type="http://schemas.openxmlformats.org/officeDocument/2006/relationships/image" Target="media/image28.jpeg"/><Relationship Id="rId48" Type="http://schemas.openxmlformats.org/officeDocument/2006/relationships/image" Target="media/image29.jpeg"/><Relationship Id="rId49" Type="http://schemas.openxmlformats.org/officeDocument/2006/relationships/image" Target="media/image28.jpeg"/><Relationship Id="rId50" Type="http://schemas.openxmlformats.org/officeDocument/2006/relationships/image" Target="media/image29.jpeg"/><Relationship Id="rId51" Type="http://schemas.openxmlformats.org/officeDocument/2006/relationships/image" Target="media/image30.jpeg"/><Relationship Id="rId52" Type="http://schemas.openxmlformats.org/officeDocument/2006/relationships/image" Target="media/image30.jpeg"/><Relationship Id="rId53" Type="http://schemas.openxmlformats.org/officeDocument/2006/relationships/image" Target="media/image31.jpeg"/><Relationship Id="rId54" Type="http://schemas.openxmlformats.org/officeDocument/2006/relationships/image" Target="media/image2.jpeg"/><Relationship Id="rId55" Type="http://schemas.openxmlformats.org/officeDocument/2006/relationships/image" Target="media/image32.jpeg"/><Relationship Id="rId56" Type="http://schemas.openxmlformats.org/officeDocument/2006/relationships/image" Target="media/image2.jpeg"/><Relationship Id="rId57" Type="http://schemas.openxmlformats.org/officeDocument/2006/relationships/image" Target="media/image33.jpeg"/><Relationship Id="rId58" Type="http://schemas.openxmlformats.org/officeDocument/2006/relationships/image" Target="media/image2.jpeg"/><Relationship Id="rId59" Type="http://schemas.openxmlformats.org/officeDocument/2006/relationships/image" Target="media/image34.jpeg"/><Relationship Id="rId60" Type="http://schemas.openxmlformats.org/officeDocument/2006/relationships/image" Target="media/image2.jpeg"/><Relationship Id="rId61" Type="http://schemas.openxmlformats.org/officeDocument/2006/relationships/image" Target="media/image35.jpeg"/><Relationship Id="rId62" Type="http://schemas.openxmlformats.org/officeDocument/2006/relationships/image" Target="media/image36.jpeg"/><Relationship Id="rId63" Type="http://schemas.openxmlformats.org/officeDocument/2006/relationships/image" Target="media/image2.jpeg"/><Relationship Id="rId64" Type="http://schemas.openxmlformats.org/officeDocument/2006/relationships/image" Target="media/image37.jpeg"/><Relationship Id="rId65" Type="http://schemas.openxmlformats.org/officeDocument/2006/relationships/image" Target="media/image2.jpeg"/><Relationship Id="rId66" Type="http://schemas.openxmlformats.org/officeDocument/2006/relationships/image" Target="media/image38.jpeg"/><Relationship Id="rId67" Type="http://schemas.openxmlformats.org/officeDocument/2006/relationships/image" Target="media/image38.jpeg"/><Relationship Id="rId68" Type="http://schemas.openxmlformats.org/officeDocument/2006/relationships/image" Target="media/image39.jpeg"/><Relationship Id="rId69" Type="http://schemas.openxmlformats.org/officeDocument/2006/relationships/image" Target="media/image40.jpeg"/><Relationship Id="rId70" Type="http://schemas.openxmlformats.org/officeDocument/2006/relationships/image" Target="media/image40.jpeg"/><Relationship Id="rId71" Type="http://schemas.openxmlformats.org/officeDocument/2006/relationships/image" Target="media/image41.jpeg"/><Relationship Id="rId72" Type="http://schemas.openxmlformats.org/officeDocument/2006/relationships/image" Target="media/image2.jpeg"/><Relationship Id="rId73" Type="http://schemas.openxmlformats.org/officeDocument/2006/relationships/image" Target="media/image42.jpeg"/><Relationship Id="rId74" Type="http://schemas.openxmlformats.org/officeDocument/2006/relationships/image" Target="media/image43.jpeg"/><Relationship Id="rId75" Type="http://schemas.openxmlformats.org/officeDocument/2006/relationships/image" Target="media/image44.jpeg"/><Relationship Id="rId76" Type="http://schemas.openxmlformats.org/officeDocument/2006/relationships/image" Target="media/image2.jpeg"/><Relationship Id="rId77" Type="http://schemas.openxmlformats.org/officeDocument/2006/relationships/image" Target="media/image45.jpeg"/><Relationship Id="rId78" Type="http://schemas.openxmlformats.org/officeDocument/2006/relationships/image" Target="media/image2.jpeg"/><Relationship Id="rId79" Type="http://schemas.openxmlformats.org/officeDocument/2006/relationships/image" Target="media/image46.jpeg"/><Relationship Id="rId80" Type="http://schemas.openxmlformats.org/officeDocument/2006/relationships/image" Target="media/image2.jpeg"/><Relationship Id="rId81" Type="http://schemas.openxmlformats.org/officeDocument/2006/relationships/image" Target="media/image47.jpeg"/><Relationship Id="rId82" Type="http://schemas.openxmlformats.org/officeDocument/2006/relationships/image" Target="media/image48.jpeg"/><Relationship Id="rId83" Type="http://schemas.openxmlformats.org/officeDocument/2006/relationships/image" Target="media/image2.jpeg"/><Relationship Id="rId84" Type="http://schemas.openxmlformats.org/officeDocument/2006/relationships/image" Target="media/image49.jpeg"/><Relationship Id="rId85" Type="http://schemas.openxmlformats.org/officeDocument/2006/relationships/image" Target="media/image2.jpeg"/><Relationship Id="rId86" Type="http://schemas.openxmlformats.org/officeDocument/2006/relationships/image" Target="media/image50.jpeg"/><Relationship Id="rId87" Type="http://schemas.openxmlformats.org/officeDocument/2006/relationships/image" Target="media/image2.jpeg"/><Relationship Id="rId88" Type="http://schemas.openxmlformats.org/officeDocument/2006/relationships/image" Target="media/image51.jpeg"/><Relationship Id="rId89" Type="http://schemas.openxmlformats.org/officeDocument/2006/relationships/image" Target="media/image51.jpeg"/><Relationship Id="rId90" Type="http://schemas.openxmlformats.org/officeDocument/2006/relationships/image" Target="media/image52.jpeg"/><Relationship Id="rId91" Type="http://schemas.openxmlformats.org/officeDocument/2006/relationships/image" Target="media/image52.jpeg"/><Relationship Id="rId92" Type="http://schemas.openxmlformats.org/officeDocument/2006/relationships/image" Target="media/image53.jpeg"/><Relationship Id="rId93" Type="http://schemas.openxmlformats.org/officeDocument/2006/relationships/image" Target="media/image2.jpeg"/><Relationship Id="rId94" Type="http://schemas.openxmlformats.org/officeDocument/2006/relationships/image" Target="media/image54.jpeg"/><Relationship Id="rId95" Type="http://schemas.openxmlformats.org/officeDocument/2006/relationships/image" Target="media/image55.jpeg"/><Relationship Id="rId96" Type="http://schemas.openxmlformats.org/officeDocument/2006/relationships/image" Target="media/image56.jpeg"/><Relationship Id="rId97" Type="http://schemas.openxmlformats.org/officeDocument/2006/relationships/image" Target="media/image57.jpeg"/><Relationship Id="rId98" Type="http://schemas.openxmlformats.org/officeDocument/2006/relationships/image" Target="media/image2.jpeg"/><Relationship Id="rId99" Type="http://schemas.openxmlformats.org/officeDocument/2006/relationships/image" Target="media/image58.jpeg"/><Relationship Id="rId100" Type="http://schemas.openxmlformats.org/officeDocument/2006/relationships/image" Target="media/image59.jpeg"/><Relationship Id="rId101" Type="http://schemas.openxmlformats.org/officeDocument/2006/relationships/image" Target="media/image59.jpeg"/><Relationship Id="rId102" Type="http://schemas.openxmlformats.org/officeDocument/2006/relationships/image" Target="media/image60.jpeg"/><Relationship Id="rId103" Type="http://schemas.openxmlformats.org/officeDocument/2006/relationships/image" Target="media/image61.jpeg"/><Relationship Id="rId104" Type="http://schemas.openxmlformats.org/officeDocument/2006/relationships/image" Target="media/image2.jpeg"/><Relationship Id="rId105" Type="http://schemas.openxmlformats.org/officeDocument/2006/relationships/image" Target="media/image62.jpeg"/><Relationship Id="rId106" Type="http://schemas.openxmlformats.org/officeDocument/2006/relationships/image" Target="media/image2.jpeg"/><Relationship Id="rId107" Type="http://schemas.openxmlformats.org/officeDocument/2006/relationships/image" Target="media/image63.jpeg"/><Relationship Id="rId108" Type="http://schemas.openxmlformats.org/officeDocument/2006/relationships/image" Target="media/image2.jpeg"/><Relationship Id="rId109" Type="http://schemas.openxmlformats.org/officeDocument/2006/relationships/image" Target="media/image64.jpeg"/><Relationship Id="rId110" Type="http://schemas.openxmlformats.org/officeDocument/2006/relationships/image" Target="media/image2.jpeg"/><Relationship Id="rId111" Type="http://schemas.openxmlformats.org/officeDocument/2006/relationships/image" Target="media/image65.jpeg"/><Relationship Id="rId112" Type="http://schemas.openxmlformats.org/officeDocument/2006/relationships/image" Target="media/image2.jpeg"/><Relationship Id="rId113" Type="http://schemas.openxmlformats.org/officeDocument/2006/relationships/image" Target="media/image66.jpeg"/><Relationship Id="rId114" Type="http://schemas.openxmlformats.org/officeDocument/2006/relationships/image" Target="media/image67.jpeg"/><Relationship Id="rId115" Type="http://schemas.openxmlformats.org/officeDocument/2006/relationships/image" Target="media/image68.jpeg"/><Relationship Id="rId116" Type="http://schemas.openxmlformats.org/officeDocument/2006/relationships/image" Target="media/image69.jpeg"/><Relationship Id="rId117" Type="http://schemas.openxmlformats.org/officeDocument/2006/relationships/image" Target="media/image70.jpeg"/><Relationship Id="rId118" Type="http://schemas.openxmlformats.org/officeDocument/2006/relationships/image" Target="media/image2.jpeg"/><Relationship Id="rId119" Type="http://schemas.openxmlformats.org/officeDocument/2006/relationships/image" Target="media/image71.jpeg"/><Relationship Id="rId120" Type="http://schemas.openxmlformats.org/officeDocument/2006/relationships/image" Target="media/image72.jpeg"/><Relationship Id="rId121" Type="http://schemas.openxmlformats.org/officeDocument/2006/relationships/image" Target="media/image2.jpeg"/><Relationship Id="rId122" Type="http://schemas.openxmlformats.org/officeDocument/2006/relationships/image" Target="media/image73.jpeg"/><Relationship Id="rId123" Type="http://schemas.openxmlformats.org/officeDocument/2006/relationships/image" Target="media/image2.jpeg"/><Relationship Id="rId124" Type="http://schemas.openxmlformats.org/officeDocument/2006/relationships/image" Target="media/image74.jpeg"/><Relationship Id="rId125" Type="http://schemas.openxmlformats.org/officeDocument/2006/relationships/image" Target="media/image2.jpeg"/><Relationship Id="rId126" Type="http://schemas.openxmlformats.org/officeDocument/2006/relationships/image" Target="media/image75.jpeg"/><Relationship Id="rId127" Type="http://schemas.openxmlformats.org/officeDocument/2006/relationships/image" Target="media/image2.jpeg"/><Relationship Id="rId128" Type="http://schemas.openxmlformats.org/officeDocument/2006/relationships/image" Target="media/image76.jpeg"/><Relationship Id="rId129" Type="http://schemas.openxmlformats.org/officeDocument/2006/relationships/image" Target="media/image76.jpeg"/><Relationship Id="rId130" Type="http://schemas.openxmlformats.org/officeDocument/2006/relationships/image" Target="media/image77.jpeg"/><Relationship Id="rId131" Type="http://schemas.openxmlformats.org/officeDocument/2006/relationships/image" Target="media/image77.jpeg"/><Relationship Id="rId132" Type="http://schemas.openxmlformats.org/officeDocument/2006/relationships/image" Target="media/image78.jpeg"/><Relationship Id="rId133" Type="http://schemas.openxmlformats.org/officeDocument/2006/relationships/image" Target="media/image2.jpeg"/><Relationship Id="rId134" Type="http://schemas.openxmlformats.org/officeDocument/2006/relationships/image" Target="media/image79.jpeg"/><Relationship Id="rId135" Type="http://schemas.openxmlformats.org/officeDocument/2006/relationships/image" Target="media/image79.jpeg"/><Relationship Id="rId136" Type="http://schemas.openxmlformats.org/officeDocument/2006/relationships/image" Target="media/image80.jpeg"/><Relationship Id="rId137" Type="http://schemas.openxmlformats.org/officeDocument/2006/relationships/image" Target="media/image2.jpeg"/><Relationship Id="rId138" Type="http://schemas.openxmlformats.org/officeDocument/2006/relationships/image" Target="media/image81.jpeg"/><Relationship Id="rId139" Type="http://schemas.openxmlformats.org/officeDocument/2006/relationships/image" Target="media/image81.jpeg"/><Relationship Id="rId140" Type="http://schemas.openxmlformats.org/officeDocument/2006/relationships/image" Target="media/image82.jpeg"/><Relationship Id="rId141" Type="http://schemas.openxmlformats.org/officeDocument/2006/relationships/image" Target="media/image2.jpeg"/><Relationship Id="rId142" Type="http://schemas.openxmlformats.org/officeDocument/2006/relationships/image" Target="media/image83.jpeg"/><Relationship Id="rId143" Type="http://schemas.openxmlformats.org/officeDocument/2006/relationships/image" Target="media/image83.jpeg"/><Relationship Id="rId144" Type="http://schemas.openxmlformats.org/officeDocument/2006/relationships/image" Target="media/image84.jpeg"/><Relationship Id="rId145" Type="http://schemas.openxmlformats.org/officeDocument/2006/relationships/image" Target="media/image84.jpeg"/><Relationship Id="rId146" Type="http://schemas.openxmlformats.org/officeDocument/2006/relationships/image" Target="media/image85.jpeg"/><Relationship Id="rId147" Type="http://schemas.openxmlformats.org/officeDocument/2006/relationships/image" Target="media/image85.jpeg"/><Relationship Id="rId148" Type="http://schemas.openxmlformats.org/officeDocument/2006/relationships/image" Target="media/image86.jpeg"/><Relationship Id="rId149" Type="http://schemas.openxmlformats.org/officeDocument/2006/relationships/image" Target="media/image2.jpeg"/><Relationship Id="rId150" Type="http://schemas.openxmlformats.org/officeDocument/2006/relationships/image" Target="media/image87.jpeg"/><Relationship Id="rId151" Type="http://schemas.openxmlformats.org/officeDocument/2006/relationships/image" Target="media/image2.jpeg"/><Relationship Id="rId152" Type="http://schemas.openxmlformats.org/officeDocument/2006/relationships/image" Target="media/image88.jpeg"/><Relationship Id="rId153" Type="http://schemas.openxmlformats.org/officeDocument/2006/relationships/image" Target="media/image2.jpeg"/><Relationship Id="rId154" Type="http://schemas.openxmlformats.org/officeDocument/2006/relationships/image" Target="media/image89.jpeg"/><Relationship Id="rId155" Type="http://schemas.openxmlformats.org/officeDocument/2006/relationships/image" Target="media/image90.jpeg"/><Relationship Id="rId156" Type="http://schemas.openxmlformats.org/officeDocument/2006/relationships/image" Target="media/image2.jpeg"/><Relationship Id="rId157" Type="http://schemas.openxmlformats.org/officeDocument/2006/relationships/image" Target="media/image91.jpeg"/><Relationship Id="rId158" Type="http://schemas.openxmlformats.org/officeDocument/2006/relationships/image" Target="media/image92.jpeg"/><Relationship Id="rId159" Type="http://schemas.openxmlformats.org/officeDocument/2006/relationships/image" Target="media/image93.jpeg"/><Relationship Id="rId160" Type="http://schemas.openxmlformats.org/officeDocument/2006/relationships/image" Target="media/image2.jpeg"/><Relationship Id="rId161" Type="http://schemas.openxmlformats.org/officeDocument/2006/relationships/image" Target="media/image94.jpeg"/><Relationship Id="rId162" Type="http://schemas.openxmlformats.org/officeDocument/2006/relationships/image" Target="media/image95.jpeg"/><Relationship Id="rId163" Type="http://schemas.openxmlformats.org/officeDocument/2006/relationships/image" Target="media/image96.jpeg"/><Relationship Id="rId164" Type="http://schemas.openxmlformats.org/officeDocument/2006/relationships/image" Target="media/image97.jpeg"/><Relationship Id="rId165" Type="http://schemas.openxmlformats.org/officeDocument/2006/relationships/image" Target="media/image2.jpeg"/><Relationship Id="rId166" Type="http://schemas.openxmlformats.org/officeDocument/2006/relationships/image" Target="media/image98.jpeg"/><Relationship Id="rId167" Type="http://schemas.openxmlformats.org/officeDocument/2006/relationships/image" Target="media/image99.jpeg"/><Relationship Id="rId168" Type="http://schemas.openxmlformats.org/officeDocument/2006/relationships/image" Target="media/image100.jpeg"/><Relationship Id="rId169" Type="http://schemas.openxmlformats.org/officeDocument/2006/relationships/image" Target="media/image2.jpeg"/><Relationship Id="rId170" Type="http://schemas.openxmlformats.org/officeDocument/2006/relationships/image" Target="media/image101.jpeg"/><Relationship Id="rId171" Type="http://schemas.openxmlformats.org/officeDocument/2006/relationships/image" Target="media/image2.jpeg"/><Relationship Id="rId172" Type="http://schemas.openxmlformats.org/officeDocument/2006/relationships/image" Target="media/image102.jpeg"/><Relationship Id="rId173" Type="http://schemas.openxmlformats.org/officeDocument/2006/relationships/image" Target="media/image2.jpeg"/><Relationship Id="rId174" Type="http://schemas.openxmlformats.org/officeDocument/2006/relationships/image" Target="media/image103.jpeg"/><Relationship Id="rId175" Type="http://schemas.openxmlformats.org/officeDocument/2006/relationships/image" Target="media/image2.jpeg"/><Relationship Id="rId176" Type="http://schemas.openxmlformats.org/officeDocument/2006/relationships/image" Target="media/image104.jpeg"/><Relationship Id="rId177" Type="http://schemas.openxmlformats.org/officeDocument/2006/relationships/image" Target="media/image2.jpeg"/><Relationship Id="rId178" Type="http://schemas.openxmlformats.org/officeDocument/2006/relationships/image" Target="media/image105.jpeg"/><Relationship Id="rId179" Type="http://schemas.openxmlformats.org/officeDocument/2006/relationships/image" Target="media/image2.jpeg"/><Relationship Id="rId180" Type="http://schemas.openxmlformats.org/officeDocument/2006/relationships/image" Target="media/image106.jpeg"/><Relationship Id="rId181" Type="http://schemas.openxmlformats.org/officeDocument/2006/relationships/image" Target="media/image2.jpeg"/><Relationship Id="rId182" Type="http://schemas.openxmlformats.org/officeDocument/2006/relationships/image" Target="media/image107.jpeg"/><Relationship Id="rId183" Type="http://schemas.openxmlformats.org/officeDocument/2006/relationships/image" Target="media/image2.jpeg"/><Relationship Id="rId184" Type="http://schemas.openxmlformats.org/officeDocument/2006/relationships/image" Target="media/image108.jpeg"/><Relationship Id="rId185" Type="http://schemas.openxmlformats.org/officeDocument/2006/relationships/image" Target="media/image2.jpeg"/><Relationship Id="rId186" Type="http://schemas.openxmlformats.org/officeDocument/2006/relationships/image" Target="media/image109.jpeg"/><Relationship Id="rId187" Type="http://schemas.openxmlformats.org/officeDocument/2006/relationships/image" Target="media/image2.jpeg"/><Relationship Id="rId188" Type="http://schemas.openxmlformats.org/officeDocument/2006/relationships/image" Target="media/image110.jpeg"/><Relationship Id="rId189" Type="http://schemas.openxmlformats.org/officeDocument/2006/relationships/image" Target="media/image2.jpeg"/><Relationship Id="rId190" Type="http://schemas.openxmlformats.org/officeDocument/2006/relationships/image" Target="media/image111.jpeg"/><Relationship Id="rId191" Type="http://schemas.openxmlformats.org/officeDocument/2006/relationships/image" Target="media/image2.jpeg"/><Relationship Id="rId192" Type="http://schemas.openxmlformats.org/officeDocument/2006/relationships/image" Target="media/image112.jpeg"/><Relationship Id="rId193" Type="http://schemas.openxmlformats.org/officeDocument/2006/relationships/image" Target="media/image2.jpeg"/><Relationship Id="rId194" Type="http://schemas.openxmlformats.org/officeDocument/2006/relationships/image" Target="media/image113.jpeg"/><Relationship Id="rId195" Type="http://schemas.openxmlformats.org/officeDocument/2006/relationships/image" Target="media/image2.jpeg"/><Relationship Id="rId196" Type="http://schemas.openxmlformats.org/officeDocument/2006/relationships/image" Target="media/image114.jpeg"/><Relationship Id="rId197" Type="http://schemas.openxmlformats.org/officeDocument/2006/relationships/image" Target="media/image2.jpeg"/><Relationship Id="rId198" Type="http://schemas.openxmlformats.org/officeDocument/2006/relationships/image" Target="media/image115.jpeg"/><Relationship Id="rId199" Type="http://schemas.openxmlformats.org/officeDocument/2006/relationships/image" Target="media/image2.jpeg"/><Relationship Id="rId200" Type="http://schemas.openxmlformats.org/officeDocument/2006/relationships/image" Target="media/image116.jpeg"/><Relationship Id="rId201" Type="http://schemas.openxmlformats.org/officeDocument/2006/relationships/image" Target="media/image2.jpeg"/><Relationship Id="rId202" Type="http://schemas.openxmlformats.org/officeDocument/2006/relationships/image" Target="media/image117.jpeg"/><Relationship Id="rId203" Type="http://schemas.openxmlformats.org/officeDocument/2006/relationships/image" Target="media/image2.jpeg"/><Relationship Id="rId204" Type="http://schemas.openxmlformats.org/officeDocument/2006/relationships/image" Target="media/image118.jpeg"/><Relationship Id="rId205" Type="http://schemas.openxmlformats.org/officeDocument/2006/relationships/image" Target="media/image119.jpeg"/><Relationship Id="rId206" Type="http://schemas.openxmlformats.org/officeDocument/2006/relationships/image" Target="media/image120.jpeg"/><Relationship Id="rId207" Type="http://schemas.openxmlformats.org/officeDocument/2006/relationships/image" Target="media/image121.jpeg"/><Relationship Id="rId208" Type="http://schemas.openxmlformats.org/officeDocument/2006/relationships/image" Target="media/image122.jpeg"/><Relationship Id="rId209" Type="http://schemas.openxmlformats.org/officeDocument/2006/relationships/image" Target="media/image2.jpeg"/><Relationship Id="rId210" Type="http://schemas.openxmlformats.org/officeDocument/2006/relationships/image" Target="media/image123.jpeg"/><Relationship Id="rId211" Type="http://schemas.openxmlformats.org/officeDocument/2006/relationships/fontTable" Target="fontTable.xml"/><Relationship Id="rId2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27257</Words>
  <Characters>152352</Characters>
  <CharactersWithSpaces>174496</CharactersWithSpaces>
  <Paragraphs>10729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